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6f64" w14:textId="73c6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поэтапной передачи объектов социальной сферы юридических лиц местным исполнительным органам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июля 1996 г. N 844 . (Утратило силу - постановлением Правительства РК от 13 декабря 2001 г. N 1624 ~P011624 )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развернутым Планом мероприятий Правительства Республики Казахстан по углублению реформ на 1996 год,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12 января 1996 г. N 56 "О Плане действий Правительства Республики Казахстан по углублению реформ на 1996-1998 годы и развернутом Плане мероприятий Правительства Республики Казахстан по углублению реформ на 1996 год" (САПП Республики Казахстан, 1996 г., N 3, ст. 17), в целях обеспечения оптимального уровня оказываемых социальных услуг населению Правительство Республики Казахстан постановляет: 
</w:t>
      </w:r>
      <w:r>
        <w:br/>
      </w:r>
      <w:r>
        <w:rPr>
          <w:rFonts w:ascii="Times New Roman"/>
          <w:b w:val="false"/>
          <w:i w:val="false"/>
          <w:color w:val="000000"/>
          <w:sz w:val="28"/>
        </w:rPr>
        <w:t>
      1. Утвердить прилагаемую Программу поэтапной передачи объектов социальной сферы юридических лиц местным исполнительным органам. 
</w:t>
      </w:r>
      <w:r>
        <w:br/>
      </w:r>
      <w:r>
        <w:rPr>
          <w:rFonts w:ascii="Times New Roman"/>
          <w:b w:val="false"/>
          <w:i w:val="false"/>
          <w:color w:val="000000"/>
          <w:sz w:val="28"/>
        </w:rPr>
        <w:t>
      2. Рекомендовать юридическим лицам, имеющим на балансе объекты социальной сферы, подготовить и внести на рассмотрение акимов областей и г. Алматы в установленном порядке предложения о передаче их местным исполнительным органам. 
</w:t>
      </w:r>
      <w:r>
        <w:br/>
      </w:r>
      <w:r>
        <w:rPr>
          <w:rFonts w:ascii="Times New Roman"/>
          <w:b w:val="false"/>
          <w:i w:val="false"/>
          <w:color w:val="000000"/>
          <w:sz w:val="28"/>
        </w:rPr>
        <w:t>
      3. Акимам областей и г. Алматы по согласованию с соответствующими министерствами обеспечить прием-передачу объектов социальной сферы юридических лиц на баланс местных исполнительных органов в соответствии с Программой поэтапной передачи объектов социальной сферы юридических лиц местным исполнительным органам. 
</w:t>
      </w:r>
      <w:r>
        <w:br/>
      </w:r>
      <w:r>
        <w:rPr>
          <w:rFonts w:ascii="Times New Roman"/>
          <w:b w:val="false"/>
          <w:i w:val="false"/>
          <w:color w:val="000000"/>
          <w:sz w:val="28"/>
        </w:rPr>
        <w:t>
      4. Акимам областей и г. Алматы, Министерству экономики, Министерству финансов Республики Казахстан при разработке индикативного плана и бюджета рассматривать в установленном порядке вопрос о выделении ассигнований на содержание объектов социальной сферы с учетом их оптимизации.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Заместитель
</w:t>
      </w:r>
      <w:r>
        <w:br/>
      </w:r>
      <w:r>
        <w:rPr>
          <w:rFonts w:ascii="Times New Roman"/>
          <w:b w:val="false"/>
          <w:i w:val="false"/>
          <w:color w:val="000000"/>
          <w:sz w:val="28"/>
        </w:rPr>
        <w:t>
  Премьер-Министра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июля 1996 г. N 844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Программа поэтапной передачи объектов 
</w:t>
      </w:r>
      <w:r>
        <w:br/>
      </w:r>
      <w:r>
        <w:rPr>
          <w:rFonts w:ascii="Times New Roman"/>
          <w:b w:val="false"/>
          <w:i w:val="false"/>
          <w:color w:val="000000"/>
          <w:sz w:val="28"/>
        </w:rPr>
        <w:t>
               социальной сферы юридических лиц местным 
</w:t>
      </w:r>
      <w:r>
        <w:br/>
      </w:r>
      <w:r>
        <w:rPr>
          <w:rFonts w:ascii="Times New Roman"/>
          <w:b w:val="false"/>
          <w:i w:val="false"/>
          <w:color w:val="000000"/>
          <w:sz w:val="28"/>
        </w:rPr>
        <w:t>
                        исполнительным органам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Введение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Программа поэтапной передачи объектов социальной сферы юридических лиц (далее - предприятий) местным исполнительным органам разработана в соответствии с развернутым Планом мероприятий Правительства Республики Казахстан по углублению реформ на 1996 год и Государственной стратегией отделения объектов социальной сферы от предприятий. 
</w:t>
      </w:r>
      <w:r>
        <w:br/>
      </w:r>
      <w:r>
        <w:rPr>
          <w:rFonts w:ascii="Times New Roman"/>
          <w:b w:val="false"/>
          <w:i w:val="false"/>
          <w:color w:val="000000"/>
          <w:sz w:val="28"/>
        </w:rPr>
        <w:t>
      В условиях формирования рыночных отношений ухудшилось финансовое состояние ряда предприятий, имеющих на балансе объекты социальной сферы, что привело к сокращению предоставляемых ими социальных услуг населению, а также к закрытию некоторых объектов социальной сферы. 
</w:t>
      </w:r>
      <w:r>
        <w:br/>
      </w:r>
      <w:r>
        <w:rPr>
          <w:rFonts w:ascii="Times New Roman"/>
          <w:b w:val="false"/>
          <w:i w:val="false"/>
          <w:color w:val="000000"/>
          <w:sz w:val="28"/>
        </w:rPr>
        <w:t>
      В целях стабилизации финансового состояния этих предприятий, сохранения объема предоставляемых ими социальных услуг наряду с услугами, оказываемыми на платной основе и финансируемыми непосредственно потребителями, разработана настоящая Программа.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Состояние объектов социальной сферы предприятий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Согласно данным Государственного комитета Республики Казахстан по статистике и анализу о наличии объектов социальной сферы, находящихся на балансе предприятий, в 1994 году и оценке на 1995 год значительно сократилось количество действующих объектов социальной сферы, находящихся на балансе предприятий, или же они используются не по назначению. 
</w:t>
      </w:r>
      <w:r>
        <w:br/>
      </w:r>
      <w:r>
        <w:rPr>
          <w:rFonts w:ascii="Times New Roman"/>
          <w:b w:val="false"/>
          <w:i w:val="false"/>
          <w:color w:val="000000"/>
          <w:sz w:val="28"/>
        </w:rPr>
        <w:t>
      Почти одна четвертая часть детских садов, функционировавших в 1994 году, закрыта к середине 1995 года. Наибольшее сокращение сети отмечается по детским оздоровительным учреждениям. 
</w:t>
      </w:r>
      <w:r>
        <w:br/>
      </w:r>
      <w:r>
        <w:rPr>
          <w:rFonts w:ascii="Times New Roman"/>
          <w:b w:val="false"/>
          <w:i w:val="false"/>
          <w:color w:val="000000"/>
          <w:sz w:val="28"/>
        </w:rPr>
        <w:t>
      Существенны различия в расходах на содержание социальных объектов предприятий, расположенных в сельской и городской местности. Так, в среднем по республике расходы объектов социальной сферы предприятий на душу населения в сельской местности в 1994 году составляли лишь 30% от расходов в городской местности. 
</w:t>
      </w:r>
      <w:r>
        <w:br/>
      </w:r>
      <w:r>
        <w:rPr>
          <w:rFonts w:ascii="Times New Roman"/>
          <w:b w:val="false"/>
          <w:i w:val="false"/>
          <w:color w:val="000000"/>
          <w:sz w:val="28"/>
        </w:rPr>
        <w:t>
      Значительны также различия расходов на содержание объектов социальной сферы предприятий в расчете на одного жителя по регионам: от 54 тенге в Кзыл-Ординской области до 630 тенге в Мангистауской. В среднем по республике они составляли 228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Подходы к выбору приоритетов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Основными критериями выбора объектов социальной сферы, работу которых должны обеспечить местные органы власти, является их социальная эффективность и значимость для данного региона и республики в целом. 
</w:t>
      </w:r>
      <w:r>
        <w:br/>
      </w:r>
      <w:r>
        <w:rPr>
          <w:rFonts w:ascii="Times New Roman"/>
          <w:b w:val="false"/>
          <w:i w:val="false"/>
          <w:color w:val="000000"/>
          <w:sz w:val="28"/>
        </w:rPr>
        <w:t>
      В условиях дефицита бюджетных средств невозможна единовременная передача объектов социальной сферы предприятий на финансирование за счет средств соответствующих местных бюджетов. 
</w:t>
      </w:r>
      <w:r>
        <w:br/>
      </w:r>
      <w:r>
        <w:rPr>
          <w:rFonts w:ascii="Times New Roman"/>
          <w:b w:val="false"/>
          <w:i w:val="false"/>
          <w:color w:val="000000"/>
          <w:sz w:val="28"/>
        </w:rPr>
        <w:t>
      В связи с этим необходимо определить приоритетность передаваемых объектов и сгруппировать объекты социальной сферы по значимости для региона, учитывая при этом также финансовое состояние предприятий, которые в первую очередь следует освободить от социальной инфраструктуры. 
</w:t>
      </w:r>
      <w:r>
        <w:br/>
      </w:r>
      <w:r>
        <w:rPr>
          <w:rFonts w:ascii="Times New Roman"/>
          <w:b w:val="false"/>
          <w:i w:val="false"/>
          <w:color w:val="000000"/>
          <w:sz w:val="28"/>
        </w:rPr>
        <w:t>
      Передача объектов социальной сферы должна осуществляться в следующей последовательности.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Первая группа - это объекты социальной сферы, жизненно необходимые для рассматриваемого конкретного региона и являющиеся для коллектива предприятия объектами непервостепенной важности. 
</w:t>
      </w:r>
      <w:r>
        <w:br/>
      </w:r>
      <w:r>
        <w:rPr>
          <w:rFonts w:ascii="Times New Roman"/>
          <w:b w:val="false"/>
          <w:i w:val="false"/>
          <w:color w:val="000000"/>
          <w:sz w:val="28"/>
        </w:rPr>
        <w:t>
      К таким объектам относятся школы, детские дошкольные учреждения (детские сады), объекты здравоохранения, которые имеют повседневное социальное значение для рассматриваемого региона. По этим объектам в первую очередь в период с 1996 по 1998 год должна быть продолжена работа по передаче на местные бюджеты. 
</w:t>
      </w:r>
      <w:r>
        <w:br/>
      </w:r>
      <w:r>
        <w:rPr>
          <w:rFonts w:ascii="Times New Roman"/>
          <w:b w:val="false"/>
          <w:i w:val="false"/>
          <w:color w:val="000000"/>
          <w:sz w:val="28"/>
        </w:rPr>
        <w:t>
      В 1996 году необходимо продолжить работу по передаче объектов социальной сферы конверсируемых предприятий, а также по предприятиям, предусмотренным Проектом социальной защиты Всемирного Банка Развития и Реконструкции и расположенным в Павлодарской и Южно-Казахстанской областях. 
</w:t>
      </w:r>
      <w:r>
        <w:br/>
      </w:r>
      <w:r>
        <w:rPr>
          <w:rFonts w:ascii="Times New Roman"/>
          <w:b w:val="false"/>
          <w:i w:val="false"/>
          <w:color w:val="000000"/>
          <w:sz w:val="28"/>
        </w:rPr>
        <w:t>
      Особую проблему составляют города и поселки городского типа с одним доминирующим предприятием, на балансе которого находится в основном вся городская социальная инфраструктура. Передача таких объектов должна осуществляться с учетом проводимой в области оптимизации сети объектов социальной сферы.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Вторая группа - объекты социальной сферы, не вошедшие в первую группу и не создающие для региона и предприятий социальные условия первостепенной важности. 
</w:t>
      </w:r>
      <w:r>
        <w:br/>
      </w:r>
      <w:r>
        <w:rPr>
          <w:rFonts w:ascii="Times New Roman"/>
          <w:b w:val="false"/>
          <w:i w:val="false"/>
          <w:color w:val="000000"/>
          <w:sz w:val="28"/>
        </w:rPr>
        <w:t>
      К таким объектам относятся спортивные учреждения, дома отдыха, летние лагеря для детей, библиотеки, музеи и выставки, дворцы и дома культуры, санатории-профилактории и др., по которым на местах в зависимости от их значимости для данного региона принимается решение о передаче их на местный бюджет или изыскиваются другие варианты: самофинансирование, приватизация, аренда, передача в управление, перепрофилирование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Третья группа - объекты социальной сферы, создающие первоочередные социальные условия для коллектива предприятия и имеющие наиболее важное значение для деятельности самого предприятия. 
</w:t>
      </w:r>
      <w:r>
        <w:br/>
      </w:r>
      <w:r>
        <w:rPr>
          <w:rFonts w:ascii="Times New Roman"/>
          <w:b w:val="false"/>
          <w:i w:val="false"/>
          <w:color w:val="000000"/>
          <w:sz w:val="28"/>
        </w:rPr>
        <w:t>
      К таким объектам относится ведомственный жилой фонд, который в общем объеме объектов социальной сферы занимает значительную долю. 
</w:t>
      </w:r>
      <w:r>
        <w:br/>
      </w:r>
      <w:r>
        <w:rPr>
          <w:rFonts w:ascii="Times New Roman"/>
          <w:b w:val="false"/>
          <w:i w:val="false"/>
          <w:color w:val="000000"/>
          <w:sz w:val="28"/>
        </w:rPr>
        <w:t>
      Более 80% жилья, находящегося на балансе предприятий, приватизировано и находится в личной собственности граждан. В то же время дома продолжают находиться на балансе предприятий и организаций, а расходы по их содержанию, которые полностью не покрываются квартплатой и платой за коммунальные услуги, финансируются за счет средств предприятий и организаций, на балансе которых находится жилой фонд. Однако с перераспределением права собственности на жилье изменяется порядок его содержания, то есть предусматривается поэтапный переход на бездотационное функционирование жилищно-коммунальной сферы. 
</w:t>
      </w:r>
      <w:r>
        <w:br/>
      </w:r>
      <w:r>
        <w:rPr>
          <w:rFonts w:ascii="Times New Roman"/>
          <w:b w:val="false"/>
          <w:i w:val="false"/>
          <w:color w:val="000000"/>
          <w:sz w:val="28"/>
        </w:rPr>
        <w:t>
      Для проведения целенаправленной работы по содержанию и эксплуатации жилого фонда, а также скорейшему переводу жилищно-коммунальной сферы в режим бездотационного функционирования необходимо организовать работу по созданию кооперативов собственников квартир (домов) с возложением на них функций по содержанию и эксплуатации жилых домов. Эта работа должна быть закончена в 1996 году. 
</w:t>
      </w:r>
      <w:r>
        <w:br/>
      </w:r>
      <w:r>
        <w:rPr>
          <w:rFonts w:ascii="Times New Roman"/>
          <w:b w:val="false"/>
          <w:i w:val="false"/>
          <w:color w:val="000000"/>
          <w:sz w:val="28"/>
        </w:rPr>
        <w:t>
      Одновременно с передачей объектов социальной сферы на баланс местных исполнительных органов следует рассматривать вопрос по коммуникационным сетям к указанным объектам (порядок их дальнейшей эксплуатации, источники финансирования и др.). 
</w:t>
      </w:r>
      <w:r>
        <w:br/>
      </w:r>
      <w:r>
        <w:rPr>
          <w:rFonts w:ascii="Times New Roman"/>
          <w:b w:val="false"/>
          <w:i w:val="false"/>
          <w:color w:val="000000"/>
          <w:sz w:val="28"/>
        </w:rPr>
        <w:t>
      Однако при решении вопросов передачи объектов социальной сферы предприятий местным исполнительным органам не все предприятия могут быть заинтересованы в отделении этих объектов. 
</w:t>
      </w:r>
      <w:r>
        <w:br/>
      </w:r>
      <w:r>
        <w:rPr>
          <w:rFonts w:ascii="Times New Roman"/>
          <w:b w:val="false"/>
          <w:i w:val="false"/>
          <w:color w:val="000000"/>
          <w:sz w:val="28"/>
        </w:rPr>
        <w:t>
      Некоторые предприятия могут сохранить и эксплуатировать свои социальные активы. В этом случае объем предоставляемых ими услуг необходимо учитывать в расчетах общей потребности в тех или иных услугах по рассматриваемому региону. 
</w:t>
      </w:r>
      <w:r>
        <w:br/>
      </w:r>
      <w:r>
        <w:rPr>
          <w:rFonts w:ascii="Times New Roman"/>
          <w:b w:val="false"/>
          <w:i w:val="false"/>
          <w:color w:val="000000"/>
          <w:sz w:val="28"/>
        </w:rPr>
        <w:t>
      При определении этапов передачи объектов социальной сферы с баланса предприятий необходимо учитывать возможность и намерения предприятий по поддержке объектов социальной сферы в течение переходного периода или передаче их только на определенный срок, после которого предприятия вправе вернуть эти социальные объекты при условии согласования с местными исполнительными органами, решения вопроса финансирования и сохранения их профиля. 
</w:t>
      </w:r>
      <w:r>
        <w:br/>
      </w:r>
      <w:r>
        <w:rPr>
          <w:rFonts w:ascii="Times New Roman"/>
          <w:b w:val="false"/>
          <w:i w:val="false"/>
          <w:color w:val="000000"/>
          <w:sz w:val="28"/>
        </w:rPr>
        <w:t>
      Порядок и условия дальнейшей (частичной, временной) эксплуатации предприятием объектов социальной сферы определяются по договоренности с местными исполнительными органами. 
</w:t>
      </w:r>
      <w:r>
        <w:br/>
      </w:r>
      <w:r>
        <w:rPr>
          <w:rFonts w:ascii="Times New Roman"/>
          <w:b w:val="false"/>
          <w:i w:val="false"/>
          <w:color w:val="000000"/>
          <w:sz w:val="28"/>
        </w:rPr>
        <w:t>
      При передаче объектов социальной сферы в ведение местных исполнительных органов на них распространяются нормы и порядок финансирования, установленные для бюджетных организаций соответствующего профиля. Кроме того, передаваемые объекты социальной сферы при сохранении соответствующего уровня бюджетных ассигнований могут привлекать дополнительные внебюджетные источники (оказание дополнительных платных услуг, постепенное увеличение платы родителей (пациентов), привлечение средств спонсоров и т.д.). 
</w:t>
      </w:r>
      <w:r>
        <w:br/>
      </w:r>
      <w:r>
        <w:rPr>
          <w:rFonts w:ascii="Times New Roman"/>
          <w:b w:val="false"/>
          <w:i w:val="false"/>
          <w:color w:val="000000"/>
          <w:sz w:val="28"/>
        </w:rPr>
        <w:t>
      Передача объектов социальной сферы должна осуществляться с учетом конкретных особенностей регионов на основе разработанных ими планов. 
</w:t>
      </w:r>
      <w:r>
        <w:br/>
      </w:r>
      <w:r>
        <w:rPr>
          <w:rFonts w:ascii="Times New Roman"/>
          <w:b w:val="false"/>
          <w:i w:val="false"/>
          <w:color w:val="000000"/>
          <w:sz w:val="28"/>
        </w:rPr>
        <w:t>
      При разработке конкретных планов было бы целесообразно исходить из следующих принципов: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сохранения пригодных к эксплуатации зданий и сооружений;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оптимизации сети и контингента объектов социальной сферы;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доведения наполняемости объектов до проектной мощности;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обеспечение возможности всем слоям населения пользоваться социальными услугами, а также использование системы адресных пособий для социально незащищенных категорий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обеспечения сокращения текущих расходов на содержание объектов за счет повышения эффективности использования зданий, оборудования, повсеместного введения режима учета и экономии топливно-энергетических и других ресурсов.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Принципы отбора приоритетов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Право определения основных приоритетов предоставляется местным исполнительным органам. При этом решения, касающиеся порядка использования объектов социальной сферы в будущем, принимаются на основе экономического анализа, учитывающего значимость объектов для региона, их списочный состав для городской и сельской местности, объем расходов на оказание услуг по сферам деятельности, удельный вес расходов на одного жителя как по объектам социальной сферы, содержащимся за счет бюджетных средств, так и объектам социальной сферы предприятий и другие особенности.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области образования. Определяя приоритеты и рассматривая возможности оптимизации и рационализации сети школ и детских дошкольных учреждений, необходимо учитывать техническое состояние каждого объекта, его оснащенность, списочный состав и сумму расходов на содержание одного учащегося (ребенка), потребность рассматриваемого региона в данном объекте и др. При передаче детских дошкольных учреждений следует иметь в виду, что они являются первой ступенью образовательного цикла и обязательны для посещения детьми дошкольного 5-6-летнего возраста.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области здравоохранения. Объекты здравоохранения, подведомственные предприятиям, представляют собой относительно небольшую часть общих услуг здравоохранения и имеют только местное значение. Медицинские объекты первичного звена в колхозах и совхозах представляют собой важную часть сети первичной медицинской помощи, которая сейчас находится в тяжелом положении. Создавая им условия для нормального функционирования, необходимо учитывать конкретные особенности регионов. 
</w:t>
      </w:r>
      <w:r>
        <w:br/>
      </w:r>
      <w:r>
        <w:rPr>
          <w:rFonts w:ascii="Times New Roman"/>
          <w:b w:val="false"/>
          <w:i w:val="false"/>
          <w:color w:val="000000"/>
          <w:sz w:val="28"/>
        </w:rPr>
        <w:t>
      Отделение социальных объектов от предприятий следует проводить как часть общего плана оптимизации сети лечебно-профилактических учреждений. Необходимо более эффективно использовать больничный сектор, что предполагает рационализацию, объединение, а также закрытие отдельных стационаров, а сэкономленные за счет этих мероприятий средства должны направляться на содержание организаций здравоохранения. 
</w:t>
      </w:r>
      <w:r>
        <w:br/>
      </w:r>
      <w:r>
        <w:rPr>
          <w:rFonts w:ascii="Times New Roman"/>
          <w:b w:val="false"/>
          <w:i w:val="false"/>
          <w:color w:val="000000"/>
          <w:sz w:val="28"/>
        </w:rPr>
        <w:t>
      При выборе приоритетов следует придерживаться следующих критериев: снизить дублирование больничных услуг, сосредоточить их в удобных для населения местах, сохранить учреждения, работающие эффективно, обеспечить доступность к услугам здравоохранения. 
</w:t>
      </w:r>
      <w:r>
        <w:br/>
      </w:r>
      <w:r>
        <w:rPr>
          <w:rFonts w:ascii="Times New Roman"/>
          <w:b w:val="false"/>
          <w:i w:val="false"/>
          <w:color w:val="000000"/>
          <w:sz w:val="28"/>
        </w:rPr>
        <w:t>
      Необходимо создавать больничный сектор, который должен соответствовать условиям рыночной экономики и будет развиваться на принципах самофинансирования, а также применять методы финансирования, предусмотренные государственным медицинским страхованием. 
</w:t>
      </w:r>
      <w:r>
        <w:br/>
      </w:r>
      <w:r>
        <w:rPr>
          <w:rFonts w:ascii="Times New Roman"/>
          <w:b w:val="false"/>
          <w:i w:val="false"/>
          <w:color w:val="000000"/>
          <w:sz w:val="28"/>
        </w:rPr>
        <w:t>
      В некоторых областях по решению акимов объединены областные и городские управления здравоохранения, возможность аналогичного подхода можно рассмотреть и в сфере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Обеспечение оптимального уровня социальных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Правительство республики обеспечивает всем гражданам гарантированный объем социальных услуг. При формировании бюджета необходимо учитывать потребность областей в финансировании гарантированного объема социальных услуг в расчете на одного жителя. 
</w:t>
      </w:r>
      <w:r>
        <w:br/>
      </w:r>
      <w:r>
        <w:rPr>
          <w:rFonts w:ascii="Times New Roman"/>
          <w:b w:val="false"/>
          <w:i w:val="false"/>
          <w:color w:val="000000"/>
          <w:sz w:val="28"/>
        </w:rPr>
        <w:t>
      Конкретные решения, касающиеся сохранения объемов предоставляемых услуг и их видов, принимаются местными исполнительными органами. 
</w:t>
      </w:r>
      <w:r>
        <w:br/>
      </w:r>
      <w:r>
        <w:rPr>
          <w:rFonts w:ascii="Times New Roman"/>
          <w:b w:val="false"/>
          <w:i w:val="false"/>
          <w:color w:val="000000"/>
          <w:sz w:val="28"/>
        </w:rPr>
        <w:t>
      Основная ответственность за сохранением оптимального уровня оказываемых социальных услуг населению возлагается на акимов областей и города Алматы, осуществляющих общее руководство данной работой.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Нормативно-правовое обеспечение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Гражданским кодексом Республики Казахстан (общая часть), Указами, имеющими силу Закона, "О собственности", 
</w:t>
      </w:r>
      <w:r>
        <w:rPr>
          <w:rFonts w:ascii="Times New Roman"/>
          <w:b w:val="false"/>
          <w:i w:val="false"/>
          <w:color w:val="000000"/>
          <w:sz w:val="28"/>
        </w:rPr>
        <w:t xml:space="preserve"> U952721_ </w:t>
      </w:r>
      <w:r>
        <w:rPr>
          <w:rFonts w:ascii="Times New Roman"/>
          <w:b w:val="false"/>
          <w:i w:val="false"/>
          <w:color w:val="000000"/>
          <w:sz w:val="28"/>
        </w:rPr>
        <w:t>
 "О приватизации", постановлениями Кабинета Министров Республики Казахстан от 22 февраля 1995 г. N 193 
</w:t>
      </w:r>
      <w:r>
        <w:rPr>
          <w:rFonts w:ascii="Times New Roman"/>
          <w:b w:val="false"/>
          <w:i w:val="false"/>
          <w:color w:val="000000"/>
          <w:sz w:val="28"/>
        </w:rPr>
        <w:t xml:space="preserve"> P950193_ </w:t>
      </w:r>
      <w:r>
        <w:rPr>
          <w:rFonts w:ascii="Times New Roman"/>
          <w:b w:val="false"/>
          <w:i w:val="false"/>
          <w:color w:val="000000"/>
          <w:sz w:val="28"/>
        </w:rPr>
        <w:t>
 "Об утверждении Положения о порядке приватизации объектов соцкультбыта, находящихся на балансе национальных, акционерных, государственных холдинговых и акционерных компаний, акционерных обществ и коллективных предприятий", от 14 июля 1995 г. N 975 
</w:t>
      </w:r>
      <w:r>
        <w:rPr>
          <w:rFonts w:ascii="Times New Roman"/>
          <w:b w:val="false"/>
          <w:i w:val="false"/>
          <w:color w:val="000000"/>
          <w:sz w:val="28"/>
        </w:rPr>
        <w:t xml:space="preserve"> P950975_ </w:t>
      </w:r>
      <w:r>
        <w:rPr>
          <w:rFonts w:ascii="Times New Roman"/>
          <w:b w:val="false"/>
          <w:i w:val="false"/>
          <w:color w:val="000000"/>
          <w:sz w:val="28"/>
        </w:rPr>
        <w:t>
 "Об утверждении Положения о порядке передачи объектов соцкультбыта, находящихся на балансе предприятий, местным исполнительным органам и дальнейшем их использовании" и от 8 августа 1995 года N 1098 "О передаче объектов здравоохранения, детских дошкольных учреждений и жилого фонда, состоящих на балансе конверсируемых предприятий, на баланс глав местных администраций в 1995 году" создана нормативная база организации работ по приватизации и приему-передаче социальных объектов. 
</w:t>
      </w:r>
      <w:r>
        <w:br/>
      </w:r>
      <w:r>
        <w:rPr>
          <w:rFonts w:ascii="Times New Roman"/>
          <w:b w:val="false"/>
          <w:i w:val="false"/>
          <w:color w:val="000000"/>
          <w:sz w:val="28"/>
        </w:rPr>
        <w:t>
      Государственной стратегией отделения объектов социальной сферы от предприятия рассматриваются основные подходы и принципы передачи объектов социальной сферы предприятий местным исполнительным органам на ближайшую перспективу, а также действия и ответственность Правительства, местных исполнительных органов и предприятий за сохранность социальных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Порядок действий при передаче объектов социальной сферы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Передача объектов социальной сферы на баланс местных исполнительных органов осуществляется согласно прилагаемому организационному плану (приложение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1996 год - организационный этап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Повсеместно создаются областные территориальные комиссии по приему-передаче объектов социальной сферы предприятий местным исполнительным органам (далее-Комиссии), в которые входят руководители аппаратов акимов, их самостоятельных исполнительных органов, а также территориальных комитетов по управлению государственным имуществом, предприятий, передающих указанные объекты. Комиссии обеспечивают организацию работ по сбору и анализу данных по передаваемым объектам и определяют приоритетные объекты. 
</w:t>
      </w:r>
      <w:r>
        <w:br/>
      </w:r>
      <w:r>
        <w:rPr>
          <w:rFonts w:ascii="Times New Roman"/>
          <w:b w:val="false"/>
          <w:i w:val="false"/>
          <w:color w:val="000000"/>
          <w:sz w:val="28"/>
        </w:rPr>
        <w:t>
      На каждый передаваемый объект составляется анкета, которая включает в себя полную характеристику (местонахождение, мощность, оснащенность и т.д.). Примерный перечень пообъектных данных прилагается (приложение 2). 
</w:t>
      </w:r>
      <w:r>
        <w:br/>
      </w:r>
      <w:r>
        <w:rPr>
          <w:rFonts w:ascii="Times New Roman"/>
          <w:b w:val="false"/>
          <w:i w:val="false"/>
          <w:color w:val="000000"/>
          <w:sz w:val="28"/>
        </w:rPr>
        <w:t>
      Данные анкеты заполняются передающими предприятиями и представляются в Комиссии. На основе полученной информации Комиссии составляют инвентарные списки передаваемых объектов, сгруппированных по видам деятельности (больницы, поликлиники, детские сады и т.д.). 
</w:t>
      </w:r>
      <w:r>
        <w:br/>
      </w:r>
      <w:r>
        <w:rPr>
          <w:rFonts w:ascii="Times New Roman"/>
          <w:b w:val="false"/>
          <w:i w:val="false"/>
          <w:color w:val="000000"/>
          <w:sz w:val="28"/>
        </w:rPr>
        <w:t>
      Соответствующие отделы аппаратов акимов областей и города Алматы рассчитывают варианты оптимизации сети социальных объектов путем их объединения, устранения дублирования функций, выхода на проектную мощность за счет расширения зоны обслуживания и др., вносят предложения по использованию высвобождающихся объектов, мощности которых остались невостребованными. 
</w:t>
      </w:r>
      <w:r>
        <w:br/>
      </w:r>
      <w:r>
        <w:rPr>
          <w:rFonts w:ascii="Times New Roman"/>
          <w:b w:val="false"/>
          <w:i w:val="false"/>
          <w:color w:val="000000"/>
          <w:sz w:val="28"/>
        </w:rPr>
        <w:t>
      На основании выбранных вариантов оптимизации сети объектов социальной сферы Комиссии и отделы аппаратов акимов составляют окончательные графики приема на 1997-1998 годы передаваемых предприятиями социально значимых объектов, которые утверждаются акимами областей и города Алматы. 
</w:t>
      </w:r>
      <w:r>
        <w:br/>
      </w:r>
      <w:r>
        <w:rPr>
          <w:rFonts w:ascii="Times New Roman"/>
          <w:b w:val="false"/>
          <w:i w:val="false"/>
          <w:color w:val="000000"/>
          <w:sz w:val="28"/>
        </w:rPr>
        <w:t>
      По объектам социальной сферы с учетом передаваемых рассчитывается потребность в средствах на их содержание. Определяется возможность финансирования этих объектов из местных бюджетов, а на непокрываемую часть расходов изыскиваются дополнительные источники финансирования.
</w:t>
      </w:r>
      <w:r>
        <w:br/>
      </w:r>
      <w:r>
        <w:rPr>
          <w:rFonts w:ascii="Times New Roman"/>
          <w:b w:val="false"/>
          <w:i w:val="false"/>
          <w:color w:val="000000"/>
          <w:sz w:val="28"/>
        </w:rPr>
        <w:t>
     Такими источниками могут быть:
</w:t>
      </w:r>
    </w:p>
    <w:p>
      <w:pPr>
        <w:spacing w:after="0"/>
        <w:ind w:left="0"/>
        <w:jc w:val="both"/>
      </w:pPr>
      <w:r>
        <w:rPr>
          <w:rFonts w:ascii="Times New Roman"/>
          <w:b w:val="false"/>
          <w:i w:val="false"/>
          <w:color w:val="000000"/>
          <w:sz w:val="28"/>
        </w:rPr>
        <w:t>
     увеличение платы родителей за содержание ребенка;
</w:t>
      </w:r>
    </w:p>
    <w:p>
      <w:pPr>
        <w:spacing w:after="0"/>
        <w:ind w:left="0"/>
        <w:jc w:val="both"/>
      </w:pPr>
      <w:r>
        <w:rPr>
          <w:rFonts w:ascii="Times New Roman"/>
          <w:b w:val="false"/>
          <w:i w:val="false"/>
          <w:color w:val="000000"/>
          <w:sz w:val="28"/>
        </w:rPr>
        <w:t>
     оказание дополнительных платных услуг;
</w:t>
      </w:r>
    </w:p>
    <w:p>
      <w:pPr>
        <w:spacing w:after="0"/>
        <w:ind w:left="0"/>
        <w:jc w:val="both"/>
      </w:pPr>
      <w:r>
        <w:rPr>
          <w:rFonts w:ascii="Times New Roman"/>
          <w:b w:val="false"/>
          <w:i w:val="false"/>
          <w:color w:val="000000"/>
          <w:sz w:val="28"/>
        </w:rPr>
        <w:t>
     средства, полученные от приватизации социальных объектов и оптимизации существующей сети;
</w:t>
      </w:r>
    </w:p>
    <w:p>
      <w:pPr>
        <w:spacing w:after="0"/>
        <w:ind w:left="0"/>
        <w:jc w:val="both"/>
      </w:pPr>
      <w:r>
        <w:rPr>
          <w:rFonts w:ascii="Times New Roman"/>
          <w:b w:val="false"/>
          <w:i w:val="false"/>
          <w:color w:val="000000"/>
          <w:sz w:val="28"/>
        </w:rPr>
        <w:t>
     благотворительные акции предприятий, которые изъявили желание поддерживать переданные социальные объекты в течение переходного периода;
</w:t>
      </w:r>
    </w:p>
    <w:p>
      <w:pPr>
        <w:spacing w:after="0"/>
        <w:ind w:left="0"/>
        <w:jc w:val="both"/>
      </w:pPr>
      <w:r>
        <w:rPr>
          <w:rFonts w:ascii="Times New Roman"/>
          <w:b w:val="false"/>
          <w:i w:val="false"/>
          <w:color w:val="000000"/>
          <w:sz w:val="28"/>
        </w:rPr>
        <w:t>
     долевое участие передающих предприятий (оговаривается соглашением или договором);
</w:t>
      </w:r>
    </w:p>
    <w:p>
      <w:pPr>
        <w:spacing w:after="0"/>
        <w:ind w:left="0"/>
        <w:jc w:val="both"/>
      </w:pPr>
      <w:r>
        <w:rPr>
          <w:rFonts w:ascii="Times New Roman"/>
          <w:b w:val="false"/>
          <w:i w:val="false"/>
          <w:color w:val="000000"/>
          <w:sz w:val="28"/>
        </w:rPr>
        <w:t>
     прочие источники.
</w:t>
      </w:r>
      <w:r>
        <w:br/>
      </w:r>
      <w:r>
        <w:rPr>
          <w:rFonts w:ascii="Times New Roman"/>
          <w:b w:val="false"/>
          <w:i w:val="false"/>
          <w:color w:val="000000"/>
          <w:sz w:val="28"/>
        </w:rPr>
        <w:t>
     При определении общей потребности в ассигнованиях на социальную сферу необходимо учитывать изменение порядка финансирования объектов здравоохранения через отделения Фонда медицинского страхования и увеличение объема оказание платных медицинских услуг, средства от которых могут использоваться на содержание медицинских учреждений. 
</w:t>
      </w:r>
      <w:r>
        <w:br/>
      </w:r>
      <w:r>
        <w:rPr>
          <w:rFonts w:ascii="Times New Roman"/>
          <w:b w:val="false"/>
          <w:i w:val="false"/>
          <w:color w:val="000000"/>
          <w:sz w:val="28"/>
        </w:rPr>
        <w:t>
      Потребность областей в финансировании социальной сферы рассматривается Министерством финансов и Министерством экономики Республики Казахстан совместно с заинтересованными министерствами при формировании проектов индикативного плана и бюджета. Министерство финансов и Министерство экономики Республики Казахстан доводят до областей в составе контрольных цифр в период разработки проектов индикативного плана и местных бюджетов показатели гарантированного размера расходов на содержание объектов здравоохранения и образования (дифференцированные по регионам) в расчете на одного жителя (одного ребенка, учащегося), отдельно по городской и сельской местности. 
</w:t>
      </w:r>
      <w:r>
        <w:br/>
      </w:r>
      <w:r>
        <w:rPr>
          <w:rFonts w:ascii="Times New Roman"/>
          <w:b w:val="false"/>
          <w:i w:val="false"/>
          <w:color w:val="000000"/>
          <w:sz w:val="28"/>
        </w:rPr>
        <w:t>
      Данные показатели будут учитываться при определении общего объема расходов на содержание объектов здравоохранения и образования из местных бюджетов, а также при определении размеров субвенций регионам из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Отделение объектов социальной сферы осуществляется с учетом их значимости для региона, оптимизации их сети, возможности самофинансирования, приватизации и других форм содержания и использования этих объектов.
</w:t>
      </w:r>
      <w:r>
        <w:br/>
      </w:r>
      <w:r>
        <w:rPr>
          <w:rFonts w:ascii="Times New Roman"/>
          <w:b w:val="false"/>
          <w:i w:val="false"/>
          <w:color w:val="000000"/>
          <w:sz w:val="28"/>
        </w:rPr>
        <w:t>
     На данном этапе завершится перевод жилищно-коммунальной сферы на бездотационное функционирование.
</w:t>
      </w:r>
    </w:p>
    <w:p>
      <w:pPr>
        <w:spacing w:after="0"/>
        <w:ind w:left="0"/>
        <w:jc w:val="both"/>
      </w:pPr>
      <w:r>
        <w:rPr>
          <w:rFonts w:ascii="Times New Roman"/>
          <w:b w:val="false"/>
          <w:i w:val="false"/>
          <w:color w:val="000000"/>
          <w:sz w:val="28"/>
        </w:rPr>
        <w:t>
       1997-1998 годы - этап повсеместной передачи социально
</w:t>
      </w:r>
      <w:r>
        <w:br/>
      </w:r>
      <w:r>
        <w:rPr>
          <w:rFonts w:ascii="Times New Roman"/>
          <w:b w:val="false"/>
          <w:i w:val="false"/>
          <w:color w:val="000000"/>
          <w:sz w:val="28"/>
        </w:rPr>
        <w:t>
         значимых объектов на баланс местных исполнительных
</w:t>
      </w:r>
      <w:r>
        <w:br/>
      </w:r>
      <w:r>
        <w:rPr>
          <w:rFonts w:ascii="Times New Roman"/>
          <w:b w:val="false"/>
          <w:i w:val="false"/>
          <w:color w:val="000000"/>
          <w:sz w:val="28"/>
        </w:rPr>
        <w:t>
                              органов
</w:t>
      </w:r>
    </w:p>
    <w:p>
      <w:pPr>
        <w:spacing w:after="0"/>
        <w:ind w:left="0"/>
        <w:jc w:val="both"/>
      </w:pPr>
      <w:r>
        <w:rPr>
          <w:rFonts w:ascii="Times New Roman"/>
          <w:b w:val="false"/>
          <w:i w:val="false"/>
          <w:color w:val="000000"/>
          <w:sz w:val="28"/>
        </w:rPr>
        <w:t>
     По социальным объектам (детским дошкольным учреждениям, школам, учреждениям здравоохранения) обеспечивается:
</w:t>
      </w:r>
      <w:r>
        <w:br/>
      </w:r>
      <w:r>
        <w:rPr>
          <w:rFonts w:ascii="Times New Roman"/>
          <w:b w:val="false"/>
          <w:i w:val="false"/>
          <w:color w:val="000000"/>
          <w:sz w:val="28"/>
        </w:rPr>
        <w:t>
     в 1997 году - прием-передача на местные бюджеты не менее 40 процентов от всех передаваемых объектов;
</w:t>
      </w:r>
      <w:r>
        <w:br/>
      </w:r>
      <w:r>
        <w:rPr>
          <w:rFonts w:ascii="Times New Roman"/>
          <w:b w:val="false"/>
          <w:i w:val="false"/>
          <w:color w:val="000000"/>
          <w:sz w:val="28"/>
        </w:rPr>
        <w:t>
     в 1998 году - завершается в основном прием-передача таких объектов местным исполнительным органам.
</w:t>
      </w:r>
    </w:p>
    <w:p>
      <w:pPr>
        <w:spacing w:after="0"/>
        <w:ind w:left="0"/>
        <w:jc w:val="both"/>
      </w:pPr>
      <w:r>
        <w:rPr>
          <w:rFonts w:ascii="Times New Roman"/>
          <w:b w:val="false"/>
          <w:i w:val="false"/>
          <w:color w:val="000000"/>
          <w:sz w:val="28"/>
        </w:rPr>
        <w:t>
                 1999-2000 годы - завершающий этап
</w:t>
      </w:r>
    </w:p>
    <w:p>
      <w:pPr>
        <w:spacing w:after="0"/>
        <w:ind w:left="0"/>
        <w:jc w:val="both"/>
      </w:pPr>
      <w:r>
        <w:rPr>
          <w:rFonts w:ascii="Times New Roman"/>
          <w:b w:val="false"/>
          <w:i w:val="false"/>
          <w:color w:val="000000"/>
          <w:sz w:val="28"/>
        </w:rPr>
        <w:t>
     На этом этапе заканчивается полностью работа по передаче объектов социальной сферы предприятий местным исполнительным органам с определением источников финансирования, порядка и условий их дальнейшего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июля 1996 г. N 844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Организационный план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поэтапной передачи объектов социальной сферы
</w:t>
      </w:r>
      <w:r>
        <w:br/>
      </w:r>
      <w:r>
        <w:rPr>
          <w:rFonts w:ascii="Times New Roman"/>
          <w:b w:val="false"/>
          <w:i w:val="false"/>
          <w:color w:val="000000"/>
          <w:sz w:val="28"/>
        </w:rPr>
        <w:t>
           юридических лиц местным исполнительным органам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N і           Мероприятие           і   Срок   і Ответственные за
</w:t>
      </w:r>
    </w:p>
    <w:p>
      <w:pPr>
        <w:spacing w:after="0"/>
        <w:ind w:left="0"/>
        <w:jc w:val="both"/>
      </w:pPr>
      <w:r>
        <w:rPr>
          <w:rFonts w:ascii="Times New Roman"/>
          <w:b w:val="false"/>
          <w:i w:val="false"/>
          <w:color w:val="000000"/>
          <w:sz w:val="28"/>
        </w:rPr>
        <w:t>
п/пі                                 іисполненияі    исполнение
</w:t>
      </w:r>
    </w:p>
    <w:p>
      <w:pPr>
        <w:spacing w:after="0"/>
        <w:ind w:left="0"/>
        <w:jc w:val="both"/>
      </w:pPr>
      <w:r>
        <w:rPr>
          <w:rFonts w:ascii="Times New Roman"/>
          <w:b w:val="false"/>
          <w:i w:val="false"/>
          <w:color w:val="000000"/>
          <w:sz w:val="28"/>
        </w:rPr>
        <w:t>
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1 і                2                і     3    і         4
</w:t>
      </w:r>
    </w:p>
    <w:p>
      <w:pPr>
        <w:spacing w:after="0"/>
        <w:ind w:left="0"/>
        <w:jc w:val="both"/>
      </w:pPr>
      <w:r>
        <w:rPr>
          <w:rFonts w:ascii="Times New Roman"/>
          <w:b w:val="false"/>
          <w:i w:val="false"/>
          <w:color w:val="000000"/>
          <w:sz w:val="28"/>
        </w:rPr>
        <w:t>
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1   Организация областных             июль 1996  Акимы областей и
</w:t>
      </w:r>
    </w:p>
    <w:p>
      <w:pPr>
        <w:spacing w:after="0"/>
        <w:ind w:left="0"/>
        <w:jc w:val="both"/>
      </w:pPr>
      <w:r>
        <w:rPr>
          <w:rFonts w:ascii="Times New Roman"/>
          <w:b w:val="false"/>
          <w:i w:val="false"/>
          <w:color w:val="000000"/>
          <w:sz w:val="28"/>
        </w:rPr>
        <w:t>
    территориальных комиссий по       года       г. Алматы
</w:t>
      </w:r>
    </w:p>
    <w:p>
      <w:pPr>
        <w:spacing w:after="0"/>
        <w:ind w:left="0"/>
        <w:jc w:val="both"/>
      </w:pPr>
      <w:r>
        <w:rPr>
          <w:rFonts w:ascii="Times New Roman"/>
          <w:b w:val="false"/>
          <w:i w:val="false"/>
          <w:color w:val="000000"/>
          <w:sz w:val="28"/>
        </w:rPr>
        <w:t>
    приему-передаче объектов
</w:t>
      </w:r>
    </w:p>
    <w:p>
      <w:pPr>
        <w:spacing w:after="0"/>
        <w:ind w:left="0"/>
        <w:jc w:val="both"/>
      </w:pPr>
      <w:r>
        <w:rPr>
          <w:rFonts w:ascii="Times New Roman"/>
          <w:b w:val="false"/>
          <w:i w:val="false"/>
          <w:color w:val="000000"/>
          <w:sz w:val="28"/>
        </w:rPr>
        <w:t>
    социальной сферы юридических лиц
</w:t>
      </w:r>
    </w:p>
    <w:p>
      <w:pPr>
        <w:spacing w:after="0"/>
        <w:ind w:left="0"/>
        <w:jc w:val="both"/>
      </w:pPr>
      <w:r>
        <w:rPr>
          <w:rFonts w:ascii="Times New Roman"/>
          <w:b w:val="false"/>
          <w:i w:val="false"/>
          <w:color w:val="000000"/>
          <w:sz w:val="28"/>
        </w:rPr>
        <w:t>
    (предприятий) местным
</w:t>
      </w:r>
    </w:p>
    <w:p>
      <w:pPr>
        <w:spacing w:after="0"/>
        <w:ind w:left="0"/>
        <w:jc w:val="both"/>
      </w:pPr>
      <w:r>
        <w:rPr>
          <w:rFonts w:ascii="Times New Roman"/>
          <w:b w:val="false"/>
          <w:i w:val="false"/>
          <w:color w:val="000000"/>
          <w:sz w:val="28"/>
        </w:rPr>
        <w:t>
    исполнительным органам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Сбор информационных данных по     июль 1996  Комиссии
</w:t>
      </w:r>
    </w:p>
    <w:p>
      <w:pPr>
        <w:spacing w:after="0"/>
        <w:ind w:left="0"/>
        <w:jc w:val="both"/>
      </w:pPr>
      <w:r>
        <w:rPr>
          <w:rFonts w:ascii="Times New Roman"/>
          <w:b w:val="false"/>
          <w:i w:val="false"/>
          <w:color w:val="000000"/>
          <w:sz w:val="28"/>
        </w:rPr>
        <w:t>
    каждому передаваемому объекту     года
</w:t>
      </w:r>
    </w:p>
    <w:p>
      <w:pPr>
        <w:spacing w:after="0"/>
        <w:ind w:left="0"/>
        <w:jc w:val="both"/>
      </w:pPr>
      <w:r>
        <w:rPr>
          <w:rFonts w:ascii="Times New Roman"/>
          <w:b w:val="false"/>
          <w:i w:val="false"/>
          <w:color w:val="000000"/>
          <w:sz w:val="28"/>
        </w:rPr>
        <w:t>
    социальной сферы по установленной
</w:t>
      </w:r>
    </w:p>
    <w:p>
      <w:pPr>
        <w:spacing w:after="0"/>
        <w:ind w:left="0"/>
        <w:jc w:val="both"/>
      </w:pPr>
      <w:r>
        <w:rPr>
          <w:rFonts w:ascii="Times New Roman"/>
          <w:b w:val="false"/>
          <w:i w:val="false"/>
          <w:color w:val="000000"/>
          <w:sz w:val="28"/>
        </w:rPr>
        <w:t>
    форме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Составление инвентарных списков   июль 1996  Комиссии
</w:t>
      </w:r>
    </w:p>
    <w:p>
      <w:pPr>
        <w:spacing w:after="0"/>
        <w:ind w:left="0"/>
        <w:jc w:val="both"/>
      </w:pPr>
      <w:r>
        <w:rPr>
          <w:rFonts w:ascii="Times New Roman"/>
          <w:b w:val="false"/>
          <w:i w:val="false"/>
          <w:color w:val="000000"/>
          <w:sz w:val="28"/>
        </w:rPr>
        <w:t>
    объектов социальной сферы по      года
</w:t>
      </w:r>
    </w:p>
    <w:p>
      <w:pPr>
        <w:spacing w:after="0"/>
        <w:ind w:left="0"/>
        <w:jc w:val="both"/>
      </w:pPr>
      <w:r>
        <w:rPr>
          <w:rFonts w:ascii="Times New Roman"/>
          <w:b w:val="false"/>
          <w:i w:val="false"/>
          <w:color w:val="000000"/>
          <w:sz w:val="28"/>
        </w:rPr>
        <w:t>
    видам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Утверждение порядка определения   июль 1996  Минобразования,
</w:t>
      </w:r>
    </w:p>
    <w:p>
      <w:pPr>
        <w:spacing w:after="0"/>
        <w:ind w:left="0"/>
        <w:jc w:val="both"/>
      </w:pPr>
      <w:r>
        <w:rPr>
          <w:rFonts w:ascii="Times New Roman"/>
          <w:b w:val="false"/>
          <w:i w:val="false"/>
          <w:color w:val="000000"/>
          <w:sz w:val="28"/>
        </w:rPr>
        <w:t>
    минимального размера расходов     года       Минздрав по
</w:t>
      </w:r>
    </w:p>
    <w:p>
      <w:pPr>
        <w:spacing w:after="0"/>
        <w:ind w:left="0"/>
        <w:jc w:val="both"/>
      </w:pPr>
      <w:r>
        <w:rPr>
          <w:rFonts w:ascii="Times New Roman"/>
          <w:b w:val="false"/>
          <w:i w:val="false"/>
          <w:color w:val="000000"/>
          <w:sz w:val="28"/>
        </w:rPr>
        <w:t>
    на содержание объектов                       согласованию с
</w:t>
      </w:r>
    </w:p>
    <w:p>
      <w:pPr>
        <w:spacing w:after="0"/>
        <w:ind w:left="0"/>
        <w:jc w:val="both"/>
      </w:pPr>
      <w:r>
        <w:rPr>
          <w:rFonts w:ascii="Times New Roman"/>
          <w:b w:val="false"/>
          <w:i w:val="false"/>
          <w:color w:val="000000"/>
          <w:sz w:val="28"/>
        </w:rPr>
        <w:t>
    образования и здравоохранения                Минфином
</w:t>
      </w:r>
    </w:p>
    <w:p>
      <w:pPr>
        <w:spacing w:after="0"/>
        <w:ind w:left="0"/>
        <w:jc w:val="both"/>
      </w:pPr>
      <w:r>
        <w:rPr>
          <w:rFonts w:ascii="Times New Roman"/>
          <w:b w:val="false"/>
          <w:i w:val="false"/>
          <w:color w:val="000000"/>
          <w:sz w:val="28"/>
        </w:rPr>
        <w:t>
                                                 Республики
</w:t>
      </w:r>
    </w:p>
    <w:p>
      <w:pPr>
        <w:spacing w:after="0"/>
        <w:ind w:left="0"/>
        <w:jc w:val="both"/>
      </w:pP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Определение минимального размера  до 10      Акимы областей и г.
</w:t>
      </w:r>
    </w:p>
    <w:p>
      <w:pPr>
        <w:spacing w:after="0"/>
        <w:ind w:left="0"/>
        <w:jc w:val="both"/>
      </w:pPr>
      <w:r>
        <w:rPr>
          <w:rFonts w:ascii="Times New Roman"/>
          <w:b w:val="false"/>
          <w:i w:val="false"/>
          <w:color w:val="000000"/>
          <w:sz w:val="28"/>
        </w:rPr>
        <w:t>
    расходов на содержание объектов   августа    Алматы
</w:t>
      </w:r>
    </w:p>
    <w:p>
      <w:pPr>
        <w:spacing w:after="0"/>
        <w:ind w:left="0"/>
        <w:jc w:val="both"/>
      </w:pPr>
      <w:r>
        <w:rPr>
          <w:rFonts w:ascii="Times New Roman"/>
          <w:b w:val="false"/>
          <w:i w:val="false"/>
          <w:color w:val="000000"/>
          <w:sz w:val="28"/>
        </w:rPr>
        <w:t>
    здравоохранения и образования из  1996 года
</w:t>
      </w:r>
    </w:p>
    <w:p>
      <w:pPr>
        <w:spacing w:after="0"/>
        <w:ind w:left="0"/>
        <w:jc w:val="both"/>
      </w:pPr>
      <w:r>
        <w:rPr>
          <w:rFonts w:ascii="Times New Roman"/>
          <w:b w:val="false"/>
          <w:i w:val="false"/>
          <w:color w:val="000000"/>
          <w:sz w:val="28"/>
        </w:rPr>
        <w:t>
    расчета на одного жителя, ребенка
</w:t>
      </w:r>
    </w:p>
    <w:p>
      <w:pPr>
        <w:spacing w:after="0"/>
        <w:ind w:left="0"/>
        <w:jc w:val="both"/>
      </w:pPr>
      <w:r>
        <w:rPr>
          <w:rFonts w:ascii="Times New Roman"/>
          <w:b w:val="false"/>
          <w:i w:val="false"/>
          <w:color w:val="000000"/>
          <w:sz w:val="28"/>
        </w:rPr>
        <w:t>
    дошкольного возраста (учащегося) -
</w:t>
      </w:r>
    </w:p>
    <w:p>
      <w:pPr>
        <w:spacing w:after="0"/>
        <w:ind w:left="0"/>
        <w:jc w:val="both"/>
      </w:pPr>
      <w:r>
        <w:rPr>
          <w:rFonts w:ascii="Times New Roman"/>
          <w:b w:val="false"/>
          <w:i w:val="false"/>
          <w:color w:val="000000"/>
          <w:sz w:val="28"/>
        </w:rPr>
        <w:t>
    по регионам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Расчет вариантов по оптимизации   до 15      Акимы областей и г.
</w:t>
      </w:r>
    </w:p>
    <w:p>
      <w:pPr>
        <w:spacing w:after="0"/>
        <w:ind w:left="0"/>
        <w:jc w:val="both"/>
      </w:pPr>
      <w:r>
        <w:rPr>
          <w:rFonts w:ascii="Times New Roman"/>
          <w:b w:val="false"/>
          <w:i w:val="false"/>
          <w:color w:val="000000"/>
          <w:sz w:val="28"/>
        </w:rPr>
        <w:t>
    сети объектов социальной сферы    августа    Алматы
</w:t>
      </w:r>
    </w:p>
    <w:p>
      <w:pPr>
        <w:spacing w:after="0"/>
        <w:ind w:left="0"/>
        <w:jc w:val="both"/>
      </w:pPr>
      <w:r>
        <w:rPr>
          <w:rFonts w:ascii="Times New Roman"/>
          <w:b w:val="false"/>
          <w:i w:val="false"/>
          <w:color w:val="000000"/>
          <w:sz w:val="28"/>
        </w:rPr>
        <w:t>
    региона с учетом принимаемых от   1996 года
</w:t>
      </w:r>
    </w:p>
    <w:p>
      <w:pPr>
        <w:spacing w:after="0"/>
        <w:ind w:left="0"/>
        <w:jc w:val="both"/>
      </w:pPr>
      <w:r>
        <w:rPr>
          <w:rFonts w:ascii="Times New Roman"/>
          <w:b w:val="false"/>
          <w:i w:val="false"/>
          <w:color w:val="000000"/>
          <w:sz w:val="28"/>
        </w:rPr>
        <w:t>
    предприятий объектов социальной
</w:t>
      </w:r>
    </w:p>
    <w:p>
      <w:pPr>
        <w:spacing w:after="0"/>
        <w:ind w:left="0"/>
        <w:jc w:val="both"/>
      </w:pPr>
      <w:r>
        <w:rPr>
          <w:rFonts w:ascii="Times New Roman"/>
          <w:b w:val="false"/>
          <w:i w:val="false"/>
          <w:color w:val="000000"/>
          <w:sz w:val="28"/>
        </w:rPr>
        <w:t>
    сферы. Определение потребности
</w:t>
      </w:r>
    </w:p>
    <w:p>
      <w:pPr>
        <w:spacing w:after="0"/>
        <w:ind w:left="0"/>
        <w:jc w:val="both"/>
      </w:pPr>
      <w:r>
        <w:rPr>
          <w:rFonts w:ascii="Times New Roman"/>
          <w:b w:val="false"/>
          <w:i w:val="false"/>
          <w:color w:val="000000"/>
          <w:sz w:val="28"/>
        </w:rPr>
        <w:t>
    в дополнительных ассигнованиях на
</w:t>
      </w:r>
    </w:p>
    <w:p>
      <w:pPr>
        <w:spacing w:after="0"/>
        <w:ind w:left="0"/>
        <w:jc w:val="both"/>
      </w:pPr>
      <w:r>
        <w:rPr>
          <w:rFonts w:ascii="Times New Roman"/>
          <w:b w:val="false"/>
          <w:i w:val="false"/>
          <w:color w:val="000000"/>
          <w:sz w:val="28"/>
        </w:rPr>
        <w:t>
    содержание социальной сферы за
</w:t>
      </w:r>
    </w:p>
    <w:p>
      <w:pPr>
        <w:spacing w:after="0"/>
        <w:ind w:left="0"/>
        <w:jc w:val="both"/>
      </w:pPr>
      <w:r>
        <w:rPr>
          <w:rFonts w:ascii="Times New Roman"/>
          <w:b w:val="false"/>
          <w:i w:val="false"/>
          <w:color w:val="000000"/>
          <w:sz w:val="28"/>
        </w:rPr>
        <w:t>
    счет средств соответствующих
</w:t>
      </w:r>
    </w:p>
    <w:p>
      <w:pPr>
        <w:spacing w:after="0"/>
        <w:ind w:left="0"/>
        <w:jc w:val="both"/>
      </w:pPr>
      <w:r>
        <w:rPr>
          <w:rFonts w:ascii="Times New Roman"/>
          <w:b w:val="false"/>
          <w:i w:val="false"/>
          <w:color w:val="000000"/>
          <w:sz w:val="28"/>
        </w:rPr>
        <w:t>
    бюджетов и дополнительно
</w:t>
      </w:r>
    </w:p>
    <w:p>
      <w:pPr>
        <w:spacing w:after="0"/>
        <w:ind w:left="0"/>
        <w:jc w:val="both"/>
      </w:pPr>
      <w:r>
        <w:rPr>
          <w:rFonts w:ascii="Times New Roman"/>
          <w:b w:val="false"/>
          <w:i w:val="false"/>
          <w:color w:val="000000"/>
          <w:sz w:val="28"/>
        </w:rPr>
        <w:t>
    привлеченных источников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Составление и утверждение графика до 20      Акимы областей и г.
</w:t>
      </w:r>
    </w:p>
    <w:p>
      <w:pPr>
        <w:spacing w:after="0"/>
        <w:ind w:left="0"/>
        <w:jc w:val="both"/>
      </w:pPr>
      <w:r>
        <w:rPr>
          <w:rFonts w:ascii="Times New Roman"/>
          <w:b w:val="false"/>
          <w:i w:val="false"/>
          <w:color w:val="000000"/>
          <w:sz w:val="28"/>
        </w:rPr>
        <w:t>
    приема объектов социальной сферы  августа    Алматы по
</w:t>
      </w:r>
    </w:p>
    <w:p>
      <w:pPr>
        <w:spacing w:after="0"/>
        <w:ind w:left="0"/>
        <w:jc w:val="both"/>
      </w:pPr>
      <w:r>
        <w:rPr>
          <w:rFonts w:ascii="Times New Roman"/>
          <w:b w:val="false"/>
          <w:i w:val="false"/>
          <w:color w:val="000000"/>
          <w:sz w:val="28"/>
        </w:rPr>
        <w:t>
    от юридических лиц (предприятий)  1996 года  представлению
</w:t>
      </w:r>
    </w:p>
    <w:p>
      <w:pPr>
        <w:spacing w:after="0"/>
        <w:ind w:left="0"/>
        <w:jc w:val="both"/>
      </w:pPr>
      <w:r>
        <w:rPr>
          <w:rFonts w:ascii="Times New Roman"/>
          <w:b w:val="false"/>
          <w:i w:val="false"/>
          <w:color w:val="000000"/>
          <w:sz w:val="28"/>
        </w:rPr>
        <w:t>
    на баланс местных исполнительных             Комиссий
</w:t>
      </w:r>
    </w:p>
    <w:p>
      <w:pPr>
        <w:spacing w:after="0"/>
        <w:ind w:left="0"/>
        <w:jc w:val="both"/>
      </w:pPr>
      <w:r>
        <w:rPr>
          <w:rFonts w:ascii="Times New Roman"/>
          <w:b w:val="false"/>
          <w:i w:val="false"/>
          <w:color w:val="000000"/>
          <w:sz w:val="28"/>
        </w:rPr>
        <w:t>
    органов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Рассмотрение, в сроки формирования сроки     Минфин Республики
</w:t>
      </w:r>
    </w:p>
    <w:p>
      <w:pPr>
        <w:spacing w:after="0"/>
        <w:ind w:left="0"/>
        <w:jc w:val="both"/>
      </w:pPr>
      <w:r>
        <w:rPr>
          <w:rFonts w:ascii="Times New Roman"/>
          <w:b w:val="false"/>
          <w:i w:val="false"/>
          <w:color w:val="000000"/>
          <w:sz w:val="28"/>
        </w:rPr>
        <w:t>
    проекта государственного бюджета, формиро-   Казахстан, акимы
</w:t>
      </w:r>
    </w:p>
    <w:p>
      <w:pPr>
        <w:spacing w:after="0"/>
        <w:ind w:left="0"/>
        <w:jc w:val="both"/>
      </w:pPr>
      <w:r>
        <w:rPr>
          <w:rFonts w:ascii="Times New Roman"/>
          <w:b w:val="false"/>
          <w:i w:val="false"/>
          <w:color w:val="000000"/>
          <w:sz w:val="28"/>
        </w:rPr>
        <w:t>
    представленных областями графиков вания      областей и г.
</w:t>
      </w:r>
    </w:p>
    <w:p>
      <w:pPr>
        <w:spacing w:after="0"/>
        <w:ind w:left="0"/>
        <w:jc w:val="both"/>
      </w:pPr>
      <w:r>
        <w:rPr>
          <w:rFonts w:ascii="Times New Roman"/>
          <w:b w:val="false"/>
          <w:i w:val="false"/>
          <w:color w:val="000000"/>
          <w:sz w:val="28"/>
        </w:rPr>
        <w:t>
    приема-передачи социально         бюджета    Алматы
</w:t>
      </w:r>
    </w:p>
    <w:p>
      <w:pPr>
        <w:spacing w:after="0"/>
        <w:ind w:left="0"/>
        <w:jc w:val="both"/>
      </w:pPr>
      <w:r>
        <w:rPr>
          <w:rFonts w:ascii="Times New Roman"/>
          <w:b w:val="false"/>
          <w:i w:val="false"/>
          <w:color w:val="000000"/>
          <w:sz w:val="28"/>
        </w:rPr>
        <w:t>
    значимых объектов на предстоящий
</w:t>
      </w:r>
    </w:p>
    <w:p>
      <w:pPr>
        <w:spacing w:after="0"/>
        <w:ind w:left="0"/>
        <w:jc w:val="both"/>
      </w:pPr>
      <w:r>
        <w:rPr>
          <w:rFonts w:ascii="Times New Roman"/>
          <w:b w:val="false"/>
          <w:i w:val="false"/>
          <w:color w:val="000000"/>
          <w:sz w:val="28"/>
        </w:rPr>
        <w:t>
    год с учетом дополнительной
</w:t>
      </w:r>
    </w:p>
    <w:p>
      <w:pPr>
        <w:spacing w:after="0"/>
        <w:ind w:left="0"/>
        <w:jc w:val="both"/>
      </w:pPr>
      <w:r>
        <w:rPr>
          <w:rFonts w:ascii="Times New Roman"/>
          <w:b w:val="false"/>
          <w:i w:val="false"/>
          <w:color w:val="000000"/>
          <w:sz w:val="28"/>
        </w:rPr>
        <w:t>
    потребности в средствах для
</w:t>
      </w:r>
    </w:p>
    <w:p>
      <w:pPr>
        <w:spacing w:after="0"/>
        <w:ind w:left="0"/>
        <w:jc w:val="both"/>
      </w:pPr>
      <w:r>
        <w:rPr>
          <w:rFonts w:ascii="Times New Roman"/>
          <w:b w:val="false"/>
          <w:i w:val="false"/>
          <w:color w:val="000000"/>
          <w:sz w:val="28"/>
        </w:rPr>
        <w:t>
    определения размера субвенций по
</w:t>
      </w:r>
    </w:p>
    <w:p>
      <w:pPr>
        <w:spacing w:after="0"/>
        <w:ind w:left="0"/>
        <w:jc w:val="both"/>
      </w:pPr>
      <w:r>
        <w:rPr>
          <w:rFonts w:ascii="Times New Roman"/>
          <w:b w:val="false"/>
          <w:i w:val="false"/>
          <w:color w:val="000000"/>
          <w:sz w:val="28"/>
        </w:rPr>
        <w:t>
    областям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Прием объектов социальной сферы   в течение  Акимы областей и г.
</w:t>
      </w:r>
    </w:p>
    <w:p>
      <w:pPr>
        <w:spacing w:after="0"/>
        <w:ind w:left="0"/>
        <w:jc w:val="both"/>
      </w:pPr>
      <w:r>
        <w:rPr>
          <w:rFonts w:ascii="Times New Roman"/>
          <w:b w:val="false"/>
          <w:i w:val="false"/>
          <w:color w:val="000000"/>
          <w:sz w:val="28"/>
        </w:rPr>
        <w:t>
    юридических лиц (предприятий) в   1997-1998  Алматы, юридические
</w:t>
      </w:r>
    </w:p>
    <w:p>
      <w:pPr>
        <w:spacing w:after="0"/>
        <w:ind w:left="0"/>
        <w:jc w:val="both"/>
      </w:pPr>
      <w:r>
        <w:rPr>
          <w:rFonts w:ascii="Times New Roman"/>
          <w:b w:val="false"/>
          <w:i w:val="false"/>
          <w:color w:val="000000"/>
          <w:sz w:val="28"/>
        </w:rPr>
        <w:t>
    сроки, предусмотренные графиком   годов      лица (предприятия)
</w:t>
      </w:r>
    </w:p>
    <w:p>
      <w:pPr>
        <w:spacing w:after="0"/>
        <w:ind w:left="0"/>
        <w:jc w:val="both"/>
      </w:pPr>
      <w:r>
        <w:rPr>
          <w:rFonts w:ascii="Times New Roman"/>
          <w:b w:val="false"/>
          <w:i w:val="false"/>
          <w:color w:val="000000"/>
          <w:sz w:val="28"/>
        </w:rPr>
        <w:t>
    приема-передачи на
</w:t>
      </w:r>
    </w:p>
    <w:p>
      <w:pPr>
        <w:spacing w:after="0"/>
        <w:ind w:left="0"/>
        <w:jc w:val="both"/>
      </w:pPr>
      <w:r>
        <w:rPr>
          <w:rFonts w:ascii="Times New Roman"/>
          <w:b w:val="false"/>
          <w:i w:val="false"/>
          <w:color w:val="000000"/>
          <w:sz w:val="28"/>
        </w:rPr>
        <w:t>
    соответствующий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Отделение от юридических лиц      в течение  Акимы областей и г.
</w:t>
      </w:r>
    </w:p>
    <w:p>
      <w:pPr>
        <w:spacing w:after="0"/>
        <w:ind w:left="0"/>
        <w:jc w:val="both"/>
      </w:pPr>
      <w:r>
        <w:rPr>
          <w:rFonts w:ascii="Times New Roman"/>
          <w:b w:val="false"/>
          <w:i w:val="false"/>
          <w:color w:val="000000"/>
          <w:sz w:val="28"/>
        </w:rPr>
        <w:t>
    (предприятий) объектов            1997-2000  Алматы,
</w:t>
      </w:r>
    </w:p>
    <w:p>
      <w:pPr>
        <w:spacing w:after="0"/>
        <w:ind w:left="0"/>
        <w:jc w:val="both"/>
      </w:pPr>
      <w:r>
        <w:rPr>
          <w:rFonts w:ascii="Times New Roman"/>
          <w:b w:val="false"/>
          <w:i w:val="false"/>
          <w:color w:val="000000"/>
          <w:sz w:val="28"/>
        </w:rPr>
        <w:t>
    социальной сферы, не подлежащих   годов      территориальные
</w:t>
      </w:r>
    </w:p>
    <w:p>
      <w:pPr>
        <w:spacing w:after="0"/>
        <w:ind w:left="0"/>
        <w:jc w:val="both"/>
      </w:pPr>
      <w:r>
        <w:rPr>
          <w:rFonts w:ascii="Times New Roman"/>
          <w:b w:val="false"/>
          <w:i w:val="false"/>
          <w:color w:val="000000"/>
          <w:sz w:val="28"/>
        </w:rPr>
        <w:t>
    передаче на местные бюджеты:                 комитеты по
</w:t>
      </w:r>
    </w:p>
    <w:p>
      <w:pPr>
        <w:spacing w:after="0"/>
        <w:ind w:left="0"/>
        <w:jc w:val="both"/>
      </w:pPr>
      <w:r>
        <w:rPr>
          <w:rFonts w:ascii="Times New Roman"/>
          <w:b w:val="false"/>
          <w:i w:val="false"/>
          <w:color w:val="000000"/>
          <w:sz w:val="28"/>
        </w:rPr>
        <w:t>
    определение источников                       управлению
</w:t>
      </w:r>
    </w:p>
    <w:p>
      <w:pPr>
        <w:spacing w:after="0"/>
        <w:ind w:left="0"/>
        <w:jc w:val="both"/>
      </w:pPr>
      <w:r>
        <w:rPr>
          <w:rFonts w:ascii="Times New Roman"/>
          <w:b w:val="false"/>
          <w:i w:val="false"/>
          <w:color w:val="000000"/>
          <w:sz w:val="28"/>
        </w:rPr>
        <w:t>
    финансирования, порядка и                    госимуществом,
</w:t>
      </w:r>
    </w:p>
    <w:p>
      <w:pPr>
        <w:spacing w:after="0"/>
        <w:ind w:left="0"/>
        <w:jc w:val="both"/>
      </w:pPr>
      <w:r>
        <w:rPr>
          <w:rFonts w:ascii="Times New Roman"/>
          <w:b w:val="false"/>
          <w:i w:val="false"/>
          <w:color w:val="000000"/>
          <w:sz w:val="28"/>
        </w:rPr>
        <w:t>
    условий их дальнейшего                       юридические лица
</w:t>
      </w:r>
    </w:p>
    <w:p>
      <w:pPr>
        <w:spacing w:after="0"/>
        <w:ind w:left="0"/>
        <w:jc w:val="both"/>
      </w:pPr>
      <w:r>
        <w:rPr>
          <w:rFonts w:ascii="Times New Roman"/>
          <w:b w:val="false"/>
          <w:i w:val="false"/>
          <w:color w:val="000000"/>
          <w:sz w:val="28"/>
        </w:rPr>
        <w:t>
    использования                                (предприятия)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июля 1996 г. N 844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Примерный перечень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пообъектных данных, необходимых
</w:t>
      </w:r>
      <w:r>
        <w:br/>
      </w:r>
      <w:r>
        <w:rPr>
          <w:rFonts w:ascii="Times New Roman"/>
          <w:b w:val="false"/>
          <w:i w:val="false"/>
          <w:color w:val="000000"/>
          <w:sz w:val="28"/>
        </w:rPr>
        <w:t>
                для составления инвентарных списков
</w:t>
      </w:r>
    </w:p>
    <w:p>
      <w:pPr>
        <w:spacing w:after="0"/>
        <w:ind w:left="0"/>
        <w:jc w:val="both"/>
      </w:pPr>
      <w:r>
        <w:rPr>
          <w:rFonts w:ascii="Times New Roman"/>
          <w:b w:val="false"/>
          <w:i w:val="false"/>
          <w:color w:val="000000"/>
          <w:sz w:val="28"/>
        </w:rPr>
        <w:t>
     Тип организации: Детское дошкольное учреждение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Характеристика объекта     і           Примечание
</w:t>
      </w:r>
    </w:p>
    <w:p>
      <w:pPr>
        <w:spacing w:after="0"/>
        <w:ind w:left="0"/>
        <w:jc w:val="both"/>
      </w:pPr>
      <w:r>
        <w:rPr>
          <w:rFonts w:ascii="Times New Roman"/>
          <w:b w:val="false"/>
          <w:i w:val="false"/>
          <w:color w:val="000000"/>
          <w:sz w:val="28"/>
        </w:rPr>
        <w:t>
социальной сферы           і
</w:t>
      </w:r>
    </w:p>
    <w:p>
      <w:pPr>
        <w:spacing w:after="0"/>
        <w:ind w:left="0"/>
        <w:jc w:val="both"/>
      </w:pPr>
      <w:r>
        <w:rPr>
          <w:rFonts w:ascii="Times New Roman"/>
          <w:b w:val="false"/>
          <w:i w:val="false"/>
          <w:color w:val="000000"/>
          <w:sz w:val="28"/>
        </w:rPr>
        <w:t>
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1               і                 2
</w:t>
      </w:r>
    </w:p>
    <w:p>
      <w:pPr>
        <w:spacing w:after="0"/>
        <w:ind w:left="0"/>
        <w:jc w:val="both"/>
      </w:pPr>
      <w:r>
        <w:rPr>
          <w:rFonts w:ascii="Times New Roman"/>
          <w:b w:val="false"/>
          <w:i w:val="false"/>
          <w:color w:val="000000"/>
          <w:sz w:val="28"/>
        </w:rPr>
        <w:t>
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Наименование и кодовое      Каждому детскому дошкольному
</w:t>
      </w:r>
    </w:p>
    <w:p>
      <w:pPr>
        <w:spacing w:after="0"/>
        <w:ind w:left="0"/>
        <w:jc w:val="both"/>
      </w:pPr>
      <w:r>
        <w:rPr>
          <w:rFonts w:ascii="Times New Roman"/>
          <w:b w:val="false"/>
          <w:i w:val="false"/>
          <w:color w:val="000000"/>
          <w:sz w:val="28"/>
        </w:rPr>
        <w:t>
обозначение                 учреждению должен быть присвоен номер
</w:t>
      </w:r>
    </w:p>
    <w:p>
      <w:pPr>
        <w:spacing w:after="0"/>
        <w:ind w:left="0"/>
        <w:jc w:val="both"/>
      </w:pPr>
      <w:r>
        <w:rPr>
          <w:rFonts w:ascii="Times New Roman"/>
          <w:b w:val="false"/>
          <w:i w:val="false"/>
          <w:color w:val="000000"/>
          <w:sz w:val="28"/>
        </w:rPr>
        <w:t>
                            кода для регистрации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Местонахождение             Область, город, район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Адрес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Вид собственности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Материально-техническое
</w:t>
      </w:r>
    </w:p>
    <w:p>
      <w:pPr>
        <w:spacing w:after="0"/>
        <w:ind w:left="0"/>
        <w:jc w:val="both"/>
      </w:pPr>
      <w:r>
        <w:rPr>
          <w:rFonts w:ascii="Times New Roman"/>
          <w:b w:val="false"/>
          <w:i w:val="false"/>
          <w:color w:val="000000"/>
          <w:sz w:val="28"/>
        </w:rPr>
        <w:t>
     обеспечение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Тип здания                  Этажность, часть одного(много)этажного
</w:t>
      </w:r>
    </w:p>
    <w:p>
      <w:pPr>
        <w:spacing w:after="0"/>
        <w:ind w:left="0"/>
        <w:jc w:val="both"/>
      </w:pPr>
      <w:r>
        <w:rPr>
          <w:rFonts w:ascii="Times New Roman"/>
          <w:b w:val="false"/>
          <w:i w:val="false"/>
          <w:color w:val="000000"/>
          <w:sz w:val="28"/>
        </w:rPr>
        <w:t>
                            дома и др.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Число помещений,            Количество учебных комнат, офисов,
</w:t>
      </w:r>
    </w:p>
    <w:p>
      <w:pPr>
        <w:spacing w:after="0"/>
        <w:ind w:left="0"/>
        <w:jc w:val="both"/>
      </w:pPr>
      <w:r>
        <w:rPr>
          <w:rFonts w:ascii="Times New Roman"/>
          <w:b w:val="false"/>
          <w:i w:val="false"/>
          <w:color w:val="000000"/>
          <w:sz w:val="28"/>
        </w:rPr>
        <w:t>
занимаемая площадь (кв.м)   музыкальных залов, кухонь и др.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Коммунальные услуги         Отопление, электричество, вода,
</w:t>
      </w:r>
    </w:p>
    <w:p>
      <w:pPr>
        <w:spacing w:after="0"/>
        <w:ind w:left="0"/>
        <w:jc w:val="both"/>
      </w:pPr>
      <w:r>
        <w:rPr>
          <w:rFonts w:ascii="Times New Roman"/>
          <w:b w:val="false"/>
          <w:i w:val="false"/>
          <w:color w:val="000000"/>
          <w:sz w:val="28"/>
        </w:rPr>
        <w:t>
                            санитарные объекты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Прилегающая территория      Занимаемая площадь (га) и имеющиеся
</w:t>
      </w:r>
    </w:p>
    <w:p>
      <w:pPr>
        <w:spacing w:after="0"/>
        <w:ind w:left="0"/>
        <w:jc w:val="both"/>
      </w:pPr>
      <w:r>
        <w:rPr>
          <w:rFonts w:ascii="Times New Roman"/>
          <w:b w:val="false"/>
          <w:i w:val="false"/>
          <w:color w:val="000000"/>
          <w:sz w:val="28"/>
        </w:rPr>
        <w:t>
                            на ней строения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Общее техническое           Год постройки, сейсмостойкость, тип
</w:t>
      </w:r>
    </w:p>
    <w:p>
      <w:pPr>
        <w:spacing w:after="0"/>
        <w:ind w:left="0"/>
        <w:jc w:val="both"/>
      </w:pPr>
      <w:r>
        <w:rPr>
          <w:rFonts w:ascii="Times New Roman"/>
          <w:b w:val="false"/>
          <w:i w:val="false"/>
          <w:color w:val="000000"/>
          <w:sz w:val="28"/>
        </w:rPr>
        <w:t>
состояние                   строения (панельное, кирпичное, и др.),
</w:t>
      </w:r>
    </w:p>
    <w:p>
      <w:pPr>
        <w:spacing w:after="0"/>
        <w:ind w:left="0"/>
        <w:jc w:val="both"/>
      </w:pPr>
      <w:r>
        <w:rPr>
          <w:rFonts w:ascii="Times New Roman"/>
          <w:b w:val="false"/>
          <w:i w:val="false"/>
          <w:color w:val="000000"/>
          <w:sz w:val="28"/>
        </w:rPr>
        <w:t>
                            износ здания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Эксплуатационная            (информация за предыдущий и текущий
</w:t>
      </w:r>
    </w:p>
    <w:p>
      <w:pPr>
        <w:spacing w:after="0"/>
        <w:ind w:left="0"/>
        <w:jc w:val="both"/>
      </w:pPr>
      <w:r>
        <w:rPr>
          <w:rFonts w:ascii="Times New Roman"/>
          <w:b w:val="false"/>
          <w:i w:val="false"/>
          <w:color w:val="000000"/>
          <w:sz w:val="28"/>
        </w:rPr>
        <w:t>
мощность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Число групп
</w:t>
      </w:r>
    </w:p>
    <w:p>
      <w:pPr>
        <w:spacing w:after="0"/>
        <w:ind w:left="0"/>
        <w:jc w:val="both"/>
      </w:pPr>
      <w:r>
        <w:rPr>
          <w:rFonts w:ascii="Times New Roman"/>
          <w:b w:val="false"/>
          <w:i w:val="false"/>
          <w:color w:val="000000"/>
          <w:sz w:val="28"/>
        </w:rPr>
        <w:t>
Число детей                 По полу и возрасту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Язык обучения
</w:t>
      </w:r>
    </w:p>
    <w:p>
      <w:pPr>
        <w:spacing w:after="0"/>
        <w:ind w:left="0"/>
        <w:jc w:val="both"/>
      </w:pPr>
      <w:r>
        <w:rPr>
          <w:rFonts w:ascii="Times New Roman"/>
          <w:b w:val="false"/>
          <w:i w:val="false"/>
          <w:color w:val="000000"/>
          <w:sz w:val="28"/>
        </w:rPr>
        <w:t>
Специальные группы          Для детей с физическими и др.
</w:t>
      </w:r>
    </w:p>
    <w:p>
      <w:pPr>
        <w:spacing w:after="0"/>
        <w:ind w:left="0"/>
        <w:jc w:val="both"/>
      </w:pPr>
      <w:r>
        <w:rPr>
          <w:rFonts w:ascii="Times New Roman"/>
          <w:b w:val="false"/>
          <w:i w:val="false"/>
          <w:color w:val="000000"/>
          <w:sz w:val="28"/>
        </w:rPr>
        <w:t>
                            недостатками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Режим работы
</w:t>
      </w:r>
    </w:p>
    <w:p>
      <w:pPr>
        <w:spacing w:after="0"/>
        <w:ind w:left="0"/>
        <w:jc w:val="both"/>
      </w:pPr>
      <w:r>
        <w:rPr>
          <w:rFonts w:ascii="Times New Roman"/>
          <w:b w:val="false"/>
          <w:i w:val="false"/>
          <w:color w:val="000000"/>
          <w:sz w:val="28"/>
        </w:rPr>
        <w:t>
Режим питания
</w:t>
      </w:r>
    </w:p>
    <w:p>
      <w:pPr>
        <w:spacing w:after="0"/>
        <w:ind w:left="0"/>
        <w:jc w:val="both"/>
      </w:pPr>
      <w:r>
        <w:rPr>
          <w:rFonts w:ascii="Times New Roman"/>
          <w:b w:val="false"/>
          <w:i w:val="false"/>
          <w:color w:val="000000"/>
          <w:sz w:val="28"/>
        </w:rPr>
        <w:t>
Процент родителей,
</w:t>
      </w:r>
    </w:p>
    <w:p>
      <w:pPr>
        <w:spacing w:after="0"/>
        <w:ind w:left="0"/>
        <w:jc w:val="both"/>
      </w:pPr>
      <w:r>
        <w:rPr>
          <w:rFonts w:ascii="Times New Roman"/>
          <w:b w:val="false"/>
          <w:i w:val="false"/>
          <w:color w:val="000000"/>
          <w:sz w:val="28"/>
        </w:rPr>
        <w:t>
освобожденных от платы
</w:t>
      </w:r>
    </w:p>
    <w:p>
      <w:pPr>
        <w:spacing w:after="0"/>
        <w:ind w:left="0"/>
        <w:jc w:val="both"/>
      </w:pPr>
      <w:r>
        <w:rPr>
          <w:rFonts w:ascii="Times New Roman"/>
          <w:b w:val="false"/>
          <w:i w:val="false"/>
          <w:color w:val="000000"/>
          <w:sz w:val="28"/>
        </w:rPr>
        <w:t>
за посещение детьми
</w:t>
      </w:r>
    </w:p>
    <w:p>
      <w:pPr>
        <w:spacing w:after="0"/>
        <w:ind w:left="0"/>
        <w:jc w:val="both"/>
      </w:pPr>
      <w:r>
        <w:rPr>
          <w:rFonts w:ascii="Times New Roman"/>
          <w:b w:val="false"/>
          <w:i w:val="false"/>
          <w:color w:val="000000"/>
          <w:sz w:val="28"/>
        </w:rPr>
        <w:t>
детских дошкольных
</w:t>
      </w:r>
    </w:p>
    <w:p>
      <w:pPr>
        <w:spacing w:after="0"/>
        <w:ind w:left="0"/>
        <w:jc w:val="both"/>
      </w:pPr>
      <w:r>
        <w:rPr>
          <w:rFonts w:ascii="Times New Roman"/>
          <w:b w:val="false"/>
          <w:i w:val="false"/>
          <w:color w:val="000000"/>
          <w:sz w:val="28"/>
        </w:rPr>
        <w:t>
учреждений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Персонал
</w:t>
      </w:r>
    </w:p>
    <w:p>
      <w:pPr>
        <w:spacing w:after="0"/>
        <w:ind w:left="0"/>
        <w:jc w:val="both"/>
      </w:pPr>
      <w:r>
        <w:rPr>
          <w:rFonts w:ascii="Times New Roman"/>
          <w:b w:val="false"/>
          <w:i w:val="false"/>
          <w:color w:val="000000"/>
          <w:sz w:val="28"/>
        </w:rPr>
        <w:t>
Всего работников
</w:t>
      </w:r>
    </w:p>
    <w:p>
      <w:pPr>
        <w:spacing w:after="0"/>
        <w:ind w:left="0"/>
        <w:jc w:val="both"/>
      </w:pPr>
      <w:r>
        <w:rPr>
          <w:rFonts w:ascii="Times New Roman"/>
          <w:b w:val="false"/>
          <w:i w:val="false"/>
          <w:color w:val="000000"/>
          <w:sz w:val="28"/>
        </w:rPr>
        <w:t>
в т.ч.
</w:t>
      </w:r>
    </w:p>
    <w:p>
      <w:pPr>
        <w:spacing w:after="0"/>
        <w:ind w:left="0"/>
        <w:jc w:val="both"/>
      </w:pPr>
      <w:r>
        <w:rPr>
          <w:rFonts w:ascii="Times New Roman"/>
          <w:b w:val="false"/>
          <w:i w:val="false"/>
          <w:color w:val="000000"/>
          <w:sz w:val="28"/>
        </w:rPr>
        <w:t>
основной персонал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(фактически за последний год и оценка
</w:t>
      </w:r>
    </w:p>
    <w:p>
      <w:pPr>
        <w:spacing w:after="0"/>
        <w:ind w:left="0"/>
        <w:jc w:val="both"/>
      </w:pPr>
      <w:r>
        <w:rPr>
          <w:rFonts w:ascii="Times New Roman"/>
          <w:b w:val="false"/>
          <w:i w:val="false"/>
          <w:color w:val="000000"/>
          <w:sz w:val="28"/>
        </w:rPr>
        <w:t>
                             на текущий год)
</w:t>
      </w:r>
    </w:p>
    <w:p>
      <w:pPr>
        <w:spacing w:after="0"/>
        <w:ind w:left="0"/>
        <w:jc w:val="both"/>
      </w:pPr>
      <w:r>
        <w:rPr>
          <w:rFonts w:ascii="Times New Roman"/>
          <w:b w:val="false"/>
          <w:i w:val="false"/>
          <w:color w:val="000000"/>
          <w:sz w:val="28"/>
        </w:rPr>
        <w:t>
Расходы на:
</w:t>
      </w:r>
    </w:p>
    <w:p>
      <w:pPr>
        <w:spacing w:after="0"/>
        <w:ind w:left="0"/>
        <w:jc w:val="both"/>
      </w:pPr>
      <w:r>
        <w:rPr>
          <w:rFonts w:ascii="Times New Roman"/>
          <w:b w:val="false"/>
          <w:i w:val="false"/>
          <w:color w:val="000000"/>
          <w:sz w:val="28"/>
        </w:rPr>
        <w:t>
  содержание персонала;
</w:t>
      </w:r>
    </w:p>
    <w:p>
      <w:pPr>
        <w:spacing w:after="0"/>
        <w:ind w:left="0"/>
        <w:jc w:val="both"/>
      </w:pPr>
      <w:r>
        <w:rPr>
          <w:rFonts w:ascii="Times New Roman"/>
          <w:b w:val="false"/>
          <w:i w:val="false"/>
          <w:color w:val="000000"/>
          <w:sz w:val="28"/>
        </w:rPr>
        <w:t>
  отопление и др.
</w:t>
      </w:r>
    </w:p>
    <w:p>
      <w:pPr>
        <w:spacing w:after="0"/>
        <w:ind w:left="0"/>
        <w:jc w:val="both"/>
      </w:pPr>
      <w:r>
        <w:rPr>
          <w:rFonts w:ascii="Times New Roman"/>
          <w:b w:val="false"/>
          <w:i w:val="false"/>
          <w:color w:val="000000"/>
          <w:sz w:val="28"/>
        </w:rPr>
        <w:t>
  коммунальные услуги;
</w:t>
      </w:r>
    </w:p>
    <w:p>
      <w:pPr>
        <w:spacing w:after="0"/>
        <w:ind w:left="0"/>
        <w:jc w:val="both"/>
      </w:pPr>
      <w:r>
        <w:rPr>
          <w:rFonts w:ascii="Times New Roman"/>
          <w:b w:val="false"/>
          <w:i w:val="false"/>
          <w:color w:val="000000"/>
          <w:sz w:val="28"/>
        </w:rPr>
        <w:t>
  ремонт зданий и
</w:t>
      </w:r>
    </w:p>
    <w:p>
      <w:pPr>
        <w:spacing w:after="0"/>
        <w:ind w:left="0"/>
        <w:jc w:val="both"/>
      </w:pPr>
      <w:r>
        <w:rPr>
          <w:rFonts w:ascii="Times New Roman"/>
          <w:b w:val="false"/>
          <w:i w:val="false"/>
          <w:color w:val="000000"/>
          <w:sz w:val="28"/>
        </w:rPr>
        <w:t>
  сооружений;
</w:t>
      </w:r>
    </w:p>
    <w:p>
      <w:pPr>
        <w:spacing w:after="0"/>
        <w:ind w:left="0"/>
        <w:jc w:val="both"/>
      </w:pPr>
      <w:r>
        <w:rPr>
          <w:rFonts w:ascii="Times New Roman"/>
          <w:b w:val="false"/>
          <w:i w:val="false"/>
          <w:color w:val="000000"/>
          <w:sz w:val="28"/>
        </w:rPr>
        <w:t>
  питание;
</w:t>
      </w:r>
    </w:p>
    <w:p>
      <w:pPr>
        <w:spacing w:after="0"/>
        <w:ind w:left="0"/>
        <w:jc w:val="both"/>
      </w:pP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Доходы:
</w:t>
      </w:r>
    </w:p>
    <w:p>
      <w:pPr>
        <w:spacing w:after="0"/>
        <w:ind w:left="0"/>
        <w:jc w:val="both"/>
      </w:pPr>
      <w:r>
        <w:rPr>
          <w:rFonts w:ascii="Times New Roman"/>
          <w:b w:val="false"/>
          <w:i w:val="false"/>
          <w:color w:val="000000"/>
          <w:sz w:val="28"/>
        </w:rPr>
        <w:t>
  средства, выделяемые
</w:t>
      </w:r>
    </w:p>
    <w:p>
      <w:pPr>
        <w:spacing w:after="0"/>
        <w:ind w:left="0"/>
        <w:jc w:val="both"/>
      </w:pPr>
      <w:r>
        <w:rPr>
          <w:rFonts w:ascii="Times New Roman"/>
          <w:b w:val="false"/>
          <w:i w:val="false"/>
          <w:color w:val="000000"/>
          <w:sz w:val="28"/>
        </w:rPr>
        <w:t>
  юридическим лицом,
</w:t>
      </w:r>
    </w:p>
    <w:p>
      <w:pPr>
        <w:spacing w:after="0"/>
        <w:ind w:left="0"/>
        <w:jc w:val="both"/>
      </w:pPr>
      <w:r>
        <w:rPr>
          <w:rFonts w:ascii="Times New Roman"/>
          <w:b w:val="false"/>
          <w:i w:val="false"/>
          <w:color w:val="000000"/>
          <w:sz w:val="28"/>
        </w:rPr>
        <w:t>
  на балансе которого
</w:t>
      </w:r>
    </w:p>
    <w:p>
      <w:pPr>
        <w:spacing w:after="0"/>
        <w:ind w:left="0"/>
        <w:jc w:val="both"/>
      </w:pPr>
      <w:r>
        <w:rPr>
          <w:rFonts w:ascii="Times New Roman"/>
          <w:b w:val="false"/>
          <w:i w:val="false"/>
          <w:color w:val="000000"/>
          <w:sz w:val="28"/>
        </w:rPr>
        <w:t>
  находилось детское
</w:t>
      </w:r>
    </w:p>
    <w:p>
      <w:pPr>
        <w:spacing w:after="0"/>
        <w:ind w:left="0"/>
        <w:jc w:val="both"/>
      </w:pPr>
      <w:r>
        <w:rPr>
          <w:rFonts w:ascii="Times New Roman"/>
          <w:b w:val="false"/>
          <w:i w:val="false"/>
          <w:color w:val="000000"/>
          <w:sz w:val="28"/>
        </w:rPr>
        <w:t>
  дошкольное учреждение;
</w:t>
      </w:r>
    </w:p>
    <w:p>
      <w:pPr>
        <w:spacing w:after="0"/>
        <w:ind w:left="0"/>
        <w:jc w:val="both"/>
      </w:pPr>
      <w:r>
        <w:rPr>
          <w:rFonts w:ascii="Times New Roman"/>
          <w:b w:val="false"/>
          <w:i w:val="false"/>
          <w:color w:val="000000"/>
          <w:sz w:val="28"/>
        </w:rPr>
        <w:t>
  бюджетные;
</w:t>
      </w:r>
    </w:p>
    <w:p>
      <w:pPr>
        <w:spacing w:after="0"/>
        <w:ind w:left="0"/>
        <w:jc w:val="both"/>
      </w:pPr>
      <w:r>
        <w:rPr>
          <w:rFonts w:ascii="Times New Roman"/>
          <w:b w:val="false"/>
          <w:i w:val="false"/>
          <w:color w:val="000000"/>
          <w:sz w:val="28"/>
        </w:rPr>
        <w:t>
  плата за оказываемые
</w:t>
      </w:r>
    </w:p>
    <w:p>
      <w:pPr>
        <w:spacing w:after="0"/>
        <w:ind w:left="0"/>
        <w:jc w:val="both"/>
      </w:pPr>
      <w:r>
        <w:rPr>
          <w:rFonts w:ascii="Times New Roman"/>
          <w:b w:val="false"/>
          <w:i w:val="false"/>
          <w:color w:val="000000"/>
          <w:sz w:val="28"/>
        </w:rPr>
        <w:t>
  услуги;
</w:t>
      </w:r>
    </w:p>
    <w:p>
      <w:pPr>
        <w:spacing w:after="0"/>
        <w:ind w:left="0"/>
        <w:jc w:val="both"/>
      </w:pPr>
      <w:r>
        <w:rPr>
          <w:rFonts w:ascii="Times New Roman"/>
          <w:b w:val="false"/>
          <w:i w:val="false"/>
          <w:color w:val="000000"/>
          <w:sz w:val="28"/>
        </w:rPr>
        <w:t>
  прочие                    Привлеченные родителями, учителями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Общие сведения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Ближайший детсад            Наименование, адрес
</w:t>
      </w:r>
    </w:p>
    <w:p>
      <w:pPr>
        <w:spacing w:after="0"/>
        <w:ind w:left="0"/>
        <w:jc w:val="both"/>
      </w:pPr>
      <w:r>
        <w:rPr>
          <w:rFonts w:ascii="Times New Roman"/>
          <w:b w:val="false"/>
          <w:i w:val="false"/>
          <w:color w:val="000000"/>
          <w:sz w:val="28"/>
        </w:rPr>
        <w:t>
Ближайшая начальная         Наименование, адрес
</w:t>
      </w:r>
    </w:p>
    <w:p>
      <w:pPr>
        <w:spacing w:after="0"/>
        <w:ind w:left="0"/>
        <w:jc w:val="both"/>
      </w:pPr>
      <w:r>
        <w:rPr>
          <w:rFonts w:ascii="Times New Roman"/>
          <w:b w:val="false"/>
          <w:i w:val="false"/>
          <w:color w:val="000000"/>
          <w:sz w:val="28"/>
        </w:rPr>
        <w:t>
школа
</w:t>
      </w:r>
    </w:p>
    <w:p>
      <w:pPr>
        <w:spacing w:after="0"/>
        <w:ind w:left="0"/>
        <w:jc w:val="both"/>
      </w:pPr>
      <w:r>
        <w:rPr>
          <w:rFonts w:ascii="Times New Roman"/>
          <w:b w:val="false"/>
          <w:i w:val="false"/>
          <w:color w:val="000000"/>
          <w:sz w:val="28"/>
        </w:rPr>
        <w:t>
Район охвата                Отдаленность детей от ближайшего
</w:t>
      </w:r>
    </w:p>
    <w:p>
      <w:pPr>
        <w:spacing w:after="0"/>
        <w:ind w:left="0"/>
        <w:jc w:val="both"/>
      </w:pPr>
      <w:r>
        <w:rPr>
          <w:rFonts w:ascii="Times New Roman"/>
          <w:b w:val="false"/>
          <w:i w:val="false"/>
          <w:color w:val="000000"/>
          <w:sz w:val="28"/>
        </w:rPr>
        <w:t>
                            детсада, наличие специального
</w:t>
      </w:r>
    </w:p>
    <w:p>
      <w:pPr>
        <w:spacing w:after="0"/>
        <w:ind w:left="0"/>
        <w:jc w:val="both"/>
      </w:pPr>
      <w:r>
        <w:rPr>
          <w:rFonts w:ascii="Times New Roman"/>
          <w:b w:val="false"/>
          <w:i w:val="false"/>
          <w:color w:val="000000"/>
          <w:sz w:val="28"/>
        </w:rPr>
        <w:t>
                            транспорта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По другим объектам образования анкеты составляются по аналогичной
</w:t>
      </w:r>
    </w:p>
    <w:p>
      <w:pPr>
        <w:spacing w:after="0"/>
        <w:ind w:left="0"/>
        <w:jc w:val="both"/>
      </w:pPr>
      <w:r>
        <w:rPr>
          <w:rFonts w:ascii="Times New Roman"/>
          <w:b w:val="false"/>
          <w:i w:val="false"/>
          <w:color w:val="000000"/>
          <w:sz w:val="28"/>
        </w:rPr>
        <w:t>
   форме с учетом специфики их работы и порядка содержания.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Тип организации: Объекты здравоохранения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Характеристика объекта     і           Примечание
</w:t>
      </w:r>
    </w:p>
    <w:p>
      <w:pPr>
        <w:spacing w:after="0"/>
        <w:ind w:left="0"/>
        <w:jc w:val="both"/>
      </w:pPr>
      <w:r>
        <w:rPr>
          <w:rFonts w:ascii="Times New Roman"/>
          <w:b w:val="false"/>
          <w:i w:val="false"/>
          <w:color w:val="000000"/>
          <w:sz w:val="28"/>
        </w:rPr>
        <w:t>
социальной сферы           і
</w:t>
      </w:r>
    </w:p>
    <w:p>
      <w:pPr>
        <w:spacing w:after="0"/>
        <w:ind w:left="0"/>
        <w:jc w:val="both"/>
      </w:pPr>
      <w:r>
        <w:rPr>
          <w:rFonts w:ascii="Times New Roman"/>
          <w:b w:val="false"/>
          <w:i w:val="false"/>
          <w:color w:val="000000"/>
          <w:sz w:val="28"/>
        </w:rPr>
        <w:t>
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1               і                 2
</w:t>
      </w:r>
    </w:p>
    <w:p>
      <w:pPr>
        <w:spacing w:after="0"/>
        <w:ind w:left="0"/>
        <w:jc w:val="both"/>
      </w:pPr>
      <w:r>
        <w:rPr>
          <w:rFonts w:ascii="Times New Roman"/>
          <w:b w:val="false"/>
          <w:i w:val="false"/>
          <w:color w:val="000000"/>
          <w:sz w:val="28"/>
        </w:rPr>
        <w:t>
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Наименование и кодовое      Каждой организации
</w:t>
      </w:r>
    </w:p>
    <w:p>
      <w:pPr>
        <w:spacing w:after="0"/>
        <w:ind w:left="0"/>
        <w:jc w:val="both"/>
      </w:pPr>
      <w:r>
        <w:rPr>
          <w:rFonts w:ascii="Times New Roman"/>
          <w:b w:val="false"/>
          <w:i w:val="false"/>
          <w:color w:val="000000"/>
          <w:sz w:val="28"/>
        </w:rPr>
        <w:t>
обозначение                 должен быть присвоен номер кода для
</w:t>
      </w:r>
    </w:p>
    <w:p>
      <w:pPr>
        <w:spacing w:after="0"/>
        <w:ind w:left="0"/>
        <w:jc w:val="both"/>
      </w:pPr>
      <w:r>
        <w:rPr>
          <w:rFonts w:ascii="Times New Roman"/>
          <w:b w:val="false"/>
          <w:i w:val="false"/>
          <w:color w:val="000000"/>
          <w:sz w:val="28"/>
        </w:rPr>
        <w:t>
                            регистрации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Местонахождение             Область, город, район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Адрес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Вид собственности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Материально-техническое     (информация за предыдущий и текущий
</w:t>
      </w:r>
    </w:p>
    <w:p>
      <w:pPr>
        <w:spacing w:after="0"/>
        <w:ind w:left="0"/>
        <w:jc w:val="both"/>
      </w:pPr>
      <w:r>
        <w:rPr>
          <w:rFonts w:ascii="Times New Roman"/>
          <w:b w:val="false"/>
          <w:i w:val="false"/>
          <w:color w:val="000000"/>
          <w:sz w:val="28"/>
        </w:rPr>
        <w:t>
      состояние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Тип здания                  Этажность, часть одного(много)этажного
</w:t>
      </w:r>
    </w:p>
    <w:p>
      <w:pPr>
        <w:spacing w:after="0"/>
        <w:ind w:left="0"/>
        <w:jc w:val="both"/>
      </w:pPr>
      <w:r>
        <w:rPr>
          <w:rFonts w:ascii="Times New Roman"/>
          <w:b w:val="false"/>
          <w:i w:val="false"/>
          <w:color w:val="000000"/>
          <w:sz w:val="28"/>
        </w:rPr>
        <w:t>
                            дома и др.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Число помещений,            Количество палат, кабинетов,
</w:t>
      </w:r>
    </w:p>
    <w:p>
      <w:pPr>
        <w:spacing w:after="0"/>
        <w:ind w:left="0"/>
        <w:jc w:val="both"/>
      </w:pPr>
      <w:r>
        <w:rPr>
          <w:rFonts w:ascii="Times New Roman"/>
          <w:b w:val="false"/>
          <w:i w:val="false"/>
          <w:color w:val="000000"/>
          <w:sz w:val="28"/>
        </w:rPr>
        <w:t>
занимаемая площадь (кв.м)   лабораторий, кухонь и др.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Коммунальные услуги         Отопление, электричество, вода,
</w:t>
      </w:r>
    </w:p>
    <w:p>
      <w:pPr>
        <w:spacing w:after="0"/>
        <w:ind w:left="0"/>
        <w:jc w:val="both"/>
      </w:pPr>
      <w:r>
        <w:rPr>
          <w:rFonts w:ascii="Times New Roman"/>
          <w:b w:val="false"/>
          <w:i w:val="false"/>
          <w:color w:val="000000"/>
          <w:sz w:val="28"/>
        </w:rPr>
        <w:t>
                            санитарные объекты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Прилегающая территория      Занимаемая площадь (га) и имеющиеся
</w:t>
      </w:r>
    </w:p>
    <w:p>
      <w:pPr>
        <w:spacing w:after="0"/>
        <w:ind w:left="0"/>
        <w:jc w:val="both"/>
      </w:pPr>
      <w:r>
        <w:rPr>
          <w:rFonts w:ascii="Times New Roman"/>
          <w:b w:val="false"/>
          <w:i w:val="false"/>
          <w:color w:val="000000"/>
          <w:sz w:val="28"/>
        </w:rPr>
        <w:t>
                            на ней строения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Общее техническое           Год постройки, сейсмостойкость, тип
</w:t>
      </w:r>
    </w:p>
    <w:p>
      <w:pPr>
        <w:spacing w:after="0"/>
        <w:ind w:left="0"/>
        <w:jc w:val="both"/>
      </w:pPr>
      <w:r>
        <w:rPr>
          <w:rFonts w:ascii="Times New Roman"/>
          <w:b w:val="false"/>
          <w:i w:val="false"/>
          <w:color w:val="000000"/>
          <w:sz w:val="28"/>
        </w:rPr>
        <w:t>
состояние                   строения (панельное, кирпичное и др.),
</w:t>
      </w:r>
    </w:p>
    <w:p>
      <w:pPr>
        <w:spacing w:after="0"/>
        <w:ind w:left="0"/>
        <w:jc w:val="both"/>
      </w:pPr>
      <w:r>
        <w:rPr>
          <w:rFonts w:ascii="Times New Roman"/>
          <w:b w:val="false"/>
          <w:i w:val="false"/>
          <w:color w:val="000000"/>
          <w:sz w:val="28"/>
        </w:rPr>
        <w:t>
                            износ здания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Оборудование                Основные наименования оборудования,
</w:t>
      </w:r>
    </w:p>
    <w:p>
      <w:pPr>
        <w:spacing w:after="0"/>
        <w:ind w:left="0"/>
        <w:jc w:val="both"/>
      </w:pPr>
      <w:r>
        <w:rPr>
          <w:rFonts w:ascii="Times New Roman"/>
          <w:b w:val="false"/>
          <w:i w:val="false"/>
          <w:color w:val="000000"/>
          <w:sz w:val="28"/>
        </w:rPr>
        <w:t>
                            срок службы, состояние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Операционная мощность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Номинальная мощность        Наличие койко-мест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обслуживаемого
</w:t>
      </w:r>
    </w:p>
    <w:p>
      <w:pPr>
        <w:spacing w:after="0"/>
        <w:ind w:left="0"/>
        <w:jc w:val="both"/>
      </w:pPr>
      <w:r>
        <w:rPr>
          <w:rFonts w:ascii="Times New Roman"/>
          <w:b w:val="false"/>
          <w:i w:val="false"/>
          <w:color w:val="000000"/>
          <w:sz w:val="28"/>
        </w:rPr>
        <w:t>
населения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Виды услуг                  Предоставляемые услуги, включая
</w:t>
      </w:r>
    </w:p>
    <w:p>
      <w:pPr>
        <w:spacing w:after="0"/>
        <w:ind w:left="0"/>
        <w:jc w:val="both"/>
      </w:pPr>
      <w:r>
        <w:rPr>
          <w:rFonts w:ascii="Times New Roman"/>
          <w:b w:val="false"/>
          <w:i w:val="false"/>
          <w:color w:val="000000"/>
          <w:sz w:val="28"/>
        </w:rPr>
        <w:t>
                            услуги специалистов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Характеристика работы       Заболевания, пролеченные за последние
</w:t>
      </w:r>
    </w:p>
    <w:p>
      <w:pPr>
        <w:spacing w:after="0"/>
        <w:ind w:left="0"/>
        <w:jc w:val="both"/>
      </w:pPr>
      <w:r>
        <w:rPr>
          <w:rFonts w:ascii="Times New Roman"/>
          <w:b w:val="false"/>
          <w:i w:val="false"/>
          <w:color w:val="000000"/>
          <w:sz w:val="28"/>
        </w:rPr>
        <w:t>
                            12 месяцев, по диагностическим
</w:t>
      </w:r>
    </w:p>
    <w:p>
      <w:pPr>
        <w:spacing w:after="0"/>
        <w:ind w:left="0"/>
        <w:jc w:val="both"/>
      </w:pPr>
      <w:r>
        <w:rPr>
          <w:rFonts w:ascii="Times New Roman"/>
          <w:b w:val="false"/>
          <w:i w:val="false"/>
          <w:color w:val="000000"/>
          <w:sz w:val="28"/>
        </w:rPr>
        <w:t>
                            категориям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Режим работы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Персонал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работников
</w:t>
      </w:r>
    </w:p>
    <w:p>
      <w:pPr>
        <w:spacing w:after="0"/>
        <w:ind w:left="0"/>
        <w:jc w:val="both"/>
      </w:pPr>
      <w:r>
        <w:rPr>
          <w:rFonts w:ascii="Times New Roman"/>
          <w:b w:val="false"/>
          <w:i w:val="false"/>
          <w:color w:val="000000"/>
          <w:sz w:val="28"/>
        </w:rPr>
        <w:t>
в т.ч.
</w:t>
      </w:r>
    </w:p>
    <w:p>
      <w:pPr>
        <w:spacing w:after="0"/>
        <w:ind w:left="0"/>
        <w:jc w:val="both"/>
      </w:pPr>
      <w:r>
        <w:rPr>
          <w:rFonts w:ascii="Times New Roman"/>
          <w:b w:val="false"/>
          <w:i w:val="false"/>
          <w:color w:val="000000"/>
          <w:sz w:val="28"/>
        </w:rPr>
        <w:t>
основной персонал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(фактически за последний год и оценка
</w:t>
      </w:r>
    </w:p>
    <w:p>
      <w:pPr>
        <w:spacing w:after="0"/>
        <w:ind w:left="0"/>
        <w:jc w:val="both"/>
      </w:pPr>
      <w:r>
        <w:rPr>
          <w:rFonts w:ascii="Times New Roman"/>
          <w:b w:val="false"/>
          <w:i w:val="false"/>
          <w:color w:val="000000"/>
          <w:sz w:val="28"/>
        </w:rPr>
        <w:t>
                             на текущий год)
</w:t>
      </w:r>
    </w:p>
    <w:p>
      <w:pPr>
        <w:spacing w:after="0"/>
        <w:ind w:left="0"/>
        <w:jc w:val="both"/>
      </w:pPr>
      <w:r>
        <w:rPr>
          <w:rFonts w:ascii="Times New Roman"/>
          <w:b w:val="false"/>
          <w:i w:val="false"/>
          <w:color w:val="000000"/>
          <w:sz w:val="28"/>
        </w:rPr>
        <w:t>
Расходы на:
</w:t>
      </w:r>
    </w:p>
    <w:p>
      <w:pPr>
        <w:spacing w:after="0"/>
        <w:ind w:left="0"/>
        <w:jc w:val="both"/>
      </w:pPr>
      <w:r>
        <w:rPr>
          <w:rFonts w:ascii="Times New Roman"/>
          <w:b w:val="false"/>
          <w:i w:val="false"/>
          <w:color w:val="000000"/>
          <w:sz w:val="28"/>
        </w:rPr>
        <w:t>
  содержание персонала;
</w:t>
      </w:r>
    </w:p>
    <w:p>
      <w:pPr>
        <w:spacing w:after="0"/>
        <w:ind w:left="0"/>
        <w:jc w:val="both"/>
      </w:pPr>
      <w:r>
        <w:rPr>
          <w:rFonts w:ascii="Times New Roman"/>
          <w:b w:val="false"/>
          <w:i w:val="false"/>
          <w:color w:val="000000"/>
          <w:sz w:val="28"/>
        </w:rPr>
        <w:t>
  отопление и др.
</w:t>
      </w:r>
    </w:p>
    <w:p>
      <w:pPr>
        <w:spacing w:after="0"/>
        <w:ind w:left="0"/>
        <w:jc w:val="both"/>
      </w:pPr>
      <w:r>
        <w:rPr>
          <w:rFonts w:ascii="Times New Roman"/>
          <w:b w:val="false"/>
          <w:i w:val="false"/>
          <w:color w:val="000000"/>
          <w:sz w:val="28"/>
        </w:rPr>
        <w:t>
  коммунальные услуги;
</w:t>
      </w:r>
    </w:p>
    <w:p>
      <w:pPr>
        <w:spacing w:after="0"/>
        <w:ind w:left="0"/>
        <w:jc w:val="both"/>
      </w:pPr>
      <w:r>
        <w:rPr>
          <w:rFonts w:ascii="Times New Roman"/>
          <w:b w:val="false"/>
          <w:i w:val="false"/>
          <w:color w:val="000000"/>
          <w:sz w:val="28"/>
        </w:rPr>
        <w:t>
  лекарства и перевязочные
</w:t>
      </w:r>
    </w:p>
    <w:p>
      <w:pPr>
        <w:spacing w:after="0"/>
        <w:ind w:left="0"/>
        <w:jc w:val="both"/>
      </w:pPr>
      <w:r>
        <w:rPr>
          <w:rFonts w:ascii="Times New Roman"/>
          <w:b w:val="false"/>
          <w:i w:val="false"/>
          <w:color w:val="000000"/>
          <w:sz w:val="28"/>
        </w:rPr>
        <w:t>
  материалы;
</w:t>
      </w:r>
    </w:p>
    <w:p>
      <w:pPr>
        <w:spacing w:after="0"/>
        <w:ind w:left="0"/>
        <w:jc w:val="both"/>
      </w:pPr>
      <w:r>
        <w:rPr>
          <w:rFonts w:ascii="Times New Roman"/>
          <w:b w:val="false"/>
          <w:i w:val="false"/>
          <w:color w:val="000000"/>
          <w:sz w:val="28"/>
        </w:rPr>
        <w:t>
  ремонт зданий и
</w:t>
      </w:r>
    </w:p>
    <w:p>
      <w:pPr>
        <w:spacing w:after="0"/>
        <w:ind w:left="0"/>
        <w:jc w:val="both"/>
      </w:pPr>
      <w:r>
        <w:rPr>
          <w:rFonts w:ascii="Times New Roman"/>
          <w:b w:val="false"/>
          <w:i w:val="false"/>
          <w:color w:val="000000"/>
          <w:sz w:val="28"/>
        </w:rPr>
        <w:t>
  сооружений;
</w:t>
      </w:r>
    </w:p>
    <w:p>
      <w:pPr>
        <w:spacing w:after="0"/>
        <w:ind w:left="0"/>
        <w:jc w:val="both"/>
      </w:pPr>
      <w:r>
        <w:rPr>
          <w:rFonts w:ascii="Times New Roman"/>
          <w:b w:val="false"/>
          <w:i w:val="false"/>
          <w:color w:val="000000"/>
          <w:sz w:val="28"/>
        </w:rPr>
        <w:t>
  питание;
</w:t>
      </w:r>
    </w:p>
    <w:p>
      <w:pPr>
        <w:spacing w:after="0"/>
        <w:ind w:left="0"/>
        <w:jc w:val="both"/>
      </w:pP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Доходы:
</w:t>
      </w:r>
    </w:p>
    <w:p>
      <w:pPr>
        <w:spacing w:after="0"/>
        <w:ind w:left="0"/>
        <w:jc w:val="both"/>
      </w:pPr>
      <w:r>
        <w:rPr>
          <w:rFonts w:ascii="Times New Roman"/>
          <w:b w:val="false"/>
          <w:i w:val="false"/>
          <w:color w:val="000000"/>
          <w:sz w:val="28"/>
        </w:rPr>
        <w:t>
  средства, выделяемые
</w:t>
      </w:r>
    </w:p>
    <w:p>
      <w:pPr>
        <w:spacing w:after="0"/>
        <w:ind w:left="0"/>
        <w:jc w:val="both"/>
      </w:pPr>
      <w:r>
        <w:rPr>
          <w:rFonts w:ascii="Times New Roman"/>
          <w:b w:val="false"/>
          <w:i w:val="false"/>
          <w:color w:val="000000"/>
          <w:sz w:val="28"/>
        </w:rPr>
        <w:t>
  юридическим лицом,
</w:t>
      </w:r>
    </w:p>
    <w:p>
      <w:pPr>
        <w:spacing w:after="0"/>
        <w:ind w:left="0"/>
        <w:jc w:val="both"/>
      </w:pPr>
      <w:r>
        <w:rPr>
          <w:rFonts w:ascii="Times New Roman"/>
          <w:b w:val="false"/>
          <w:i w:val="false"/>
          <w:color w:val="000000"/>
          <w:sz w:val="28"/>
        </w:rPr>
        <w:t>
  на балансе которого
</w:t>
      </w:r>
    </w:p>
    <w:p>
      <w:pPr>
        <w:spacing w:after="0"/>
        <w:ind w:left="0"/>
        <w:jc w:val="both"/>
      </w:pPr>
      <w:r>
        <w:rPr>
          <w:rFonts w:ascii="Times New Roman"/>
          <w:b w:val="false"/>
          <w:i w:val="false"/>
          <w:color w:val="000000"/>
          <w:sz w:val="28"/>
        </w:rPr>
        <w:t>
  находилась организация
</w:t>
      </w:r>
    </w:p>
    <w:p>
      <w:pPr>
        <w:spacing w:after="0"/>
        <w:ind w:left="0"/>
        <w:jc w:val="both"/>
      </w:pPr>
      <w:r>
        <w:rPr>
          <w:rFonts w:ascii="Times New Roman"/>
          <w:b w:val="false"/>
          <w:i w:val="false"/>
          <w:color w:val="000000"/>
          <w:sz w:val="28"/>
        </w:rPr>
        <w:t>
  здравоохранения;
</w:t>
      </w:r>
    </w:p>
    <w:p>
      <w:pPr>
        <w:spacing w:after="0"/>
        <w:ind w:left="0"/>
        <w:jc w:val="both"/>
      </w:pPr>
      <w:r>
        <w:rPr>
          <w:rFonts w:ascii="Times New Roman"/>
          <w:b w:val="false"/>
          <w:i w:val="false"/>
          <w:color w:val="000000"/>
          <w:sz w:val="28"/>
        </w:rPr>
        <w:t>
  бюджетные;
</w:t>
      </w:r>
    </w:p>
    <w:p>
      <w:pPr>
        <w:spacing w:after="0"/>
        <w:ind w:left="0"/>
        <w:jc w:val="both"/>
      </w:pPr>
      <w:r>
        <w:rPr>
          <w:rFonts w:ascii="Times New Roman"/>
          <w:b w:val="false"/>
          <w:i w:val="false"/>
          <w:color w:val="000000"/>
          <w:sz w:val="28"/>
        </w:rPr>
        <w:t>
  плата за оказываемые
</w:t>
      </w:r>
    </w:p>
    <w:p>
      <w:pPr>
        <w:spacing w:after="0"/>
        <w:ind w:left="0"/>
        <w:jc w:val="both"/>
      </w:pPr>
      <w:r>
        <w:rPr>
          <w:rFonts w:ascii="Times New Roman"/>
          <w:b w:val="false"/>
          <w:i w:val="false"/>
          <w:color w:val="000000"/>
          <w:sz w:val="28"/>
        </w:rPr>
        <w:t>
  услуги;
</w:t>
      </w:r>
    </w:p>
    <w:p>
      <w:pPr>
        <w:spacing w:after="0"/>
        <w:ind w:left="0"/>
        <w:jc w:val="both"/>
      </w:pPr>
      <w:r>
        <w:rPr>
          <w:rFonts w:ascii="Times New Roman"/>
          <w:b w:val="false"/>
          <w:i w:val="false"/>
          <w:color w:val="000000"/>
          <w:sz w:val="28"/>
        </w:rPr>
        <w:t>
  прочие                    Указать виды услуг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Общие сведения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Ближайшая аналогичная       Наименование, адрес
</w:t>
      </w:r>
    </w:p>
    <w:p>
      <w:pPr>
        <w:spacing w:after="0"/>
        <w:ind w:left="0"/>
        <w:jc w:val="both"/>
      </w:pP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Связи                       Больницы, клиники, др. объекты, из
</w:t>
      </w:r>
    </w:p>
    <w:p>
      <w:pPr>
        <w:spacing w:after="0"/>
        <w:ind w:left="0"/>
        <w:jc w:val="both"/>
      </w:pPr>
      <w:r>
        <w:rPr>
          <w:rFonts w:ascii="Times New Roman"/>
          <w:b w:val="false"/>
          <w:i w:val="false"/>
          <w:color w:val="000000"/>
          <w:sz w:val="28"/>
        </w:rPr>
        <w:t>
                            которых (в которые) направляются
</w:t>
      </w:r>
    </w:p>
    <w:p>
      <w:pPr>
        <w:spacing w:after="0"/>
        <w:ind w:left="0"/>
        <w:jc w:val="both"/>
      </w:pPr>
      <w:r>
        <w:rPr>
          <w:rFonts w:ascii="Times New Roman"/>
          <w:b w:val="false"/>
          <w:i w:val="false"/>
          <w:color w:val="000000"/>
          <w:sz w:val="28"/>
        </w:rPr>
        <w:t>
                            пациенты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Район охвата                Расстояние для посещения данной
</w:t>
      </w:r>
    </w:p>
    <w:p>
      <w:pPr>
        <w:spacing w:after="0"/>
        <w:ind w:left="0"/>
        <w:jc w:val="both"/>
      </w:pPr>
      <w:r>
        <w:rPr>
          <w:rFonts w:ascii="Times New Roman"/>
          <w:b w:val="false"/>
          <w:i w:val="false"/>
          <w:color w:val="000000"/>
          <w:sz w:val="28"/>
        </w:rPr>
        <w:t>
                            медицинской организации, удаленность,
</w:t>
      </w:r>
    </w:p>
    <w:p>
      <w:pPr>
        <w:spacing w:after="0"/>
        <w:ind w:left="0"/>
        <w:jc w:val="both"/>
      </w:pPr>
      <w:r>
        <w:rPr>
          <w:rFonts w:ascii="Times New Roman"/>
          <w:b w:val="false"/>
          <w:i w:val="false"/>
          <w:color w:val="000000"/>
          <w:sz w:val="28"/>
        </w:rPr>
        <w:t>
                            наличие специального транспорта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