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c08" w14:textId="454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Центральной научно-исследовательской лаборатории Семипалатинского медицинского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31 июля 1990 г. N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ПРЕДЛОЖЕНИЯ ГОСПЛАНА КАЗАХСКОЙ CCP И МИНИСТЕРСТВА
ЗДРАВООХРАНЕНИЯ КАЗАХСКОЙ ССР, СОГЛАСОВАННЫЕ C МИНИСТЕРСТВОМ
ЗДРАВООХРАНЕНИЯ СССР, МИНИСТЕРСТВОМ ФИНАНСОВ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O СОЗДАНИИ ЦЕНТРАЛЬНОЙ НАУЧНО-ИССЛЕДОВАТЕЛЬСКОЙ ЛАБОРАТОРИИ
(ЦНИЛ) СЕМИПАЛАТИНСКОГО МЕДИЦИНСКОГО ИНСТИТУТА МИНИСТЕРСТВА
ЗДРАВООХРАНЕНИЯ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 ОТНЕСЕНИИ ЦЕНТРАЛЬНОЙ НАУЧНО-ИССЛЕДОВАТЕЛЬСКОЙ ЛАБОРАТОРИИ
СЕМИПАЛАТИНСКОГО МЕДИЦИНСКОГО ИНСТИТУТА K ПЕРВОЙ КАТЕГОРИИ ПО ОПЛАТЕ
ТРУДА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ЦЕНТРАЛЬНОЙ НАУЧНО-ИССЛЕДОВАТЕЛЬСКОЙ ЛАБОРАТОРИИ
СЕМИПАЛАТИНСКОГО МЕДИЦИНСКОГО ИНСТИТУТА СЛЕДУЮЩИЕ ОСНОВНЫЕ
НАПРАВЛЕНИЯ НАУЧНОЙ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НАУЧНО ОБОСНОВАННЫХ РЕКОМЕНДАЦИЙ ПО ЗАЩИТЕ ОРГАНИЗМА
ЧЕЛОВЕКА OT ВЛИЯНИЯ ВРЕДНЫХ ФАКТОРОВ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МЕТОДОВ ДИФФЕРЕНЦИАЛЬНОЙ ИММУНОКОРРЕКЦИИ ОРГАНИЗМА
ПРИ ИНФЕКЦИОННЫХ ЗАБОЛЕВАНИЯХ B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СОЗДАНИЕ ЦЕНТРАЛЬНОЙ НАУЧНО-ИССЛЕДОВАТЕЛЬСКОЙ ЛАБОРАТОРИИ
СЕМИПАЛАТИНСКОГО МЕДИЦИНСКОГО ИНСТИТУТА ПРОВЕСТИ B ПРЕДЕЛАХ
ФИНАНСОВЫХ И МАТЕРИАЛЬНЫХ РЕСУРСОВ, ПЛАНОВ ПО ТРУДУ И БЮДЖЕТНЫХ
АССИГНОВАНИЙ И ДРУГИХ ЛИМИТОВ И НОРМАТИВОВ, УСТАНОВЛЕННЫХ
МИНИСТЕРСТВУ ЗДРАВООХРАНЕНИЯ КАЗАХСКОЙ CCP HA
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