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2ed9" w14:textId="f772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квалификации действий работников транспорта, связанных с обращением в свою собственность денег за оказанные транспортные услуги (с изменениями, внесенными постановлением Пленума от 20 декабря 1996 г. № 11)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23 сентября 1988 г. N 5.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Рассмотрев представление прокурора Казахской ССР, внесенное в порядке ст. 39 Закона о прокуратуре СССР, а также обсудив материалы обобщения судебной практики по делам этой категории, Пленум Верховного Суда Казахской ССР отмечает, что при юридической оценке вышеуказанных действий суды не всегда отличают хищение, когда работник транспорта имеет правомочия на получение платы за проезд и присваивает суммы, являющиеся в этих случаях собственностью транспортного предприятия, учреждения, организации от причинения убытков действиями лиц, не имеющих таких правомочий и неправомерно обогащающихся за счет тех средств,которые должны были поступить в собственность транспортного предприятия, учреждения, организации. 
</w:t>
      </w:r>
      <w:r>
        <w:br/>
      </w:r>
      <w:r>
        <w:rPr>
          <w:rFonts w:ascii="Times New Roman"/>
          <w:b w:val="false"/>
          <w:i w:val="false"/>
          <w:color w:val="000000"/>
          <w:sz w:val="28"/>
        </w:rPr>
        <w:t>
      В связи с необходимостью дать разъяснение по этим вопросам Пленум 
</w:t>
      </w:r>
      <w:r>
        <w:rPr>
          <w:rFonts w:ascii="Times New Roman"/>
          <w:b w:val="false"/>
          <w:i w:val="false"/>
          <w:color w:val="000000"/>
          <w:sz w:val="28"/>
        </w:rPr>
        <w:t>
ПОСТАНОВЛЯЕТ: Разъяснить судам, что действия работников автомобильного, железнодорожного, водного, воздушного транспорта, имеющих правомочия в силу осуществляемых ими функций либо специального поручения транспортного предприятия, учреждения, организации на получение с граждан платы за проезд, провоз багажа и иные транспортные услуги, присвоивших полученные деньги, следует расценивать как хищение. (специалист Р.Жантасова 23.11.98 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