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610b" w14:textId="f0b6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практике по делам о грабеже и разбое (с изменениями, внесенными постановлениями Пленума от 12 июня 1968 г. № 5, от 22 декабря 1989 г. № 13 и от 20 декабря 1996 г. № 11)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7 декабря 1961 г. N 5. Утратило силу - постановлением Верховного Суда РК от 11 июля 2003 г. N 8 ~P03008S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улучшения работы судов, устранения вскрытых ошибок по рассмотрению дел о грабеже и разбое и единообразного применения закона Пленум Верховного Суда постановляет дать следующие разъяснения.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Грабеж и разбой,соединенные с причинением телесных повреждений, должны квалифицироваться соответственно по статьям УК, предусматривающим ответственность за грабеж или разбой, без дополнительной их квалификации по статьям о преступлениях против здоровья, поскольку означенные действия полностью охватываются этими составами.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насилием, не опасным для жизни и здоровья, следует понимать причинение легкого телесного повреждения, не повлекшего за собой кратковременного расстройства здоровья или незначительной стойкой утраты трудоспособности (п. 22 Правил судебно-медицинского определения степени тяжести телесных повреждений, утвержденных приказом Министерства здравоохранения СССР от 11 декабря 1978 г. N 1208), а также причинение потерпевшему физической боли либо ограничение его свободы, если это не создавало опасности для жизни и здоровья.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насилием, опасным для жизни и здоровья, следует понимать такое насилие, которое повлекло причинение потерпевшему средней тяжести телесного повреждения (п.п. 15-17 Правил) либо легкого телесного повреждения, повлекшего за собой кратковременное расстройство здоровья или незначительную стойкую утрату трудоспособности (п.п. 20, 21 Правил), а также иное насилие, которое хотя и не причинило указанного вреда,но в момент применения создавало реальную угрозу для жизни и здоровья потерпевшего.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 виновных, начатые как кража при применении в дальнейшем к потерпевшему насилия с целью удержания похищенного, должны квалифицироваться как грабеж или разбой.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Открытым похищением имущества является такое похищение, которое совершается в присутствии потерпевшего или других лиц, когда виновный сознает, что эти лица понимают характер совершаемых действий.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Грабеж признается оконченным преступлением с момента завладения чужим имуществом, а разбой - с момента нападения с целью завладения чужим имуществом, соединенного с насилием, опасным для жизни и здоровья потерпевшего, или с угрозой непосредственного применения такого насилия.     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