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09a1" w14:textId="66f0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некоммерческого акционерного общества "Казахский агротехнический исследовательский университет имени Сакена Сейфуллина" на 2026 – 2030 годы</w:t>
      </w:r>
    </w:p>
    <w:p>
      <w:pPr>
        <w:spacing w:after="0"/>
        <w:ind w:left="0"/>
        <w:jc w:val="both"/>
      </w:pPr>
      <w:r>
        <w:rPr>
          <w:rFonts w:ascii="Times New Roman"/>
          <w:b w:val="false"/>
          <w:i w:val="false"/>
          <w:color w:val="000000"/>
          <w:sz w:val="28"/>
        </w:rPr>
        <w:t>Постановление Правительства Республики Казахстан от 7 августа 2026 года № 702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 науке и технологической политике"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некоммерческого акционерного общества "Казахский агротехнический исследовательский университет имени Сакена Сейфуллина" на 2026 – 2030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 № 702</w:t>
            </w:r>
          </w:p>
        </w:tc>
      </w:tr>
    </w:tbl>
    <w:bookmarkStart w:name="z8" w:id="3"/>
    <w:p>
      <w:pPr>
        <w:spacing w:after="0"/>
        <w:ind w:left="0"/>
        <w:jc w:val="left"/>
      </w:pPr>
      <w:r>
        <w:rPr>
          <w:rFonts w:ascii="Times New Roman"/>
          <w:b/>
          <w:i w:val="false"/>
          <w:color w:val="000000"/>
        </w:rPr>
        <w:t xml:space="preserve"> Программа развития</w:t>
      </w:r>
      <w:r>
        <w:br/>
      </w:r>
      <w:r>
        <w:rPr>
          <w:rFonts w:ascii="Times New Roman"/>
          <w:b/>
          <w:i w:val="false"/>
          <w:color w:val="000000"/>
        </w:rPr>
        <w:t>некоммерческого акционерного общества "Казахский агротехнический исследовательский университет имени Сакена Сейфуллина" на 2026 – 2030 годы</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 развития некоммерческого акционерного общества "Казахский агротехнический исследовательский университет имени Сакена Сейфуллина"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(краткая аннотация и цель Программы развития)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текущего состояния некоммерческого акционерного общества "Казахский агротехнический исследовательский университет имени Сакена Сейфуллина", включая его достижения, проблемы и вызовы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текущего состояния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трендов и вызовов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развития и определение возможных сценариев развития и их влияния на некоммерческое акционерное общество "Казахский агротехнический исследовательский университет имени Сакена Сейфуллина"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миссия и ценности Программы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приоритеты некоммерческого акционерного общества "Казахский агротехнический исследовательский университет имени Сакена Сейфуллина"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Академическая деятельность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5.2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деятельность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5.3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трансформация и глобальное академическое партнерство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миссия некоммерческого акционерного общества "Казахский агротехнический исследовательский университет имени Сакена Сейфуллина"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некоммерческого акционерного общества "Казахский агротехнический исследовательский университет имени Сакена Сейфуллина"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достижения поставленной цели Программы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7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ожидаемых результатов реализации Программы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прогресса реализации Программы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i w:val="false"/>
          <w:color w:val="000000"/>
          <w:sz w:val="28"/>
        </w:rPr>
        <w:t>Раздел 1. Паспорт Программы развития некоммерческого акционерного общества "Казахский агротехнический исследовательский университет имени Сакена Сейфуллина"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некоммерческого акционерного общества "Казахский агротехнический исследовательский университет имени Сакена Сейфуллина" (далее – КАТИУ, университет) на 2026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науке и технологической политике";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16 сентября 2023 года № 353 "О мерах по реализации Послания Главы государства народу Казахстана от 1 сентября 2023 года "Экономический курс Справедливого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июля 2024 года № 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Указ Президента Республики Казахстан от 25 сентября 2024 года № 658 "Об утверждении Общенационального плана мероприятий по реализации Послания Главы государства народу Казахстана от 2 сентября 2024 года "Справедливый Казахстан: закон и порядок, экономический рост, общественный оптимизм";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октября 2025 года № 1042 "О мерах по реализации Послания Главы государства народу Казахстана от 8 сентября 2025 года "Казахстан в эпоху искусственного интеллекта: актуальные задачи и их решения через цифровую трансформацию";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30 декабря 2021 года № 960 "Об утверждении Концепции развития агропромышленного комплекса Республики Казахстан на 2021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марта 2023 года № 248 "Об утверждении Концепции развития высшего образования и науки в Республике Казахстан на 2023 – 2029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приказ Министра образования и науки Республики Казахстан от 25 октября 2018 года № 590 "Об утверждении структуры и правил разработки программы развития организации высшего и (или) послевузовского образования";</w:t>
            </w:r>
          </w:p>
          <w:p>
            <w:pPr>
              <w:spacing w:after="20"/>
              <w:ind w:left="20"/>
              <w:jc w:val="both"/>
            </w:pPr>
            <w:r>
              <w:rPr>
                <w:rFonts w:ascii="Times New Roman"/>
                <w:b w:val="false"/>
                <w:i w:val="false"/>
                <w:color w:val="000000"/>
                <w:sz w:val="20"/>
              </w:rPr>
              <w:t>
10) Стратегия развития некоммерческого акционерного общества "Национальный аграрный научно-образовательный центр" (далее – НАНОЦ) на 2024 – 2030 годы (утверждена решением Совета директоров НАО "НАНОЦ" от 30 апреля 2024 года № 06/24)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Министерство сельского хозяйства Республики Казахстан (далее – МСХ РК)</w:t>
            </w:r>
          </w:p>
          <w:bookmarkEnd w:id="5"/>
          <w:p>
            <w:pPr>
              <w:spacing w:after="20"/>
              <w:ind w:left="20"/>
              <w:jc w:val="both"/>
            </w:pPr>
            <w:r>
              <w:rPr>
                <w:rFonts w:ascii="Times New Roman"/>
                <w:b w:val="false"/>
                <w:i w:val="false"/>
                <w:color w:val="000000"/>
                <w:sz w:val="20"/>
              </w:rPr>
              <w:t xml:space="preserve">
Программа разработана совместной рабочей группой из числа руководства, профессорско-преподавательского состава и обучающихся КАТИУ, одобрена решением ученого совета (протокол от 26 февраля 2026 года № 9) и совета директоров университета (протокол от 17 марта 2026 года № 3/26)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p>
            <w:pPr>
              <w:spacing w:after="20"/>
              <w:ind w:left="20"/>
              <w:jc w:val="both"/>
            </w:pPr>
            <w:r>
              <w:rPr>
                <w:rFonts w:ascii="Times New Roman"/>
                <w:b w:val="false"/>
                <w:i w:val="false"/>
                <w:color w:val="000000"/>
                <w:sz w:val="20"/>
              </w:rPr>
              <w:t>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в КАТИУ современной академической и исследовательской экосистемы, интегрированной в мировой и региональный контекст; трансформация университета в центр технологических приоритетов, обеспечивающий аграрный сектор кадрами, готовыми к современным вызовам, и глубоко интегрирующий научно-исследовательские и опытно-конструкторские разработки (далее – НИОКР) в образовательный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xml:space="preserve">
1) создание системы качественного доступного образования;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научно-исследовательской деятельности, интеграция образования, науки, производства и бизнес-структур;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расширение партнерского сотрудничества и формирование перспективной модели университетского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укрепление и совершенствование позиций университета в национальной и мировой системе науки и высшего образования;</w:t>
            </w:r>
          </w:p>
          <w:p>
            <w:pPr>
              <w:spacing w:after="20"/>
              <w:ind w:left="20"/>
              <w:jc w:val="both"/>
            </w:pPr>
            <w:r>
              <w:rPr>
                <w:rFonts w:ascii="Times New Roman"/>
                <w:b w:val="false"/>
                <w:i w:val="false"/>
                <w:color w:val="000000"/>
                <w:sz w:val="20"/>
              </w:rPr>
              <w:t>
5) развитие инфраструктуры, укрепление и совершенствование материально-технической базы университета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собственные средства КАТИУ, а также иные источники, не запрещенные законодательством Республики Казахстан</w:t>
            </w:r>
          </w:p>
        </w:tc>
      </w:tr>
    </w:tbl>
    <w:p>
      <w:pPr>
        <w:spacing w:after="0"/>
        <w:ind w:left="0"/>
        <w:jc w:val="both"/>
      </w:pPr>
      <w:r>
        <w:rPr>
          <w:rFonts w:ascii="Times New Roman"/>
          <w:b/>
          <w:i w:val="false"/>
          <w:color w:val="000000"/>
          <w:sz w:val="28"/>
        </w:rPr>
        <w:t>Раздел 2. Введение (краткая аннотация и цель Программы развития)</w:t>
      </w:r>
    </w:p>
    <w:bookmarkStart w:name="z25" w:id="7"/>
    <w:p>
      <w:pPr>
        <w:spacing w:after="0"/>
        <w:ind w:left="0"/>
        <w:jc w:val="both"/>
      </w:pPr>
      <w:r>
        <w:rPr>
          <w:rFonts w:ascii="Times New Roman"/>
          <w:b w:val="false"/>
          <w:i w:val="false"/>
          <w:color w:val="000000"/>
          <w:sz w:val="28"/>
        </w:rPr>
        <w:t>
      Настоящая Программа развития НАО "КАТИУ имени Сакена Сейфуллина" на 2026 – 2030 годы (далее – Программа) является стратегическим документом, определяющим вектор трансформации высшего учебного заведения (далее – вуз) в исследовательский университет мирового уровня, разработана как логическое продолжение стратегии на 2020 – 2024 годы. За прошедший период КАТИУ успешно подтвердил статус исследовательского университета и укрепил свои позиции в международных рейтингах.</w:t>
      </w:r>
    </w:p>
    <w:bookmarkEnd w:id="7"/>
    <w:bookmarkStart w:name="z26" w:id="8"/>
    <w:p>
      <w:pPr>
        <w:spacing w:after="0"/>
        <w:ind w:left="0"/>
        <w:jc w:val="both"/>
      </w:pPr>
      <w:r>
        <w:rPr>
          <w:rFonts w:ascii="Times New Roman"/>
          <w:b w:val="false"/>
          <w:i w:val="false"/>
          <w:color w:val="000000"/>
          <w:sz w:val="28"/>
        </w:rPr>
        <w:t>
      Уникальность КАТИУ заключается в его роли как ключевого стратегического интеллектуального центра аграрной отрасли Казахстана. В отличие от классических вузов КАТИУ обладает мощной научной базой и уникальной сетью опытных хозяйств подведомственных организаций: НАНОЦ (ТОО "Научно-производственный центр зернового хозяйства им. А.И. Бараева" (далее – НПЦЗХ имени А.И. Бараева), ТОО "Северо-Казахстанский научно-исследовательский институт сельского хозяйства" (далее – Северо-Казахстанский НИИСХ) и другие), интегрированных в научно-образовательный контур университета, а также научно-исследовательскими институтами агропромышленного комплекса (далее АПК), биологического, экологического и других профилей. Это обеспечивает полный цикл инноваций: от фундаментальных исследований в лаборатории до внедрения готовых технологий непосредственно в поле. Университет готовит специалистов нового поколения, способных работать в условиях высокотехнологичного и цифрового сельского хозяйства.</w:t>
      </w:r>
    </w:p>
    <w:bookmarkEnd w:id="8"/>
    <w:bookmarkStart w:name="z27" w:id="9"/>
    <w:p>
      <w:pPr>
        <w:spacing w:after="0"/>
        <w:ind w:left="0"/>
        <w:jc w:val="both"/>
      </w:pPr>
      <w:r>
        <w:rPr>
          <w:rFonts w:ascii="Times New Roman"/>
          <w:b w:val="false"/>
          <w:i w:val="false"/>
          <w:color w:val="000000"/>
          <w:sz w:val="28"/>
        </w:rPr>
        <w:t>
      Программа направлена на преодоление институционального разрыва между академической наукой и реальным производством. Ключевыми приоритетами становятся коммерциализация научных разработок, глубокая интеграция обучающихся в исследовательские проекты и расширение международного партнерства. Разработка Программы осуществлялась с учетом задач, поставленных в Национальном плане развития страны, определенных в планах мероприятий по реализации посланий Главы государства по вопросам агропромышленного комплекса, Концепции развития высшего образования и науки в Республике Казахстан на 2023 – 2029 годы и Законе Республики Казахстан "О науке и технологической политике".</w:t>
      </w:r>
    </w:p>
    <w:bookmarkEnd w:id="9"/>
    <w:bookmarkStart w:name="z28" w:id="10"/>
    <w:p>
      <w:pPr>
        <w:spacing w:after="0"/>
        <w:ind w:left="0"/>
        <w:jc w:val="both"/>
      </w:pPr>
      <w:r>
        <w:rPr>
          <w:rFonts w:ascii="Times New Roman"/>
          <w:b w:val="false"/>
          <w:i w:val="false"/>
          <w:color w:val="000000"/>
          <w:sz w:val="28"/>
        </w:rPr>
        <w:t>
      Интеграция образования, науки, производства и бизнес-структур выступает решающим фактором развития и повышения конкурентоспособности национальной экономики, а также критическим фактором устойчивого развития экономики знаний. Как показывает передовой мировой опыт, интегрированные научно-образовательные ресурсы обеспечивают подготовку высококвалифицированных специалистов, востребованных на рынке труда, а технологические изменения в производстве, основанные на новых знаниях, способствуют экономическому росту страны.</w:t>
      </w:r>
    </w:p>
    <w:bookmarkEnd w:id="10"/>
    <w:bookmarkStart w:name="z29" w:id="11"/>
    <w:p>
      <w:pPr>
        <w:spacing w:after="0"/>
        <w:ind w:left="0"/>
        <w:jc w:val="both"/>
      </w:pPr>
      <w:r>
        <w:rPr>
          <w:rFonts w:ascii="Times New Roman"/>
          <w:b w:val="false"/>
          <w:i w:val="false"/>
          <w:color w:val="000000"/>
          <w:sz w:val="28"/>
        </w:rPr>
        <w:t xml:space="preserve">
      Цели Программы: формирование в КАТИУ современной академической и исследовательской экосистемы, интегрированной в мировой и региональный контекст; трансформация университета в центр технологических приоритетов, обеспечивающий аграрный сектор кадрами, готовыми к современным вызовам, и глубоко интегрирующий научно-исследовательские и опытно-конструкторские разработки (далее – НИОКР) в образовательный процесс. </w:t>
      </w:r>
    </w:p>
    <w:bookmarkEnd w:id="11"/>
    <w:bookmarkStart w:name="z30" w:id="12"/>
    <w:p>
      <w:pPr>
        <w:spacing w:after="0"/>
        <w:ind w:left="0"/>
        <w:jc w:val="both"/>
      </w:pPr>
      <w:r>
        <w:rPr>
          <w:rFonts w:ascii="Times New Roman"/>
          <w:b w:val="false"/>
          <w:i w:val="false"/>
          <w:color w:val="000000"/>
          <w:sz w:val="28"/>
        </w:rPr>
        <w:t>
      Программа описывает основные подходы и направления реформирования КАТИУ, необходимые ресурсы и ожидаемые результаты. В рамках реализации Программы планируется реализовать комплекс мероприятий по глубокой модернизации научно-исследовательской, образовательной и инновационной деятельности, развитию инфраструктуры и институциональной среды КАТИУ с целью создания на его базе современного исследовательского университета в сфере АПК, не уступающего по эффективности деятельности ведущим зарубежным университетам.</w:t>
      </w:r>
    </w:p>
    <w:bookmarkEnd w:id="12"/>
    <w:p>
      <w:pPr>
        <w:spacing w:after="0"/>
        <w:ind w:left="0"/>
        <w:jc w:val="both"/>
      </w:pPr>
      <w:r>
        <w:rPr>
          <w:rFonts w:ascii="Times New Roman"/>
          <w:b/>
          <w:i w:val="false"/>
          <w:color w:val="000000"/>
          <w:sz w:val="28"/>
        </w:rPr>
        <w:t>Раздел 3. Обзор текущего состояния некоммерческого акционерного общества "Казахский агротехнический исследовательский университет имени Сакена Сейфуллина", включая его достижения, проблемы и вызовы</w:t>
      </w:r>
    </w:p>
    <w:p>
      <w:pPr>
        <w:spacing w:after="0"/>
        <w:ind w:left="0"/>
        <w:jc w:val="both"/>
      </w:pPr>
      <w:r>
        <w:rPr>
          <w:rFonts w:ascii="Times New Roman"/>
          <w:b/>
          <w:i w:val="false"/>
          <w:color w:val="000000"/>
          <w:sz w:val="28"/>
        </w:rPr>
        <w:t>Подраздел 3.1 Анализ текущего состояния</w:t>
      </w:r>
    </w:p>
    <w:bookmarkStart w:name="z33" w:id="13"/>
    <w:p>
      <w:pPr>
        <w:spacing w:after="0"/>
        <w:ind w:left="0"/>
        <w:jc w:val="both"/>
      </w:pPr>
      <w:r>
        <w:rPr>
          <w:rFonts w:ascii="Times New Roman"/>
          <w:b w:val="false"/>
          <w:i w:val="false"/>
          <w:color w:val="000000"/>
          <w:sz w:val="28"/>
        </w:rPr>
        <w:t xml:space="preserve">
      КАТИУ – крупнейший аграрный вуз Центрального и Северного Казахстана, первое высшее учебное заведение города Астаны, которое было основано в 1957 году как Акмолинский сельскохозяйственный институт (постановление Совета Министров СССР от 3 октября 1957 года № 1176). Сегодня КАТИУ – это многопрофильный университет, который имеет свою богатую почти 70-летнюю историю, признанные научные школы, глубокие образовательные традиции. </w:t>
      </w:r>
    </w:p>
    <w:bookmarkEnd w:id="13"/>
    <w:bookmarkStart w:name="z34" w:id="14"/>
    <w:p>
      <w:pPr>
        <w:spacing w:after="0"/>
        <w:ind w:left="0"/>
        <w:jc w:val="both"/>
      </w:pPr>
      <w:r>
        <w:rPr>
          <w:rFonts w:ascii="Times New Roman"/>
          <w:b w:val="false"/>
          <w:i w:val="false"/>
          <w:color w:val="000000"/>
          <w:sz w:val="28"/>
        </w:rPr>
        <w:t>
      В составе КАТИУ действуют 7 институтов:</w:t>
      </w:r>
    </w:p>
    <w:bookmarkEnd w:id="14"/>
    <w:bookmarkStart w:name="z35" w:id="15"/>
    <w:p>
      <w:pPr>
        <w:spacing w:after="0"/>
        <w:ind w:left="0"/>
        <w:jc w:val="both"/>
      </w:pPr>
      <w:r>
        <w:rPr>
          <w:rFonts w:ascii="Times New Roman"/>
          <w:b w:val="false"/>
          <w:i w:val="false"/>
          <w:color w:val="000000"/>
          <w:sz w:val="28"/>
        </w:rPr>
        <w:t>
      1) институт сельского и лесного хозяйства;</w:t>
      </w:r>
    </w:p>
    <w:bookmarkEnd w:id="15"/>
    <w:bookmarkStart w:name="z36" w:id="16"/>
    <w:p>
      <w:pPr>
        <w:spacing w:after="0"/>
        <w:ind w:left="0"/>
        <w:jc w:val="both"/>
      </w:pPr>
      <w:r>
        <w:rPr>
          <w:rFonts w:ascii="Times New Roman"/>
          <w:b w:val="false"/>
          <w:i w:val="false"/>
          <w:color w:val="000000"/>
          <w:sz w:val="28"/>
        </w:rPr>
        <w:t>
      2) институт науки о животных и ветеринарии;</w:t>
      </w:r>
    </w:p>
    <w:bookmarkEnd w:id="16"/>
    <w:bookmarkStart w:name="z37" w:id="17"/>
    <w:p>
      <w:pPr>
        <w:spacing w:after="0"/>
        <w:ind w:left="0"/>
        <w:jc w:val="both"/>
      </w:pPr>
      <w:r>
        <w:rPr>
          <w:rFonts w:ascii="Times New Roman"/>
          <w:b w:val="false"/>
          <w:i w:val="false"/>
          <w:color w:val="000000"/>
          <w:sz w:val="28"/>
        </w:rPr>
        <w:t>
      3) институт инжиниринга и пищевых технологий;</w:t>
      </w:r>
    </w:p>
    <w:bookmarkEnd w:id="17"/>
    <w:bookmarkStart w:name="z38" w:id="18"/>
    <w:p>
      <w:pPr>
        <w:spacing w:after="0"/>
        <w:ind w:left="0"/>
        <w:jc w:val="both"/>
      </w:pPr>
      <w:r>
        <w:rPr>
          <w:rFonts w:ascii="Times New Roman"/>
          <w:b w:val="false"/>
          <w:i w:val="false"/>
          <w:color w:val="000000"/>
          <w:sz w:val="28"/>
        </w:rPr>
        <w:t>
      4) институт энергетики;</w:t>
      </w:r>
    </w:p>
    <w:bookmarkEnd w:id="18"/>
    <w:bookmarkStart w:name="z39" w:id="19"/>
    <w:p>
      <w:pPr>
        <w:spacing w:after="0"/>
        <w:ind w:left="0"/>
        <w:jc w:val="both"/>
      </w:pPr>
      <w:r>
        <w:rPr>
          <w:rFonts w:ascii="Times New Roman"/>
          <w:b w:val="false"/>
          <w:i w:val="false"/>
          <w:color w:val="000000"/>
          <w:sz w:val="28"/>
        </w:rPr>
        <w:t>
      5) институт земельных ресурсов и архитектуры;</w:t>
      </w:r>
    </w:p>
    <w:bookmarkEnd w:id="19"/>
    <w:bookmarkStart w:name="z40" w:id="20"/>
    <w:p>
      <w:pPr>
        <w:spacing w:after="0"/>
        <w:ind w:left="0"/>
        <w:jc w:val="both"/>
      </w:pPr>
      <w:r>
        <w:rPr>
          <w:rFonts w:ascii="Times New Roman"/>
          <w:b w:val="false"/>
          <w:i w:val="false"/>
          <w:color w:val="000000"/>
          <w:sz w:val="28"/>
        </w:rPr>
        <w:t>
      6) институт бизнеса и цифровых технологий;</w:t>
      </w:r>
    </w:p>
    <w:bookmarkEnd w:id="20"/>
    <w:bookmarkStart w:name="z41" w:id="21"/>
    <w:p>
      <w:pPr>
        <w:spacing w:after="0"/>
        <w:ind w:left="0"/>
        <w:jc w:val="both"/>
      </w:pPr>
      <w:r>
        <w:rPr>
          <w:rFonts w:ascii="Times New Roman"/>
          <w:b w:val="false"/>
          <w:i w:val="false"/>
          <w:color w:val="000000"/>
          <w:sz w:val="28"/>
        </w:rPr>
        <w:t>
      7) институт гуманитарно-педагогических наук.</w:t>
      </w:r>
    </w:p>
    <w:bookmarkEnd w:id="21"/>
    <w:bookmarkStart w:name="z42" w:id="22"/>
    <w:p>
      <w:pPr>
        <w:spacing w:after="0"/>
        <w:ind w:left="0"/>
        <w:jc w:val="both"/>
      </w:pPr>
      <w:r>
        <w:rPr>
          <w:rFonts w:ascii="Times New Roman"/>
          <w:b w:val="false"/>
          <w:i w:val="false"/>
          <w:color w:val="000000"/>
          <w:sz w:val="28"/>
        </w:rPr>
        <w:t xml:space="preserve">
      В КАТИУ действуют 32 научные лаборатории и научно-исследовательские центры. Успешно аккредитованы образовательные программы бакалавриата, магистратуры и докторантуры. </w:t>
      </w:r>
    </w:p>
    <w:bookmarkEnd w:id="22"/>
    <w:bookmarkStart w:name="z43" w:id="23"/>
    <w:p>
      <w:pPr>
        <w:spacing w:after="0"/>
        <w:ind w:left="0"/>
        <w:jc w:val="both"/>
      </w:pPr>
      <w:r>
        <w:rPr>
          <w:rFonts w:ascii="Times New Roman"/>
          <w:b w:val="false"/>
          <w:i w:val="false"/>
          <w:color w:val="000000"/>
          <w:sz w:val="28"/>
        </w:rPr>
        <w:t xml:space="preserve">
      К реформированию в исследовательский аграрный университет международного уровня КАТИУ приступил в 2013 году.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2020 года № 545 Казахскому агротехническому университету имени Сакена Сейфуллина был присвоен статус исследовательского университета и утверждена Программа развития на 2020 – 2024 годы. Целью Программы являлось создание на базе КАТИУ исследовательского университета по модели Автономной организации образования "Назарбаев Университет" и ведущих в мире исследовательских университетов в сфере сельского хозяйства.</w:t>
      </w:r>
    </w:p>
    <w:bookmarkEnd w:id="23"/>
    <w:bookmarkStart w:name="z44" w:id="24"/>
    <w:p>
      <w:pPr>
        <w:spacing w:after="0"/>
        <w:ind w:left="0"/>
        <w:jc w:val="both"/>
      </w:pPr>
      <w:r>
        <w:rPr>
          <w:rFonts w:ascii="Times New Roman"/>
          <w:b w:val="false"/>
          <w:i w:val="false"/>
          <w:color w:val="000000"/>
          <w:sz w:val="28"/>
        </w:rPr>
        <w:t xml:space="preserve">
      В рамках выполнения Программы на 2020 – 2024 годы реализован комплекс мероприятий по глубокой модернизации научно-исследовательской, образовательной и инновационной деятельности, развитию инфраструктуры и институциональной среды КАТИУ с целью создания современного исследовательского университета в сфере АПК, не уступающего по результативности деятельности ведущим зарубежным университетам. </w:t>
      </w:r>
    </w:p>
    <w:bookmarkEnd w:id="24"/>
    <w:bookmarkStart w:name="z45" w:id="25"/>
    <w:p>
      <w:pPr>
        <w:spacing w:after="0"/>
        <w:ind w:left="0"/>
        <w:jc w:val="both"/>
      </w:pPr>
      <w:r>
        <w:rPr>
          <w:rFonts w:ascii="Times New Roman"/>
          <w:b w:val="false"/>
          <w:i w:val="false"/>
          <w:color w:val="000000"/>
          <w:sz w:val="28"/>
        </w:rPr>
        <w:t>
      В рамках реализации Программы на 2020 – 2024 годы осуществлена модернизация научно-исследовательской и академической деятельности. Вместе с тем ввиду ограниченности целевого бюджетного финансирования капитальных затрат ряд капиталоемких инфраструктурных проектов перенесен на плановый период 2026 – 2030 годов, к их числу относятся:</w:t>
      </w:r>
    </w:p>
    <w:bookmarkEnd w:id="25"/>
    <w:bookmarkStart w:name="z46" w:id="26"/>
    <w:p>
      <w:pPr>
        <w:spacing w:after="0"/>
        <w:ind w:left="0"/>
        <w:jc w:val="both"/>
      </w:pPr>
      <w:r>
        <w:rPr>
          <w:rFonts w:ascii="Times New Roman"/>
          <w:b w:val="false"/>
          <w:i w:val="false"/>
          <w:color w:val="000000"/>
          <w:sz w:val="28"/>
        </w:rPr>
        <w:t>
      1) масштабирование программ внешней академической мобильности обучающихся и профессорско-преподавательского состава (далее – ППС);</w:t>
      </w:r>
    </w:p>
    <w:bookmarkEnd w:id="26"/>
    <w:bookmarkStart w:name="z47" w:id="27"/>
    <w:p>
      <w:pPr>
        <w:spacing w:after="0"/>
        <w:ind w:left="0"/>
        <w:jc w:val="both"/>
      </w:pPr>
      <w:r>
        <w:rPr>
          <w:rFonts w:ascii="Times New Roman"/>
          <w:b w:val="false"/>
          <w:i w:val="false"/>
          <w:color w:val="000000"/>
          <w:sz w:val="28"/>
        </w:rPr>
        <w:t>
      2) создание новой и модернизация существующей научно-образовательной и производственной инфраструктуры;</w:t>
      </w:r>
    </w:p>
    <w:bookmarkEnd w:id="27"/>
    <w:bookmarkStart w:name="z48" w:id="28"/>
    <w:p>
      <w:pPr>
        <w:spacing w:after="0"/>
        <w:ind w:left="0"/>
        <w:jc w:val="both"/>
      </w:pPr>
      <w:r>
        <w:rPr>
          <w:rFonts w:ascii="Times New Roman"/>
          <w:b w:val="false"/>
          <w:i w:val="false"/>
          <w:color w:val="000000"/>
          <w:sz w:val="28"/>
        </w:rPr>
        <w:t>
      3) строительство новых объектов инфраструктуры, в том числе:</w:t>
      </w:r>
    </w:p>
    <w:bookmarkEnd w:id="28"/>
    <w:bookmarkStart w:name="z49" w:id="29"/>
    <w:p>
      <w:pPr>
        <w:spacing w:after="0"/>
        <w:ind w:left="0"/>
        <w:jc w:val="both"/>
      </w:pPr>
      <w:r>
        <w:rPr>
          <w:rFonts w:ascii="Times New Roman"/>
          <w:b w:val="false"/>
          <w:i w:val="false"/>
          <w:color w:val="000000"/>
          <w:sz w:val="28"/>
        </w:rPr>
        <w:t>
      нового, отвечающего международным стандартам учебно-лабораторного комплекса в городе Астане для размещения производственно-экспериментальных цехов и научно-исследовательских лабораторий, оборудованных в соответствии со стандартами GLP и BSL;</w:t>
      </w:r>
    </w:p>
    <w:bookmarkEnd w:id="29"/>
    <w:bookmarkStart w:name="z50" w:id="30"/>
    <w:p>
      <w:pPr>
        <w:spacing w:after="0"/>
        <w:ind w:left="0"/>
        <w:jc w:val="both"/>
      </w:pPr>
      <w:r>
        <w:rPr>
          <w:rFonts w:ascii="Times New Roman"/>
          <w:b w:val="false"/>
          <w:i w:val="false"/>
          <w:color w:val="000000"/>
          <w:sz w:val="28"/>
        </w:rPr>
        <w:t>
      спортивного комплекса с плавательным бассейном, тренажерным залом, боксерским и борцовским залами, помещениями для игровых видов спорта.</w:t>
      </w:r>
    </w:p>
    <w:bookmarkEnd w:id="30"/>
    <w:bookmarkStart w:name="z51" w:id="31"/>
    <w:p>
      <w:pPr>
        <w:spacing w:after="0"/>
        <w:ind w:left="0"/>
        <w:jc w:val="both"/>
      </w:pPr>
      <w:r>
        <w:rPr>
          <w:rFonts w:ascii="Times New Roman"/>
          <w:b w:val="false"/>
          <w:i w:val="false"/>
          <w:color w:val="000000"/>
          <w:sz w:val="28"/>
        </w:rPr>
        <w:t>
      Необходимость реагирования на глобальные технологические вызовы и климатические изменения обусловили разработку новой Программы развития КАТИУ, сфокусированной на достижении академического превосходства, цифровизации, интернационализации науки и коммерциализации инноваций.</w:t>
      </w:r>
    </w:p>
    <w:bookmarkEnd w:id="31"/>
    <w:bookmarkStart w:name="z52" w:id="32"/>
    <w:p>
      <w:pPr>
        <w:spacing w:after="0"/>
        <w:ind w:left="0"/>
        <w:jc w:val="both"/>
      </w:pPr>
      <w:r>
        <w:rPr>
          <w:rFonts w:ascii="Times New Roman"/>
          <w:b w:val="false"/>
          <w:i w:val="false"/>
          <w:color w:val="000000"/>
          <w:sz w:val="28"/>
        </w:rPr>
        <w:t xml:space="preserve">
      Основные достижения КАТИУ в течение последних лет в статусе исследовательского университета выражены следующими высокими показателями по направлениям деятельности: в рейтинге QS World University Rankings 2025 КАТИУ вошел в топ-1201+ рейтинга университетов мира. В рейтинге QS Asia University Rankings 2025 университет занимает 281 место, входит в топ-20 лучших университетов Центральной Азии и занимает 16 место. </w:t>
      </w:r>
    </w:p>
    <w:bookmarkEnd w:id="32"/>
    <w:bookmarkStart w:name="z53" w:id="33"/>
    <w:p>
      <w:pPr>
        <w:spacing w:after="0"/>
        <w:ind w:left="0"/>
        <w:jc w:val="both"/>
      </w:pPr>
      <w:r>
        <w:rPr>
          <w:rFonts w:ascii="Times New Roman"/>
          <w:b w:val="false"/>
          <w:i w:val="false"/>
          <w:color w:val="000000"/>
          <w:sz w:val="28"/>
        </w:rPr>
        <w:t xml:space="preserve">
      В 2023 КАТИУ впервые прошел аудит авторитетного британского рейтингового агентства Quacquarelli Symonds (QS), по результатам которого вуз удостоен общей высокой оценки – 4 звезды. Высокие баллы по представленным категориям подтверждают прочную международную репутацию, высококвалифицированный преподавательский состав, а также передовые технологические и образовательные возможности КАТИУ для проведения сложных исследовательских работ. </w:t>
      </w:r>
    </w:p>
    <w:bookmarkEnd w:id="33"/>
    <w:bookmarkStart w:name="z54" w:id="34"/>
    <w:p>
      <w:pPr>
        <w:spacing w:after="0"/>
        <w:ind w:left="0"/>
        <w:jc w:val="both"/>
      </w:pPr>
      <w:r>
        <w:rPr>
          <w:rFonts w:ascii="Times New Roman"/>
          <w:b w:val="false"/>
          <w:i w:val="false"/>
          <w:color w:val="000000"/>
          <w:sz w:val="28"/>
        </w:rPr>
        <w:t xml:space="preserve">
      В 2025 году КАТИУ впервые вошел в престижный международный рейтинг Times Higher Education (THE) Impact Rankings 2025, отражающий вклад университетов в достижение Целей устойчивого развития (далее – ЦУР) Организации Объединенных Наций (далее – ООН). При этом университет стал одним из первых аграрных университетов Казахстана, принявших участие в этом глобальном рейтинге. THE Impact Rankings оценивает университеты по глобальным критериям, включая вклад в общество, устойчивость, инклюзивность, партнерство и качество образования. </w:t>
      </w:r>
    </w:p>
    <w:bookmarkEnd w:id="34"/>
    <w:bookmarkStart w:name="z55" w:id="35"/>
    <w:p>
      <w:pPr>
        <w:spacing w:after="0"/>
        <w:ind w:left="0"/>
        <w:jc w:val="both"/>
      </w:pPr>
      <w:r>
        <w:rPr>
          <w:rFonts w:ascii="Times New Roman"/>
          <w:b w:val="false"/>
          <w:i w:val="false"/>
          <w:color w:val="000000"/>
          <w:sz w:val="28"/>
        </w:rPr>
        <w:t>
      Университет в рейтинговом цикле 2025 года занял позицию 1501+. При этом по показателю ЦУР "Нулевой голод" КАТИУ вошел в 401-600 лучших университетов, по показателю "Жизнь на Земле" – 601-800, а по показателям "Достойный труд и экономический рост" и "Промышленность, инновации и инфраструктура" – 801-1000 (таблица 1).</w:t>
      </w:r>
    </w:p>
    <w:bookmarkEnd w:id="35"/>
    <w:bookmarkStart w:name="z56" w:id="36"/>
    <w:p>
      <w:pPr>
        <w:spacing w:after="0"/>
        <w:ind w:left="0"/>
        <w:jc w:val="both"/>
      </w:pPr>
      <w:r>
        <w:rPr>
          <w:rFonts w:ascii="Times New Roman"/>
          <w:b w:val="false"/>
          <w:i w:val="false"/>
          <w:color w:val="000000"/>
          <w:sz w:val="28"/>
        </w:rPr>
        <w:t>
      Таблица 1. Рейтинговый цикл КАТИУ за 2025 год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QS Stars (2023) – итоговая оценка: 4 звезды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QS World University Rankings (2025) – вхождение в топ-1201+ лучших университетов мира</w:t>
            </w:r>
          </w:p>
          <w:bookmarkEnd w:id="37"/>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16400" cy="1346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QS Asia University Rankings (2025) – 281-е место в Азии (16-е место по Центральной Азии)</w:t>
            </w:r>
          </w:p>
          <w:bookmarkEnd w:id="38"/>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39900" cy="1358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QS Environmental World Sustainability Rankings (2024) – 535-е место</w:t>
            </w:r>
          </w:p>
          <w:bookmarkEnd w:id="39"/>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977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THE Impact Rankings (2025) – позиция 1501+ (вклад в достижение ЦУР Объединенных Наций)</w:t>
            </w:r>
          </w:p>
          <w:bookmarkEnd w:id="40"/>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1054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 Green Metric World University Rankings (2025) – 1063-е место</w:t>
            </w:r>
          </w:p>
        </w:tc>
      </w:tr>
    </w:tbl>
    <w:p>
      <w:pPr>
        <w:spacing w:after="0"/>
        <w:ind w:left="0"/>
        <w:jc w:val="left"/>
      </w:pPr>
      <w:r>
        <w:br/>
      </w:r>
      <w:r>
        <w:rPr>
          <w:rFonts w:ascii="Times New Roman"/>
          <w:b w:val="false"/>
          <w:i w:val="false"/>
          <w:color w:val="000000"/>
          <w:sz w:val="28"/>
        </w:rPr>
        <w:t>
</w:t>
      </w:r>
    </w:p>
    <w:bookmarkStart w:name="z61" w:id="41"/>
    <w:p>
      <w:pPr>
        <w:spacing w:after="0"/>
        <w:ind w:left="0"/>
        <w:jc w:val="both"/>
      </w:pPr>
      <w:r>
        <w:rPr>
          <w:rFonts w:ascii="Times New Roman"/>
          <w:b w:val="false"/>
          <w:i w:val="false"/>
          <w:color w:val="000000"/>
          <w:sz w:val="28"/>
        </w:rPr>
        <w:t>
      КАТИУ демонстрирует устойчивые позиции в рейтинге независимого агентства аккредитации и рейтинга уже несколько лет подряд, уверенно входя в ТОП-3 лучших высших учебных заведений страны (таблица 2).</w:t>
      </w:r>
    </w:p>
    <w:bookmarkEnd w:id="41"/>
    <w:bookmarkStart w:name="z62" w:id="42"/>
    <w:p>
      <w:pPr>
        <w:spacing w:after="0"/>
        <w:ind w:left="0"/>
        <w:jc w:val="both"/>
      </w:pPr>
      <w:r>
        <w:rPr>
          <w:rFonts w:ascii="Times New Roman"/>
          <w:b w:val="false"/>
          <w:i w:val="false"/>
          <w:color w:val="000000"/>
          <w:sz w:val="28"/>
        </w:rPr>
        <w:t xml:space="preserve">
      Таблица 2. Рейтинг Независимого агентства аккредитации и рейтинга по группам образовательных программ КАТИУ, в единицах по местам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ТОП-3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В Национальном генеральном рейтинге ТОП-20 вузов Республики Казахстан, формируемом Независимым агентством аккредитации и рейтинга (НААР), КАТИУ по итогам 2025 года занял почетное 3-е место, закрепив статус одного из лидеров отечественного высшего образования. Университет также удостоен специализированной награды "Agricultural University Award" за выдающийся вклад в развитие аграрной науки.</w:t>
      </w:r>
    </w:p>
    <w:bookmarkEnd w:id="43"/>
    <w:bookmarkStart w:name="z64" w:id="44"/>
    <w:p>
      <w:pPr>
        <w:spacing w:after="0"/>
        <w:ind w:left="0"/>
        <w:jc w:val="both"/>
      </w:pPr>
      <w:r>
        <w:rPr>
          <w:rFonts w:ascii="Times New Roman"/>
          <w:b w:val="false"/>
          <w:i w:val="false"/>
          <w:color w:val="000000"/>
          <w:sz w:val="28"/>
        </w:rPr>
        <w:t>
      Этот рейтинг, разработанный Независимым агентством аккредитации и рейтинга, направлен на всестороннюю оценку качества деятельности высших учебных заведений и основан на международных методологических стандартах IREG (Observatory on Academic Ranking and Excellence). Методология рейтинга соблюдает Берлинские принципы, включая прозрачность и объективность, что подтверждает высокие стандарты оценки.</w:t>
      </w:r>
    </w:p>
    <w:bookmarkEnd w:id="44"/>
    <w:bookmarkStart w:name="z65" w:id="45"/>
    <w:p>
      <w:pPr>
        <w:spacing w:after="0"/>
        <w:ind w:left="0"/>
        <w:jc w:val="both"/>
      </w:pPr>
      <w:r>
        <w:rPr>
          <w:rFonts w:ascii="Times New Roman"/>
          <w:b w:val="false"/>
          <w:i w:val="false"/>
          <w:color w:val="000000"/>
          <w:sz w:val="28"/>
        </w:rPr>
        <w:t>
      Награда "Agricultural University Award" свидетельствует о высоком уровне подготовки специалистов и значительном вкладе университета в развитие аграрного сектора. Это достижение открывает новые возможности для обучающихся и преподавателей, способствуя интеграции в глобальное образовательное и научное пространство.</w:t>
      </w:r>
    </w:p>
    <w:bookmarkEnd w:id="45"/>
    <w:bookmarkStart w:name="z66" w:id="46"/>
    <w:p>
      <w:pPr>
        <w:spacing w:after="0"/>
        <w:ind w:left="0"/>
        <w:jc w:val="both"/>
      </w:pPr>
      <w:r>
        <w:rPr>
          <w:rFonts w:ascii="Times New Roman"/>
          <w:b w:val="false"/>
          <w:i w:val="false"/>
          <w:color w:val="000000"/>
          <w:sz w:val="28"/>
        </w:rPr>
        <w:t>
      Корпоративное управление в университете выстроено в соответствии с принципами прозрачности и подотчетности. Действуют двухуровневая система (совет директоров и правление), а также коллегиальные органы: ученый совет, ректорат, академический совет, научно-технический совет и совет по исследовательской этике и другие, основной деятельностью которых является определение стратегии обучения, научных исследований, методик, профессиональных компетенций ППС, сотрудников.</w:t>
      </w:r>
    </w:p>
    <w:bookmarkEnd w:id="46"/>
    <w:bookmarkStart w:name="z67" w:id="47"/>
    <w:p>
      <w:pPr>
        <w:spacing w:after="0"/>
        <w:ind w:left="0"/>
        <w:jc w:val="both"/>
      </w:pPr>
      <w:r>
        <w:rPr>
          <w:rFonts w:ascii="Times New Roman"/>
          <w:b w:val="false"/>
          <w:i w:val="false"/>
          <w:color w:val="000000"/>
          <w:sz w:val="28"/>
        </w:rPr>
        <w:t>
      В 2023 году внедрена новая система оценки результативности деятельности ППС, сотрудников КАТИУ на основе KPI.</w:t>
      </w:r>
    </w:p>
    <w:bookmarkEnd w:id="47"/>
    <w:bookmarkStart w:name="z68" w:id="48"/>
    <w:p>
      <w:pPr>
        <w:spacing w:after="0"/>
        <w:ind w:left="0"/>
        <w:jc w:val="both"/>
      </w:pPr>
      <w:r>
        <w:rPr>
          <w:rFonts w:ascii="Times New Roman"/>
          <w:b w:val="false"/>
          <w:i w:val="false"/>
          <w:color w:val="000000"/>
          <w:sz w:val="28"/>
        </w:rPr>
        <w:t xml:space="preserve">
      ППС университета сформирован из числа опытных преподавателей, ученых и высококвалифицированных специалистов, заслуженных деятелей образования, науки, культуры и спорта, имеющих высокий научный потенциал и научно-педагогический стаж, состоит из 795 штатных преподавателей, из них 60 докторов наук, 312 кандидатов наук, 105 докторов PhD. Доля штатных преподавателей составляет более 83 % и обеспечивает организационную устойчивость образовательной деятельности университета. Средний возраст преподавателей составляет 48 лет, имеющих ученую степень и ученое звание – 53 года. </w:t>
      </w:r>
    </w:p>
    <w:bookmarkEnd w:id="48"/>
    <w:bookmarkStart w:name="z69" w:id="49"/>
    <w:p>
      <w:pPr>
        <w:spacing w:after="0"/>
        <w:ind w:left="0"/>
        <w:jc w:val="both"/>
      </w:pPr>
      <w:r>
        <w:rPr>
          <w:rFonts w:ascii="Times New Roman"/>
          <w:b w:val="false"/>
          <w:i w:val="false"/>
          <w:color w:val="000000"/>
          <w:sz w:val="28"/>
        </w:rPr>
        <w:t xml:space="preserve">
      В КАТИУ работают 129 обладателей звания "Лучший преподаватель вуза", 3 обладателя звания "Лучший научный работник", 21 обладатель государственных премий, 60 обладатель именных стипендий. Три преподавателя университета вошли в генеральный рейтинг "Профессорско-преподавательский состав вузов Республики Казахстан". </w:t>
      </w:r>
    </w:p>
    <w:bookmarkEnd w:id="49"/>
    <w:bookmarkStart w:name="z70" w:id="50"/>
    <w:p>
      <w:pPr>
        <w:spacing w:after="0"/>
        <w:ind w:left="0"/>
        <w:jc w:val="both"/>
      </w:pPr>
      <w:r>
        <w:rPr>
          <w:rFonts w:ascii="Times New Roman"/>
          <w:b w:val="false"/>
          <w:i w:val="false"/>
          <w:color w:val="000000"/>
          <w:sz w:val="28"/>
        </w:rPr>
        <w:t xml:space="preserve">
      Достижениям целей повышения профессиональных компетенций ППС и сотрудников способствуют системные мероприятия: </w:t>
      </w:r>
    </w:p>
    <w:bookmarkEnd w:id="50"/>
    <w:bookmarkStart w:name="z71" w:id="51"/>
    <w:p>
      <w:pPr>
        <w:spacing w:after="0"/>
        <w:ind w:left="0"/>
        <w:jc w:val="both"/>
      </w:pPr>
      <w:r>
        <w:rPr>
          <w:rFonts w:ascii="Times New Roman"/>
          <w:b w:val="false"/>
          <w:i w:val="false"/>
          <w:color w:val="000000"/>
          <w:sz w:val="28"/>
        </w:rPr>
        <w:t>
      Курсы повышения уровня иностранных языков. Период с 2020 года характеризуется ростом международной активности КАТИУ, ставшей результатом массовой сертификации ППС по стандартам Academic IELTS (150 человек). Это обеспечило приток международных грантов и увеличение доли дисциплин, читаемых на английском языке, в рамках интернационализации образования (таблица 3).</w:t>
      </w:r>
    </w:p>
    <w:bookmarkEnd w:id="51"/>
    <w:bookmarkStart w:name="z72" w:id="52"/>
    <w:p>
      <w:pPr>
        <w:spacing w:after="0"/>
        <w:ind w:left="0"/>
        <w:jc w:val="both"/>
      </w:pPr>
      <w:r>
        <w:rPr>
          <w:rFonts w:ascii="Times New Roman"/>
          <w:b w:val="false"/>
          <w:i w:val="false"/>
          <w:color w:val="000000"/>
          <w:sz w:val="28"/>
        </w:rPr>
        <w:t xml:space="preserve">
      Обучение по международным программам. Численность ППС и ученых КАТИУ, поступивших по программе "Болашақ" в докторантуру зарубежных вузов-партнеров, увеличилась в 18 раз – с 2 человек в 2020 году до 36 человек в 2024 году. </w:t>
      </w:r>
    </w:p>
    <w:bookmarkEnd w:id="52"/>
    <w:bookmarkStart w:name="z73" w:id="53"/>
    <w:p>
      <w:pPr>
        <w:spacing w:after="0"/>
        <w:ind w:left="0"/>
        <w:jc w:val="both"/>
      </w:pPr>
      <w:r>
        <w:rPr>
          <w:rFonts w:ascii="Times New Roman"/>
          <w:b w:val="false"/>
          <w:i w:val="false"/>
          <w:color w:val="000000"/>
          <w:sz w:val="28"/>
        </w:rPr>
        <w:t xml:space="preserve">
      Зарубежные стажировки. Количество ученых и преподавателей, прошедших повышение квалификации посредством зарубежных стажировок в рамках научных, образовательных проектов и программ с 2020 года, выросло более чем в 4 раза к 2024 году, что составляет более 10% всего ППС КАТИУ. География стажировок очень обширна и охватывает ближнее зарубежье (Россия, Узбекистан, Азербайджан, Беларусь, Таджикистан), Европу (Германия, Великобритания, Польша, Болгария, Нидерланды, Чехия, Литва, Португалия), Ближний и Средний Восток (Израиль, Турция), Япония, Соединенные Штаты Америки (далее – США). </w:t>
      </w:r>
    </w:p>
    <w:bookmarkEnd w:id="53"/>
    <w:bookmarkStart w:name="z74" w:id="54"/>
    <w:p>
      <w:pPr>
        <w:spacing w:after="0"/>
        <w:ind w:left="0"/>
        <w:jc w:val="both"/>
      </w:pPr>
      <w:r>
        <w:rPr>
          <w:rFonts w:ascii="Times New Roman"/>
          <w:b w:val="false"/>
          <w:i w:val="false"/>
          <w:color w:val="000000"/>
          <w:sz w:val="28"/>
        </w:rPr>
        <w:t>
      Таблица 3. Повышение квалификации ППС, человек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xml:space="preserve">
2023 – 2024 </w:t>
            </w:r>
          </w:p>
          <w:bookmarkEnd w:id="56"/>
          <w:p>
            <w:pPr>
              <w:spacing w:after="20"/>
              <w:ind w:left="20"/>
              <w:jc w:val="both"/>
            </w:pPr>
            <w:r>
              <w:rPr>
                <w:rFonts w:ascii="Times New Roman"/>
                <w:b w:val="false"/>
                <w:i w:val="false"/>
                <w:color w:val="000000"/>
                <w:sz w:val="20"/>
              </w:rPr>
              <w:t>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xml:space="preserve">
2024 – 2025 </w:t>
            </w:r>
          </w:p>
          <w:bookmarkEnd w:id="57"/>
          <w:p>
            <w:pPr>
              <w:spacing w:after="20"/>
              <w:ind w:left="20"/>
              <w:jc w:val="both"/>
            </w:pPr>
            <w:r>
              <w:rPr>
                <w:rFonts w:ascii="Times New Roman"/>
                <w:b w:val="false"/>
                <w:i w:val="false"/>
                <w:color w:val="000000"/>
                <w:sz w:val="20"/>
              </w:rPr>
              <w:t>
учебный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прошли повышение квалификации по: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профилю преподаваемых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инклюзивному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инновационным методам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цифровизации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международном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bl>
    <w:p>
      <w:pPr>
        <w:spacing w:after="0"/>
        <w:ind w:left="0"/>
        <w:jc w:val="left"/>
      </w:pP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Обучающие мероприятия. В КАТИУ реализуются программы обучения современным методам преподавания и научных исследований. С 2020 года такие мероприятия для сотрудников университета организуются с участием профессоров из ведущих вузов Франции, России, Турции, Италии, США и Германии. Проекты реализуются в том числе в рамках программ Европейского союза, поддерживающего образовательные, профессиональные, молодежные и спортивные проекты (далее – Erasmus+), а также при содействии международных организаций, таких как Программа развития ООН, Продовольственная и сельскохозяйственная организация (далее – ФАО).</w:t>
      </w:r>
    </w:p>
    <w:bookmarkEnd w:id="58"/>
    <w:bookmarkStart w:name="z79" w:id="59"/>
    <w:p>
      <w:pPr>
        <w:spacing w:after="0"/>
        <w:ind w:left="0"/>
        <w:jc w:val="both"/>
      </w:pPr>
      <w:r>
        <w:rPr>
          <w:rFonts w:ascii="Times New Roman"/>
          <w:b w:val="false"/>
          <w:i w:val="false"/>
          <w:color w:val="000000"/>
          <w:sz w:val="28"/>
        </w:rPr>
        <w:t>
      Далее рассматривается академическая деятельность университета. В рамках академического развития университет ставит задачу усилить качественную подготовку конкурентоспособных выпускников, отвечающих требованиям современного рынка труда. Реализация данной задачи подкрепляется стабильной динамикой роста контингента обучающихся, что подтверждает востребованность образовательных программ университета и доверие со стороны абитуриентов. Планомерное увеличение численности обучающихся на всех уровнях обучения создает фундамент для масштабного вклада вуза в кадровое обеспечение аграрного сектора страны. Динамика контингента за период 2020 – 2025 годов представлена ниже (таблица 4).</w:t>
      </w:r>
    </w:p>
    <w:bookmarkEnd w:id="59"/>
    <w:bookmarkStart w:name="z80" w:id="60"/>
    <w:p>
      <w:pPr>
        <w:spacing w:after="0"/>
        <w:ind w:left="0"/>
        <w:jc w:val="both"/>
      </w:pPr>
      <w:r>
        <w:rPr>
          <w:rFonts w:ascii="Times New Roman"/>
          <w:b w:val="false"/>
          <w:i w:val="false"/>
          <w:color w:val="000000"/>
          <w:sz w:val="28"/>
        </w:rPr>
        <w:t>
      Анализ структуры контингента по уровням подготовки выявил следующие тенденции:</w:t>
      </w:r>
    </w:p>
    <w:bookmarkEnd w:id="60"/>
    <w:bookmarkStart w:name="z81" w:id="61"/>
    <w:p>
      <w:pPr>
        <w:spacing w:after="0"/>
        <w:ind w:left="0"/>
        <w:jc w:val="both"/>
      </w:pPr>
      <w:r>
        <w:rPr>
          <w:rFonts w:ascii="Times New Roman"/>
          <w:b w:val="false"/>
          <w:i w:val="false"/>
          <w:color w:val="000000"/>
          <w:sz w:val="28"/>
        </w:rPr>
        <w:t>
      Бакалавриат является основным уровнем подготовки. По состоянию на 1 октября 2025 года количество обучающихся достигло 15 852 человек, что на 35,6 % больше уровня 2020 года. Основной прирост (более 3,5 тысяч человек) пришелся на последний учебный год.</w:t>
      </w:r>
    </w:p>
    <w:bookmarkEnd w:id="61"/>
    <w:bookmarkStart w:name="z82" w:id="62"/>
    <w:p>
      <w:pPr>
        <w:spacing w:after="0"/>
        <w:ind w:left="0"/>
        <w:jc w:val="both"/>
      </w:pPr>
      <w:r>
        <w:rPr>
          <w:rFonts w:ascii="Times New Roman"/>
          <w:b w:val="false"/>
          <w:i w:val="false"/>
          <w:color w:val="000000"/>
          <w:sz w:val="28"/>
        </w:rPr>
        <w:t>
      В магистратуре несмотря на общее снижение на 48 % относительно 2020 года в период 2024 – 2025 гг. наметилась положительная динамика (рост с 382 до 434 человек), что указывает на начало восстановления кадрового потенциала.</w:t>
      </w:r>
    </w:p>
    <w:bookmarkEnd w:id="62"/>
    <w:bookmarkStart w:name="z83" w:id="63"/>
    <w:p>
      <w:pPr>
        <w:spacing w:after="0"/>
        <w:ind w:left="0"/>
        <w:jc w:val="both"/>
      </w:pPr>
      <w:r>
        <w:rPr>
          <w:rFonts w:ascii="Times New Roman"/>
          <w:b w:val="false"/>
          <w:i w:val="false"/>
          <w:color w:val="000000"/>
          <w:sz w:val="28"/>
        </w:rPr>
        <w:t>
      Докторантура демонстрирует наиболее стабильный качественный рост на 58% (с 154 до 243 человек), что подтверждает статус КАТИУ как исследовательского университета.</w:t>
      </w:r>
    </w:p>
    <w:bookmarkEnd w:id="63"/>
    <w:bookmarkStart w:name="z84" w:id="64"/>
    <w:p>
      <w:pPr>
        <w:spacing w:after="0"/>
        <w:ind w:left="0"/>
        <w:jc w:val="both"/>
      </w:pPr>
      <w:r>
        <w:rPr>
          <w:rFonts w:ascii="Times New Roman"/>
          <w:b w:val="false"/>
          <w:i w:val="false"/>
          <w:color w:val="000000"/>
          <w:sz w:val="28"/>
        </w:rPr>
        <w:t>
      Таблица 4. Общий контингент обучающихся в университете (2020 – 2025 годы), человек</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годы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2020/2025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(рост)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(спад)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(рост)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(рост)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образовательному заказу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(рост)</w:t>
            </w:r>
          </w:p>
        </w:tc>
      </w:tr>
    </w:tbl>
    <w:p>
      <w:pPr>
        <w:spacing w:after="0"/>
        <w:ind w:left="0"/>
        <w:jc w:val="left"/>
      </w:pP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Сравнение показателей 2024 и 2025 годов демонстрирует рост общего контингента обучающихся на 28 % (с 12917 до 16529 человек). Количество обучающихся по государственному заказу достигло 12164, увеличившись на 60 % по сравнению с 2020 годом.</w:t>
      </w:r>
    </w:p>
    <w:bookmarkEnd w:id="65"/>
    <w:bookmarkStart w:name="z86" w:id="66"/>
    <w:p>
      <w:pPr>
        <w:spacing w:after="0"/>
        <w:ind w:left="0"/>
        <w:jc w:val="both"/>
      </w:pPr>
      <w:r>
        <w:rPr>
          <w:rFonts w:ascii="Times New Roman"/>
          <w:b w:val="false"/>
          <w:i w:val="false"/>
          <w:color w:val="000000"/>
          <w:sz w:val="28"/>
        </w:rPr>
        <w:t>
      Формирование контингента обучающихся по бакалавриату (высшее образование) показано в таблице 5.</w:t>
      </w:r>
    </w:p>
    <w:bookmarkEnd w:id="66"/>
    <w:bookmarkStart w:name="z87" w:id="67"/>
    <w:p>
      <w:pPr>
        <w:spacing w:after="0"/>
        <w:ind w:left="0"/>
        <w:jc w:val="both"/>
      </w:pPr>
      <w:r>
        <w:rPr>
          <w:rFonts w:ascii="Times New Roman"/>
          <w:b w:val="false"/>
          <w:i w:val="false"/>
          <w:color w:val="000000"/>
          <w:sz w:val="28"/>
        </w:rPr>
        <w:t>
      Таблица 5. Количество обучающихся, принятых на 1 курс по бакалавриату в 2020 – 2025 годах (по состоянию на 1 октября, 2020 - 2025 годы), человек</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университету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колледжа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заказу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местных исполнительных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заказу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p>
      <w:pPr>
        <w:spacing w:after="0"/>
        <w:ind w:left="0"/>
        <w:jc w:val="left"/>
      </w:pPr>
      <w:r>
        <w:br/>
      </w:r>
      <w:r>
        <w:rPr>
          <w:rFonts w:ascii="Times New Roman"/>
          <w:b w:val="false"/>
          <w:i w:val="false"/>
          <w:color w:val="000000"/>
          <w:sz w:val="28"/>
        </w:rPr>
        <w:t>
</w:t>
      </w:r>
    </w:p>
    <w:bookmarkStart w:name="z88" w:id="68"/>
    <w:p>
      <w:pPr>
        <w:spacing w:after="0"/>
        <w:ind w:left="0"/>
        <w:jc w:val="both"/>
      </w:pPr>
      <w:r>
        <w:rPr>
          <w:rFonts w:ascii="Times New Roman"/>
          <w:b w:val="false"/>
          <w:i w:val="false"/>
          <w:color w:val="000000"/>
          <w:sz w:val="28"/>
        </w:rPr>
        <w:t>
      Анализ показывает, что объем приема на 1 курс бакалавриата с 2020 года (1970 чел.) увеличился в 3,2 раза, достигнув в 2025 году 6290 человек.</w:t>
      </w:r>
    </w:p>
    <w:bookmarkEnd w:id="68"/>
    <w:bookmarkStart w:name="z89" w:id="69"/>
    <w:p>
      <w:pPr>
        <w:spacing w:after="0"/>
        <w:ind w:left="0"/>
        <w:jc w:val="both"/>
      </w:pPr>
      <w:r>
        <w:rPr>
          <w:rFonts w:ascii="Times New Roman"/>
          <w:b w:val="false"/>
          <w:i w:val="false"/>
          <w:color w:val="000000"/>
          <w:sz w:val="28"/>
        </w:rPr>
        <w:t xml:space="preserve">
      Прием обучающихся на 1 курс на 2023 – 2024 учебный год составил 3227 человек, из них 2469 (77 %) обучающихся – по государственным образовательным грантам, 743 обучающихся – на платной основе, 7 обучающихся – за счет социальной помощи, выделенной Управлением занятости, труда и социальной защиты города Астана, 8 обучающихся – за счет средств общественного фонда "Қазақстан халқына". </w:t>
      </w:r>
    </w:p>
    <w:bookmarkEnd w:id="69"/>
    <w:bookmarkStart w:name="z90" w:id="70"/>
    <w:p>
      <w:pPr>
        <w:spacing w:after="0"/>
        <w:ind w:left="0"/>
        <w:jc w:val="both"/>
      </w:pPr>
      <w:r>
        <w:rPr>
          <w:rFonts w:ascii="Times New Roman"/>
          <w:b w:val="false"/>
          <w:i w:val="false"/>
          <w:color w:val="000000"/>
          <w:sz w:val="28"/>
        </w:rPr>
        <w:t>
      Прием обучающихся на 1 курс на 2024 – 2025 учебный год составил 6290 человек, из них 3721 (59 %) обучающихся – по государственным образовательным грантам, 2337 обучающихся – на платной основе, 47 обучающихся – за счет социальной помощи, выделенной Управлением занятости, труда и социальной защиты города Астана, и средств фонда "Қазақстан халқына".</w:t>
      </w:r>
    </w:p>
    <w:bookmarkEnd w:id="70"/>
    <w:bookmarkStart w:name="z91" w:id="71"/>
    <w:p>
      <w:pPr>
        <w:spacing w:after="0"/>
        <w:ind w:left="0"/>
        <w:jc w:val="both"/>
      </w:pPr>
      <w:r>
        <w:rPr>
          <w:rFonts w:ascii="Times New Roman"/>
          <w:b w:val="false"/>
          <w:i w:val="false"/>
          <w:color w:val="000000"/>
          <w:sz w:val="28"/>
        </w:rPr>
        <w:t xml:space="preserve">
      Формирование контингента обучающихся по магистратуре и докторантуре (послевузовское образование) представлено в таблице 6. </w:t>
      </w:r>
    </w:p>
    <w:bookmarkEnd w:id="71"/>
    <w:bookmarkStart w:name="z92" w:id="72"/>
    <w:p>
      <w:pPr>
        <w:spacing w:after="0"/>
        <w:ind w:left="0"/>
        <w:jc w:val="both"/>
      </w:pPr>
      <w:r>
        <w:rPr>
          <w:rFonts w:ascii="Times New Roman"/>
          <w:b w:val="false"/>
          <w:i w:val="false"/>
          <w:color w:val="000000"/>
          <w:sz w:val="28"/>
        </w:rPr>
        <w:t>
      Таблица 6. Численность магистрантов и докторантов, принятых в период с 2020 по 2025 годы (по состоянию на 1 октября), человек</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университету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заказу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заказу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Прием в магистратуру и докторантуру в 2025 году показал положительную динамику. Всего на послевузовское образование зачислено 279 человек (в 2024 году – 238). В магистратуру в 2025 году принято 210 человек, что является лучшим показателем за последние четыре года, а в докторантуру – 69 человек, что также является пиковым значением за весь анализируемый период (2020 – 2025 годы).</w:t>
      </w:r>
    </w:p>
    <w:bookmarkEnd w:id="73"/>
    <w:bookmarkStart w:name="z94" w:id="74"/>
    <w:p>
      <w:pPr>
        <w:spacing w:after="0"/>
        <w:ind w:left="0"/>
        <w:jc w:val="both"/>
      </w:pPr>
      <w:r>
        <w:rPr>
          <w:rFonts w:ascii="Times New Roman"/>
          <w:b w:val="false"/>
          <w:i w:val="false"/>
          <w:color w:val="000000"/>
          <w:sz w:val="28"/>
        </w:rPr>
        <w:t>
      В связи с получением КАТИУ статуса исследовательского университета усиление практической направленности учебного процесса стало главным приоритетом академической деятельности. В этом направлении университет расширил сотрудничество с крупными работодателями АПК. Были заключены договоры со 152 крупными агропромышленными предприятиями и организациями.</w:t>
      </w:r>
    </w:p>
    <w:bookmarkEnd w:id="74"/>
    <w:bookmarkStart w:name="z95" w:id="75"/>
    <w:p>
      <w:pPr>
        <w:spacing w:after="0"/>
        <w:ind w:left="0"/>
        <w:jc w:val="both"/>
      </w:pPr>
      <w:r>
        <w:rPr>
          <w:rFonts w:ascii="Times New Roman"/>
          <w:b w:val="false"/>
          <w:i w:val="false"/>
          <w:color w:val="000000"/>
          <w:sz w:val="28"/>
        </w:rPr>
        <w:t xml:space="preserve">
      Университет реализует 143 образовательные программы (далее – ОП) по трем уровням подготовки: 57 по бакалавриату, 52 по магистратуре, 34 по докторантуре. </w:t>
      </w:r>
    </w:p>
    <w:bookmarkEnd w:id="75"/>
    <w:bookmarkStart w:name="z96" w:id="76"/>
    <w:p>
      <w:pPr>
        <w:spacing w:after="0"/>
        <w:ind w:left="0"/>
        <w:jc w:val="both"/>
      </w:pPr>
      <w:r>
        <w:rPr>
          <w:rFonts w:ascii="Times New Roman"/>
          <w:b w:val="false"/>
          <w:i w:val="false"/>
          <w:color w:val="000000"/>
          <w:sz w:val="28"/>
        </w:rPr>
        <w:t>
      В первой половине 2025 года еще 24 ОП успешно прошли аккредитацию в агентстве "Центрально-Азиатская ассоциация по аккредитации образования" со сроком на 5 лет (до 01.06.2030). Таким образом, за два года (2024 – 2025) международную и национальную аккредитацию прошли 99 ОП университета.</w:t>
      </w:r>
    </w:p>
    <w:bookmarkEnd w:id="76"/>
    <w:bookmarkStart w:name="z97" w:id="77"/>
    <w:p>
      <w:pPr>
        <w:spacing w:after="0"/>
        <w:ind w:left="0"/>
        <w:jc w:val="both"/>
      </w:pPr>
      <w:r>
        <w:rPr>
          <w:rFonts w:ascii="Times New Roman"/>
          <w:b w:val="false"/>
          <w:i w:val="false"/>
          <w:color w:val="000000"/>
          <w:sz w:val="28"/>
        </w:rPr>
        <w:t>
      Во второй половине 2024 года:</w:t>
      </w:r>
    </w:p>
    <w:bookmarkEnd w:id="77"/>
    <w:bookmarkStart w:name="z98" w:id="78"/>
    <w:p>
      <w:pPr>
        <w:spacing w:after="0"/>
        <w:ind w:left="0"/>
        <w:jc w:val="both"/>
      </w:pPr>
      <w:r>
        <w:rPr>
          <w:rFonts w:ascii="Times New Roman"/>
          <w:b w:val="false"/>
          <w:i w:val="false"/>
          <w:color w:val="000000"/>
          <w:sz w:val="28"/>
        </w:rPr>
        <w:t>
      международным агентством ASIIN (Германия) были аккредитованы 6 ОП: 6B08701 "Агроинженерия", 7M08702 "Агроинженерия", 8D08701 "Агроинженерия", 6B07201 "Технология пищевых продуктов", 7M07201 "Технология пищевых продуктов", 8D07201 "Технология пищевых продуктов", сроком на 6 лет;</w:t>
      </w:r>
    </w:p>
    <w:bookmarkEnd w:id="78"/>
    <w:bookmarkStart w:name="z99" w:id="79"/>
    <w:p>
      <w:pPr>
        <w:spacing w:after="0"/>
        <w:ind w:left="0"/>
        <w:jc w:val="both"/>
      </w:pPr>
      <w:r>
        <w:rPr>
          <w:rFonts w:ascii="Times New Roman"/>
          <w:b w:val="false"/>
          <w:i w:val="false"/>
          <w:color w:val="000000"/>
          <w:sz w:val="28"/>
        </w:rPr>
        <w:t xml:space="preserve">
      агентством IAAR (НААР) были аккредитованы 44 ОП КАТИУ сроком на 5 лет (20.12.2024 – 19.12.2029), а 2 ОП – сроком на 7 лет (20.12.2024 –19.12.2031). </w:t>
      </w:r>
    </w:p>
    <w:bookmarkEnd w:id="79"/>
    <w:bookmarkStart w:name="z100" w:id="80"/>
    <w:p>
      <w:pPr>
        <w:spacing w:after="0"/>
        <w:ind w:left="0"/>
        <w:jc w:val="both"/>
      </w:pPr>
      <w:r>
        <w:rPr>
          <w:rFonts w:ascii="Times New Roman"/>
          <w:b w:val="false"/>
          <w:i w:val="false"/>
          <w:color w:val="000000"/>
          <w:sz w:val="28"/>
        </w:rPr>
        <w:t>
      В 2022 – 2023 учебном году в реестр ОП были включены 11 ОП, разработанных с учетом рекомендаций работодателей и потребностей рынка труда.</w:t>
      </w:r>
    </w:p>
    <w:bookmarkEnd w:id="80"/>
    <w:bookmarkStart w:name="z101" w:id="81"/>
    <w:p>
      <w:pPr>
        <w:spacing w:after="0"/>
        <w:ind w:left="0"/>
        <w:jc w:val="both"/>
      </w:pPr>
      <w:r>
        <w:rPr>
          <w:rFonts w:ascii="Times New Roman"/>
          <w:b w:val="false"/>
          <w:i w:val="false"/>
          <w:color w:val="000000"/>
          <w:sz w:val="28"/>
        </w:rPr>
        <w:t>
      В 2023 году аккредитованы международным агентством три новые ОП: 6В06115 "Цифровые агросистемы и комплексы", 8D06101 "Аналитика больших данных", 7М08110 "Фитосанитарный контроль в декоративном растениеводстве".</w:t>
      </w:r>
    </w:p>
    <w:bookmarkEnd w:id="81"/>
    <w:bookmarkStart w:name="z102" w:id="82"/>
    <w:p>
      <w:pPr>
        <w:spacing w:after="0"/>
        <w:ind w:left="0"/>
        <w:jc w:val="both"/>
      </w:pPr>
      <w:r>
        <w:rPr>
          <w:rFonts w:ascii="Times New Roman"/>
          <w:b w:val="false"/>
          <w:i w:val="false"/>
          <w:color w:val="000000"/>
          <w:sz w:val="28"/>
        </w:rPr>
        <w:t>
      В 2021 - 2022 учебном году по модели AgroParisTech внедрена новая ОП по бакалавриату по направлению подготовки "Животноводство", а также разработана новая совместная со специалистами AgroParisTech ОП "Advanced Agronomy Science" для бакалавриата 3-4 курсов по направлению "Растениеводство".</w:t>
      </w:r>
    </w:p>
    <w:bookmarkEnd w:id="82"/>
    <w:bookmarkStart w:name="z103" w:id="83"/>
    <w:p>
      <w:pPr>
        <w:spacing w:after="0"/>
        <w:ind w:left="0"/>
        <w:jc w:val="both"/>
      </w:pPr>
      <w:r>
        <w:rPr>
          <w:rFonts w:ascii="Times New Roman"/>
          <w:b w:val="false"/>
          <w:i w:val="false"/>
          <w:color w:val="000000"/>
          <w:sz w:val="28"/>
        </w:rPr>
        <w:t>
      Внедрена совместная образовательная программа с акционерным обществом "Международный университет информационных технологий" (МУИТ) по бакалавриату "Цифровые агросистемы и комплексы" по направлению "Информационные технологии" (специализация "Животноводство"), которая состоит из 70 % дисциплин IT-направления, а остальные 30 % – основы сельского хозяйства и животноводства.</w:t>
      </w:r>
    </w:p>
    <w:bookmarkEnd w:id="83"/>
    <w:bookmarkStart w:name="z104" w:id="84"/>
    <w:p>
      <w:pPr>
        <w:spacing w:after="0"/>
        <w:ind w:left="0"/>
        <w:jc w:val="both"/>
      </w:pPr>
      <w:r>
        <w:rPr>
          <w:rFonts w:ascii="Times New Roman"/>
          <w:b w:val="false"/>
          <w:i w:val="false"/>
          <w:color w:val="000000"/>
          <w:sz w:val="28"/>
        </w:rPr>
        <w:t>
      По магистратуре разработана новая ОП "Фитосанитарный контроль в декоративном растениеводстве" с внедрением Minor программы и включением дисциплины "Технологическое предпринимательство", являющейся мировым трендом и продвигающей организацию предпринимательской деятельности в области STARTUP проектов и интерпретирование полученных проектов в агробизнесе.</w:t>
      </w:r>
    </w:p>
    <w:bookmarkEnd w:id="84"/>
    <w:bookmarkStart w:name="z105" w:id="85"/>
    <w:p>
      <w:pPr>
        <w:spacing w:after="0"/>
        <w:ind w:left="0"/>
        <w:jc w:val="both"/>
      </w:pPr>
      <w:r>
        <w:rPr>
          <w:rFonts w:ascii="Times New Roman"/>
          <w:b w:val="false"/>
          <w:i w:val="false"/>
          <w:color w:val="000000"/>
          <w:sz w:val="28"/>
        </w:rPr>
        <w:t>
      Программы двойного диплома реализуются в партнерстве с зарубежными вузами:</w:t>
      </w:r>
    </w:p>
    <w:bookmarkEnd w:id="85"/>
    <w:bookmarkStart w:name="z106" w:id="86"/>
    <w:p>
      <w:pPr>
        <w:spacing w:after="0"/>
        <w:ind w:left="0"/>
        <w:jc w:val="both"/>
      </w:pPr>
      <w:r>
        <w:rPr>
          <w:rFonts w:ascii="Times New Roman"/>
          <w:b w:val="false"/>
          <w:i w:val="false"/>
          <w:color w:val="000000"/>
          <w:sz w:val="28"/>
        </w:rPr>
        <w:t>
      1) 7M07313 "Ландшафтная архитектура и дизайн". Вуз-партнер: Российский университет дружбы народов имени Патриса Лумумбы (РУДН, Россия, город Москва; QS World University Rankings 2024: 316 место);</w:t>
      </w:r>
    </w:p>
    <w:bookmarkEnd w:id="86"/>
    <w:bookmarkStart w:name="z107" w:id="87"/>
    <w:p>
      <w:pPr>
        <w:spacing w:after="0"/>
        <w:ind w:left="0"/>
        <w:jc w:val="both"/>
      </w:pPr>
      <w:r>
        <w:rPr>
          <w:rFonts w:ascii="Times New Roman"/>
          <w:b w:val="false"/>
          <w:i w:val="false"/>
          <w:color w:val="000000"/>
          <w:sz w:val="28"/>
        </w:rPr>
        <w:t>
      2) 7М07314 "Технология геодезических и кадастровых работ". Вуз-партнер: Российский университет дружбы народов имени Патриса Лумумбы;</w:t>
      </w:r>
    </w:p>
    <w:bookmarkEnd w:id="87"/>
    <w:bookmarkStart w:name="z108" w:id="88"/>
    <w:p>
      <w:pPr>
        <w:spacing w:after="0"/>
        <w:ind w:left="0"/>
        <w:jc w:val="both"/>
      </w:pPr>
      <w:r>
        <w:rPr>
          <w:rFonts w:ascii="Times New Roman"/>
          <w:b w:val="false"/>
          <w:i w:val="false"/>
          <w:color w:val="000000"/>
          <w:sz w:val="28"/>
        </w:rPr>
        <w:t>
      3) 7M08111 "Агробиотехнология". Вуз-партнер: Российский университет дружбы народов имени Патриса Лумумбы;</w:t>
      </w:r>
    </w:p>
    <w:bookmarkEnd w:id="88"/>
    <w:bookmarkStart w:name="z109" w:id="89"/>
    <w:p>
      <w:pPr>
        <w:spacing w:after="0"/>
        <w:ind w:left="0"/>
        <w:jc w:val="both"/>
      </w:pPr>
      <w:r>
        <w:rPr>
          <w:rFonts w:ascii="Times New Roman"/>
          <w:b w:val="false"/>
          <w:i w:val="false"/>
          <w:color w:val="000000"/>
          <w:sz w:val="28"/>
        </w:rPr>
        <w:t>
      4) 7M04117 "Аграрный бизнес". Вуз-партнер: Российский университет дружбы народов имени Патриса Лумумбы;</w:t>
      </w:r>
    </w:p>
    <w:bookmarkEnd w:id="89"/>
    <w:bookmarkStart w:name="z110" w:id="90"/>
    <w:p>
      <w:pPr>
        <w:spacing w:after="0"/>
        <w:ind w:left="0"/>
        <w:jc w:val="both"/>
      </w:pPr>
      <w:r>
        <w:rPr>
          <w:rFonts w:ascii="Times New Roman"/>
          <w:b w:val="false"/>
          <w:i w:val="false"/>
          <w:color w:val="000000"/>
          <w:sz w:val="28"/>
        </w:rPr>
        <w:t>
      5) 7M07201 "Технология пищевых продуктов" (2 года). Вуз-партнер: Северо-Западный университет сельского и лесного хозяйства (Китайская Народная Республика, город Янлин, провинция Шэньси; QS World University Rankings 2024: 851 – 900 место);</w:t>
      </w:r>
    </w:p>
    <w:bookmarkEnd w:id="90"/>
    <w:bookmarkStart w:name="z111" w:id="91"/>
    <w:p>
      <w:pPr>
        <w:spacing w:after="0"/>
        <w:ind w:left="0"/>
        <w:jc w:val="both"/>
      </w:pPr>
      <w:r>
        <w:rPr>
          <w:rFonts w:ascii="Times New Roman"/>
          <w:b w:val="false"/>
          <w:i w:val="false"/>
          <w:color w:val="000000"/>
          <w:sz w:val="28"/>
        </w:rPr>
        <w:t>
      6) 6B09103 "Ветеринария". Вуз-партнер: Российский университет дружбы народов имени Патриса Лумумбы.</w:t>
      </w:r>
    </w:p>
    <w:bookmarkEnd w:id="91"/>
    <w:bookmarkStart w:name="z112" w:id="92"/>
    <w:p>
      <w:pPr>
        <w:spacing w:after="0"/>
        <w:ind w:left="0"/>
        <w:jc w:val="both"/>
      </w:pPr>
      <w:r>
        <w:rPr>
          <w:rFonts w:ascii="Times New Roman"/>
          <w:b w:val="false"/>
          <w:i w:val="false"/>
          <w:color w:val="000000"/>
          <w:sz w:val="28"/>
        </w:rPr>
        <w:t xml:space="preserve">
      Дуальное обучение в университете является основным направлением практикоориентированной подготовки кадров. </w:t>
      </w:r>
    </w:p>
    <w:bookmarkEnd w:id="92"/>
    <w:bookmarkStart w:name="z113" w:id="93"/>
    <w:p>
      <w:pPr>
        <w:spacing w:after="0"/>
        <w:ind w:left="0"/>
        <w:jc w:val="both"/>
      </w:pPr>
      <w:r>
        <w:rPr>
          <w:rFonts w:ascii="Times New Roman"/>
          <w:b w:val="false"/>
          <w:i w:val="false"/>
          <w:color w:val="000000"/>
          <w:sz w:val="28"/>
        </w:rPr>
        <w:t>
      С 2024 – 2025 учебного года организация дуального обучения проводится по новой модели "2,5+1,0+0,5". Программа обучения по модели "2,5+1,0+0,5" направлена на годичное обучение на производстве с целью повышения практических навыков.</w:t>
      </w:r>
    </w:p>
    <w:bookmarkEnd w:id="93"/>
    <w:bookmarkStart w:name="z114" w:id="94"/>
    <w:p>
      <w:pPr>
        <w:spacing w:after="0"/>
        <w:ind w:left="0"/>
        <w:jc w:val="both"/>
      </w:pPr>
      <w:r>
        <w:rPr>
          <w:rFonts w:ascii="Times New Roman"/>
          <w:b w:val="false"/>
          <w:i w:val="false"/>
          <w:color w:val="000000"/>
          <w:sz w:val="28"/>
        </w:rPr>
        <w:t>
      Формат обучения:</w:t>
      </w:r>
    </w:p>
    <w:bookmarkEnd w:id="94"/>
    <w:bookmarkStart w:name="z115" w:id="95"/>
    <w:p>
      <w:pPr>
        <w:spacing w:after="0"/>
        <w:ind w:left="0"/>
        <w:jc w:val="both"/>
      </w:pPr>
      <w:r>
        <w:rPr>
          <w:rFonts w:ascii="Times New Roman"/>
          <w:b w:val="false"/>
          <w:i w:val="false"/>
          <w:color w:val="000000"/>
          <w:sz w:val="28"/>
        </w:rPr>
        <w:t>
      2,5 года – обучение в традиционном формате на базе университета;</w:t>
      </w:r>
    </w:p>
    <w:bookmarkEnd w:id="95"/>
    <w:bookmarkStart w:name="z116" w:id="96"/>
    <w:p>
      <w:pPr>
        <w:spacing w:after="0"/>
        <w:ind w:left="0"/>
        <w:jc w:val="both"/>
      </w:pPr>
      <w:r>
        <w:rPr>
          <w:rFonts w:ascii="Times New Roman"/>
          <w:b w:val="false"/>
          <w:i w:val="false"/>
          <w:color w:val="000000"/>
          <w:sz w:val="28"/>
        </w:rPr>
        <w:t>
      1 год – практика с обучением на базе предприятия;</w:t>
      </w:r>
    </w:p>
    <w:bookmarkEnd w:id="96"/>
    <w:bookmarkStart w:name="z117" w:id="97"/>
    <w:p>
      <w:pPr>
        <w:spacing w:after="0"/>
        <w:ind w:left="0"/>
        <w:jc w:val="both"/>
      </w:pPr>
      <w:r>
        <w:rPr>
          <w:rFonts w:ascii="Times New Roman"/>
          <w:b w:val="false"/>
          <w:i w:val="false"/>
          <w:color w:val="000000"/>
          <w:sz w:val="28"/>
        </w:rPr>
        <w:t>
      0,5 года – период подготовки и сдачи итоговой аттестации.</w:t>
      </w:r>
    </w:p>
    <w:bookmarkEnd w:id="97"/>
    <w:bookmarkStart w:name="z118" w:id="98"/>
    <w:p>
      <w:pPr>
        <w:spacing w:after="0"/>
        <w:ind w:left="0"/>
        <w:jc w:val="both"/>
      </w:pPr>
      <w:r>
        <w:rPr>
          <w:rFonts w:ascii="Times New Roman"/>
          <w:b w:val="false"/>
          <w:i w:val="false"/>
          <w:color w:val="000000"/>
          <w:sz w:val="28"/>
        </w:rPr>
        <w:t xml:space="preserve">
      Базами практик являются предприятия (организации) различных отраслей производства, в том числе дочерние организации КАТИУ, а также крупные предприятия страны такие как: товарищество с ограниченной ответственностью (далее – ТОО) "Атамекен-Агро", ТОО "Қаз Астық Өнімдері", ТОО "Агрофирма Родина", республиканское государственное предприятие на праве хозяйственного ведения "Казгидромет", республиканское государственное предприятие "ЖасылАймақ", государственный национальный природный парк "Буйратау", НАО "Государственная корпорация "Правительство для граждан", ТОО "Запчасть ЖД", АО "Автобусный парк № 1", АО "Пассажирские перевозки", ТОО "Агрофирма TNK", АО "Атамекен-Агро", АО "Астана-Өнім", АО "Астана-Теплотранзит", АО "Астана-Энергия", АО "НК Қазақстан Ғарыш Сапары", ТОО "Астана-Зеленстрой" и другие. </w:t>
      </w:r>
    </w:p>
    <w:bookmarkEnd w:id="98"/>
    <w:bookmarkStart w:name="z119" w:id="99"/>
    <w:p>
      <w:pPr>
        <w:spacing w:after="0"/>
        <w:ind w:left="0"/>
        <w:jc w:val="both"/>
      </w:pPr>
      <w:r>
        <w:rPr>
          <w:rFonts w:ascii="Times New Roman"/>
          <w:b w:val="false"/>
          <w:i w:val="false"/>
          <w:color w:val="000000"/>
          <w:sz w:val="28"/>
        </w:rPr>
        <w:t xml:space="preserve">
      В 2023 году КАТИУ заключен меморандум о сотрудничестве с ТОО "Единый консолидирующий центр", которое специализируется на производстве резиновых и пластмассовых изделий. На основании заключенного меморандума организованы производственная практика и дуальное обучение обучающихся по образовательным программам 6В07104 "Технологические машины и оборудование" и 6В07105 "Механическая инженерия". В 2024 – 2025 учебном году 30 обучающихся КАТИУ прошли дуальное обучение на базе данного предприятия и получали заработную плату в размере 250 – 350 тысяч тенге. </w:t>
      </w:r>
    </w:p>
    <w:bookmarkEnd w:id="99"/>
    <w:bookmarkStart w:name="z120" w:id="100"/>
    <w:p>
      <w:pPr>
        <w:spacing w:after="0"/>
        <w:ind w:left="0"/>
        <w:jc w:val="both"/>
      </w:pPr>
      <w:r>
        <w:rPr>
          <w:rFonts w:ascii="Times New Roman"/>
          <w:b w:val="false"/>
          <w:i w:val="false"/>
          <w:color w:val="000000"/>
          <w:sz w:val="28"/>
        </w:rPr>
        <w:t xml:space="preserve">
      Практической подготовке обучающихся способствует инфраструктура университета: ГИС-центр, лаборатория почвенных исследований, лаборатория системных исследований; лаборатория информационных технологий; лаборатория технических измерений; лаборатория по оценке качества сельскохозяйственной продукции; лаборатория стандартизации, метрологии и сертификации; научно-экспериментальная платформа. </w:t>
      </w:r>
    </w:p>
    <w:bookmarkEnd w:id="100"/>
    <w:bookmarkStart w:name="z121" w:id="101"/>
    <w:p>
      <w:pPr>
        <w:spacing w:after="0"/>
        <w:ind w:left="0"/>
        <w:jc w:val="both"/>
      </w:pPr>
      <w:r>
        <w:rPr>
          <w:rFonts w:ascii="Times New Roman"/>
          <w:b w:val="false"/>
          <w:i w:val="false"/>
          <w:color w:val="000000"/>
          <w:sz w:val="28"/>
        </w:rPr>
        <w:t xml:space="preserve">
      Одной из наиболее эффективных форм организации и проведения практики является работа в студенческих специализированных отрядах - механизированные отряды (мехотряд). В 2022 – 2023 учебном году 50 обучающихся 2 и 3 курсов ОП "Агроинженерия" прошли производственную практику в составе механизированных отрядов. В 2023 – 2024 учебном году эта цифра увеличилась до 70 обучающихся. В период прохождения практики обучающиеся были трудоустроены в качестве помощников механизаторов с фиксированной заработной платой. </w:t>
      </w:r>
    </w:p>
    <w:bookmarkEnd w:id="101"/>
    <w:bookmarkStart w:name="z122" w:id="102"/>
    <w:p>
      <w:pPr>
        <w:spacing w:after="0"/>
        <w:ind w:left="0"/>
        <w:jc w:val="both"/>
      </w:pPr>
      <w:r>
        <w:rPr>
          <w:rFonts w:ascii="Times New Roman"/>
          <w:b w:val="false"/>
          <w:i w:val="false"/>
          <w:color w:val="000000"/>
          <w:sz w:val="28"/>
        </w:rPr>
        <w:t>
      Важное место в подготовке и повышении квалификации специалистов занимают непрерывное интегрированное профессиональное образование, применение передовой практики инновационного развития АПК, содействие внедрению в производство современных информационных технологий, развитие сотрудничества учреждений образования и научных организаций в вопросах проведения научных исследований по проблемам в АПК, развитие международного сотрудничества в области образования и другое.</w:t>
      </w:r>
    </w:p>
    <w:bookmarkEnd w:id="102"/>
    <w:bookmarkStart w:name="z123" w:id="103"/>
    <w:p>
      <w:pPr>
        <w:spacing w:after="0"/>
        <w:ind w:left="0"/>
        <w:jc w:val="both"/>
      </w:pPr>
      <w:r>
        <w:rPr>
          <w:rFonts w:ascii="Times New Roman"/>
          <w:b w:val="false"/>
          <w:i w:val="false"/>
          <w:color w:val="000000"/>
          <w:sz w:val="28"/>
        </w:rPr>
        <w:t>
      Тесная связь с работодателями, реализация дуального обучения, совместная с работодателями разработка ОП позволяют обеспечить высокую степень трудоустройства выпускников КАТИУ. Трудоустройство выпускников в первый год после окончания университета в 2024 году составило 92 % (таблица 7).</w:t>
      </w:r>
    </w:p>
    <w:bookmarkEnd w:id="103"/>
    <w:bookmarkStart w:name="z124" w:id="104"/>
    <w:p>
      <w:pPr>
        <w:spacing w:after="0"/>
        <w:ind w:left="0"/>
        <w:jc w:val="both"/>
      </w:pPr>
      <w:r>
        <w:rPr>
          <w:rFonts w:ascii="Times New Roman"/>
          <w:b w:val="false"/>
          <w:i w:val="false"/>
          <w:color w:val="000000"/>
          <w:sz w:val="28"/>
        </w:rPr>
        <w:t>
      Таблица 7. Количество выпускников, человек</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трудоустроены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трудоустроены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трудоустроены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xml:space="preserve">
      Центр информационно-образовательных ресурсов (Научная библиотека) располагает фондом 1348197 ед., из которых 300488 составляют фонд литературы на государственном языке, 1 647 – изданий на электронных носителях, 1715 изданий ППС (Репозиторий), 53 – электронных ресурсов. </w:t>
      </w:r>
    </w:p>
    <w:bookmarkEnd w:id="105"/>
    <w:bookmarkStart w:name="z126" w:id="106"/>
    <w:p>
      <w:pPr>
        <w:spacing w:after="0"/>
        <w:ind w:left="0"/>
        <w:jc w:val="both"/>
      </w:pPr>
      <w:r>
        <w:rPr>
          <w:rFonts w:ascii="Times New Roman"/>
          <w:b w:val="false"/>
          <w:i w:val="false"/>
          <w:color w:val="000000"/>
          <w:sz w:val="28"/>
        </w:rPr>
        <w:t xml:space="preserve">
      Наряду с печатными изданиями фонд пополняется электронными изданиями, ежегодно обновляется закуп электронных ресурсов. Через электронную библиотеку университета по диапазону IP-адресов университета, предоставляется доступ к удаленным информационным ресурсам: отечественному ресурсу Республиканской межвузовской электронной библиотеке, передовым электронным библиотекам мира: EBSCO, CAB Direct (Кабиабстракт), Web of Science, Wiley, Scopus и российские базы данных "Издательство "Лань", "еLibrary.ru" (НЭБ), "IPR SMART". </w:t>
      </w:r>
    </w:p>
    <w:bookmarkEnd w:id="106"/>
    <w:bookmarkStart w:name="z127" w:id="107"/>
    <w:p>
      <w:pPr>
        <w:spacing w:after="0"/>
        <w:ind w:left="0"/>
        <w:jc w:val="both"/>
      </w:pPr>
      <w:r>
        <w:rPr>
          <w:rFonts w:ascii="Times New Roman"/>
          <w:b w:val="false"/>
          <w:i w:val="false"/>
          <w:color w:val="000000"/>
          <w:sz w:val="28"/>
        </w:rPr>
        <w:t>
      В рамках договоренности с ведущими аграрными вузами Республики Казахстан (Казахский национальный аграрный исследовательский университет, Западно-Казахстанский аграрно-технический университет имени Жангир Хана") университет обеспечивает отсутствующую литературу, доставку электронных книг и другой информации по запросам пользователей.</w:t>
      </w:r>
    </w:p>
    <w:bookmarkEnd w:id="107"/>
    <w:bookmarkStart w:name="z128" w:id="108"/>
    <w:p>
      <w:pPr>
        <w:spacing w:after="0"/>
        <w:ind w:left="0"/>
        <w:jc w:val="both"/>
      </w:pPr>
      <w:r>
        <w:rPr>
          <w:rFonts w:ascii="Times New Roman"/>
          <w:b w:val="false"/>
          <w:i w:val="false"/>
          <w:color w:val="000000"/>
          <w:sz w:val="28"/>
        </w:rPr>
        <w:t>
      Центр информационно-образовательных ресурсов имеет кабинет инклюзивно-информационных ресурсов и центр инклюзивной поддержки обучающихся с особыми потребностями. В центре информационно-образовательных ресурсов есть специальное оборудование для слабослышащих и слабовидящих обучающихся "Тифлофлешплеер марки ElecGeste", "FM-передатчики производства OTICON серии Amigo".</w:t>
      </w:r>
    </w:p>
    <w:bookmarkEnd w:id="108"/>
    <w:bookmarkStart w:name="z129" w:id="109"/>
    <w:p>
      <w:pPr>
        <w:spacing w:after="0"/>
        <w:ind w:left="0"/>
        <w:jc w:val="both"/>
      </w:pPr>
      <w:r>
        <w:rPr>
          <w:rFonts w:ascii="Times New Roman"/>
          <w:b w:val="false"/>
          <w:i w:val="false"/>
          <w:color w:val="000000"/>
          <w:sz w:val="28"/>
        </w:rPr>
        <w:t>
      В 2023 году приобрели специальное устройство для лиц с нарушением зрения: "Портативный тактильный дисплеи Брайля "Focus 14 Blue".</w:t>
      </w:r>
    </w:p>
    <w:bookmarkEnd w:id="109"/>
    <w:bookmarkStart w:name="z130" w:id="110"/>
    <w:p>
      <w:pPr>
        <w:spacing w:after="0"/>
        <w:ind w:left="0"/>
        <w:jc w:val="both"/>
      </w:pPr>
      <w:r>
        <w:rPr>
          <w:rFonts w:ascii="Times New Roman"/>
          <w:b w:val="false"/>
          <w:i w:val="false"/>
          <w:color w:val="000000"/>
          <w:sz w:val="28"/>
        </w:rPr>
        <w:t>
      Для развития обучающихся применяются электронные ресурсы: ЭБС "Лань", современная цифровая образовательная платформа – IPRSmart, IPRbooks WV-Reader.</w:t>
      </w:r>
    </w:p>
    <w:bookmarkEnd w:id="110"/>
    <w:bookmarkStart w:name="z131" w:id="111"/>
    <w:p>
      <w:pPr>
        <w:spacing w:after="0"/>
        <w:ind w:left="0"/>
        <w:jc w:val="both"/>
      </w:pPr>
      <w:r>
        <w:rPr>
          <w:rFonts w:ascii="Times New Roman"/>
          <w:b w:val="false"/>
          <w:i w:val="false"/>
          <w:color w:val="000000"/>
          <w:sz w:val="28"/>
        </w:rPr>
        <w:t>
      Университет использует мобильное приложение IPRbooks WV-Reader, предназначенное для инвалидов по зрению по актуальным учебным изданиям, подготовленное компанией "Ай Пи Ар Медиа".</w:t>
      </w:r>
    </w:p>
    <w:bookmarkEnd w:id="111"/>
    <w:bookmarkStart w:name="z132" w:id="112"/>
    <w:p>
      <w:pPr>
        <w:spacing w:after="0"/>
        <w:ind w:left="0"/>
        <w:jc w:val="both"/>
      </w:pPr>
      <w:r>
        <w:rPr>
          <w:rFonts w:ascii="Times New Roman"/>
          <w:b w:val="false"/>
          <w:i w:val="false"/>
          <w:color w:val="000000"/>
          <w:sz w:val="28"/>
        </w:rPr>
        <w:t>
      Далее рассматриваются международное сотрудничество и академическая мобильность. В 2024 - 2025 учебном году КАТИУ значительно укрепил свои международные связи, активно сотрудничая с различными государственными и частными организациями. В рамках интернационализации университет посетили делегации 5 посольств, 15 международных организаций и центров, а также 11 бизнес-партнеров. Помимо этого, КАТИУ стал важной площадкой для общения с зарубежными университетами, так как делегации из 16 иностранных вузов посетили университет. Эти взаимодействия способствовали расширению научного, образовательного и культурного обмена, а также укреплению отношений с международными партнерами.</w:t>
      </w:r>
    </w:p>
    <w:bookmarkEnd w:id="112"/>
    <w:bookmarkStart w:name="z133" w:id="113"/>
    <w:p>
      <w:pPr>
        <w:spacing w:after="0"/>
        <w:ind w:left="0"/>
        <w:jc w:val="both"/>
      </w:pPr>
      <w:r>
        <w:rPr>
          <w:rFonts w:ascii="Times New Roman"/>
          <w:b w:val="false"/>
          <w:i w:val="false"/>
          <w:color w:val="000000"/>
          <w:sz w:val="28"/>
        </w:rPr>
        <w:t xml:space="preserve">
      В настоящее время КАТИУ осуществляет сотрудничество в рамках 203 действующих договоров и меморандумов с вузами и научными центрами из 32 стран мира, нацеленных на мероприятия по совместной научной и образовательной деятельности, 71 из которых – стратегические партнеры (обмен, академическая мобильность, совместные ОП, стажировки и другие). вуз является членом 5 международных ассоциаций и консорциумов Европы и стран Содружества Независимых Государств, участником 5 консорциумов вузов и 18 международных организаций. Реализуется 24 международных проекта в рамках программ Эразмус +, Германская служба академических обменов, ФАО. </w:t>
      </w:r>
    </w:p>
    <w:bookmarkEnd w:id="113"/>
    <w:bookmarkStart w:name="z134" w:id="114"/>
    <w:p>
      <w:pPr>
        <w:spacing w:after="0"/>
        <w:ind w:left="0"/>
        <w:jc w:val="both"/>
      </w:pPr>
      <w:r>
        <w:rPr>
          <w:rFonts w:ascii="Times New Roman"/>
          <w:b w:val="false"/>
          <w:i w:val="false"/>
          <w:color w:val="000000"/>
          <w:sz w:val="28"/>
        </w:rPr>
        <w:t xml:space="preserve">
      Обучающиеся КАТИУ ежегодно проходят обучение по программе академической мобильности в вузах Италии, Германии, Латвии, Словакии, Финляндии, Малайзии, Болгарии, Польши, Беларуси, России, Чехии, Турции, Эстонии и других стран. </w:t>
      </w:r>
    </w:p>
    <w:bookmarkEnd w:id="114"/>
    <w:bookmarkStart w:name="z135" w:id="115"/>
    <w:p>
      <w:pPr>
        <w:spacing w:after="0"/>
        <w:ind w:left="0"/>
        <w:jc w:val="both"/>
      </w:pPr>
      <w:r>
        <w:rPr>
          <w:rFonts w:ascii="Times New Roman"/>
          <w:b w:val="false"/>
          <w:i w:val="false"/>
          <w:color w:val="000000"/>
          <w:sz w:val="28"/>
        </w:rPr>
        <w:t>
      Иностранные обучающиеся: в 2024 – 2025 году в нашем университете обучались 153 иностранных обучающихся, поступивших на программы бакалавриата, магистратуры и докторантуры с получением диплома нашего университета.</w:t>
      </w:r>
    </w:p>
    <w:bookmarkEnd w:id="115"/>
    <w:bookmarkStart w:name="z136" w:id="116"/>
    <w:p>
      <w:pPr>
        <w:spacing w:after="0"/>
        <w:ind w:left="0"/>
        <w:jc w:val="both"/>
      </w:pPr>
      <w:r>
        <w:rPr>
          <w:rFonts w:ascii="Times New Roman"/>
          <w:b w:val="false"/>
          <w:i w:val="false"/>
          <w:color w:val="000000"/>
          <w:sz w:val="28"/>
        </w:rPr>
        <w:t>
      Увеличению количества иностранных обучающихся способствует действующая в КАТИУ с 2019 года программа подготовительных курсов казахского и русского языков для иностранных граждан. Растет количество обучающихся, ежегодно принимающих участие в летних семестрах по прохождению теоретической и практической подготовки в ведущих предприятиях и хозяйствах развитых стран: в 2021 – 2022 учебном году – 26 обучающихся, в 2022 – 2023 учебном году – 29 обучающихся КАТИУ, в 2023 – 2024 учебном году 59 обучающихся КАТИУ, а в 2024 – 2025 учебном году уже 72 обучающихся успешно прошли сельскохозяйственную практику в Германии. Программа практики была организована в сотрудничестве с ведущими фермерскими хозяйствами страны, работающими в партнерстве с двумя ключевыми организациями: Союзом фермеров LOGO e.V. и Deula-Nienburg.</w:t>
      </w:r>
    </w:p>
    <w:bookmarkEnd w:id="116"/>
    <w:bookmarkStart w:name="z137" w:id="117"/>
    <w:p>
      <w:pPr>
        <w:spacing w:after="0"/>
        <w:ind w:left="0"/>
        <w:jc w:val="both"/>
      </w:pPr>
      <w:r>
        <w:rPr>
          <w:rFonts w:ascii="Times New Roman"/>
          <w:b w:val="false"/>
          <w:i w:val="false"/>
          <w:color w:val="000000"/>
          <w:sz w:val="28"/>
        </w:rPr>
        <w:t>
      В 2024 – 2025 годы КАТИУ активно участвовал как организатор и партнер в 67 международных мероприятиях, направленных на укрепление научного и образовательного сотрудничества, развитие стратегических партнерств и академической мобильности.</w:t>
      </w:r>
    </w:p>
    <w:bookmarkEnd w:id="117"/>
    <w:bookmarkStart w:name="z138" w:id="118"/>
    <w:p>
      <w:pPr>
        <w:spacing w:after="0"/>
        <w:ind w:left="0"/>
        <w:jc w:val="both"/>
      </w:pPr>
      <w:r>
        <w:rPr>
          <w:rFonts w:ascii="Times New Roman"/>
          <w:b w:val="false"/>
          <w:i w:val="false"/>
          <w:color w:val="000000"/>
          <w:sz w:val="28"/>
        </w:rPr>
        <w:t>
      Среди ключевых событий:</w:t>
      </w:r>
    </w:p>
    <w:bookmarkEnd w:id="118"/>
    <w:bookmarkStart w:name="z139" w:id="119"/>
    <w:p>
      <w:pPr>
        <w:spacing w:after="0"/>
        <w:ind w:left="0"/>
        <w:jc w:val="both"/>
      </w:pPr>
      <w:r>
        <w:rPr>
          <w:rFonts w:ascii="Times New Roman"/>
          <w:b w:val="false"/>
          <w:i w:val="false"/>
          <w:color w:val="000000"/>
          <w:sz w:val="28"/>
        </w:rPr>
        <w:t>
      CONNECTED 2024 – форум стратегических партнеров, город Астана;</w:t>
      </w:r>
    </w:p>
    <w:bookmarkEnd w:id="119"/>
    <w:bookmarkStart w:name="z140" w:id="120"/>
    <w:p>
      <w:pPr>
        <w:spacing w:after="0"/>
        <w:ind w:left="0"/>
        <w:jc w:val="both"/>
      </w:pPr>
      <w:r>
        <w:rPr>
          <w:rFonts w:ascii="Times New Roman"/>
          <w:b w:val="false"/>
          <w:i w:val="false"/>
          <w:color w:val="000000"/>
          <w:sz w:val="28"/>
        </w:rPr>
        <w:t>
      форум ректоров вузов Центральной Азии "Трансформация университетов Центральной Азии в контексте глобальных вызовов", город Бишкек (Киргизия);</w:t>
      </w:r>
    </w:p>
    <w:bookmarkEnd w:id="120"/>
    <w:bookmarkStart w:name="z141" w:id="121"/>
    <w:p>
      <w:pPr>
        <w:spacing w:after="0"/>
        <w:ind w:left="0"/>
        <w:jc w:val="both"/>
      </w:pPr>
      <w:r>
        <w:rPr>
          <w:rFonts w:ascii="Times New Roman"/>
          <w:b w:val="false"/>
          <w:i w:val="false"/>
          <w:color w:val="000000"/>
          <w:sz w:val="28"/>
        </w:rPr>
        <w:t>
      9-й форум сотрудничества в области сельскохозяйственного образования и научных исследований "Шелковый путь", город Ташкент;</w:t>
      </w:r>
    </w:p>
    <w:bookmarkEnd w:id="121"/>
    <w:bookmarkStart w:name="z142" w:id="122"/>
    <w:p>
      <w:pPr>
        <w:spacing w:after="0"/>
        <w:ind w:left="0"/>
        <w:jc w:val="both"/>
      </w:pPr>
      <w:r>
        <w:rPr>
          <w:rFonts w:ascii="Times New Roman"/>
          <w:b w:val="false"/>
          <w:i w:val="false"/>
          <w:color w:val="000000"/>
          <w:sz w:val="28"/>
        </w:rPr>
        <w:t>
      III форум ректоров сельскохозяйственных университетов стран Шанхайской организации сотрудничества, город Янлин, Китайская Народная Республика (далее – КНР);</w:t>
      </w:r>
    </w:p>
    <w:bookmarkEnd w:id="122"/>
    <w:bookmarkStart w:name="z143" w:id="123"/>
    <w:p>
      <w:pPr>
        <w:spacing w:after="0"/>
        <w:ind w:left="0"/>
        <w:jc w:val="both"/>
      </w:pPr>
      <w:r>
        <w:rPr>
          <w:rFonts w:ascii="Times New Roman"/>
          <w:b w:val="false"/>
          <w:i w:val="false"/>
          <w:color w:val="000000"/>
          <w:sz w:val="28"/>
        </w:rPr>
        <w:t>
      конференция ректоров в университете прикладных наук Вайенштефан-Триздорф, город Триздорф (Германия);</w:t>
      </w:r>
    </w:p>
    <w:bookmarkEnd w:id="123"/>
    <w:bookmarkStart w:name="z144" w:id="124"/>
    <w:p>
      <w:pPr>
        <w:spacing w:after="0"/>
        <w:ind w:left="0"/>
        <w:jc w:val="both"/>
      </w:pPr>
      <w:r>
        <w:rPr>
          <w:rFonts w:ascii="Times New Roman"/>
          <w:b w:val="false"/>
          <w:i w:val="false"/>
          <w:color w:val="000000"/>
          <w:sz w:val="28"/>
        </w:rPr>
        <w:t>
      форум ректоров вузов Казахстана и России, город Алматы;</w:t>
      </w:r>
    </w:p>
    <w:bookmarkEnd w:id="124"/>
    <w:bookmarkStart w:name="z145" w:id="125"/>
    <w:p>
      <w:pPr>
        <w:spacing w:after="0"/>
        <w:ind w:left="0"/>
        <w:jc w:val="both"/>
      </w:pPr>
      <w:r>
        <w:rPr>
          <w:rFonts w:ascii="Times New Roman"/>
          <w:b w:val="false"/>
          <w:i w:val="false"/>
          <w:color w:val="000000"/>
          <w:sz w:val="28"/>
        </w:rPr>
        <w:t>
      международная научно-практическая конференция КАТИУ-РУДН "Food Quality and Food Safety – 2024", город Москва;</w:t>
      </w:r>
    </w:p>
    <w:bookmarkEnd w:id="125"/>
    <w:bookmarkStart w:name="z146" w:id="126"/>
    <w:p>
      <w:pPr>
        <w:spacing w:after="0"/>
        <w:ind w:left="0"/>
        <w:jc w:val="both"/>
      </w:pPr>
      <w:r>
        <w:rPr>
          <w:rFonts w:ascii="Times New Roman"/>
          <w:b w:val="false"/>
          <w:i w:val="false"/>
          <w:color w:val="000000"/>
          <w:sz w:val="28"/>
        </w:rPr>
        <w:t>
      форум по новым методам дистанционного зондирования Земли мониторинга сельскохозяйственных катастроф на территории Центральной Азии и эффективности управления сельским хозяйством с применением искусственного интеллекта.</w:t>
      </w:r>
    </w:p>
    <w:bookmarkEnd w:id="126"/>
    <w:bookmarkStart w:name="z147" w:id="127"/>
    <w:p>
      <w:pPr>
        <w:spacing w:after="0"/>
        <w:ind w:left="0"/>
        <w:jc w:val="both"/>
      </w:pPr>
      <w:r>
        <w:rPr>
          <w:rFonts w:ascii="Times New Roman"/>
          <w:b w:val="false"/>
          <w:i w:val="false"/>
          <w:color w:val="000000"/>
          <w:sz w:val="28"/>
        </w:rPr>
        <w:t>
      Участие в этих и других международных платформах подтверждает высокий уровень интеграции КАТИУ в глобальное образовательное и научное пространство.</w:t>
      </w:r>
    </w:p>
    <w:bookmarkEnd w:id="127"/>
    <w:bookmarkStart w:name="z148" w:id="128"/>
    <w:p>
      <w:pPr>
        <w:spacing w:after="0"/>
        <w:ind w:left="0"/>
        <w:jc w:val="both"/>
      </w:pPr>
      <w:r>
        <w:rPr>
          <w:rFonts w:ascii="Times New Roman"/>
          <w:b w:val="false"/>
          <w:i w:val="false"/>
          <w:color w:val="000000"/>
          <w:sz w:val="28"/>
        </w:rPr>
        <w:t xml:space="preserve">
      В КАТИУ с 2013 года функционирует казахстанско-китайский центр науки и образования, созданный с целью развития и укрепления сотрудничества между КАТИУ и китайскими вузами, научно-исследовательскими институтами и центрами, языковыми центрами и другими учреждениями аграрного профиля. Со дня основания центра было проведено более 100 мероприятий, включая встречи высокого уровня с участием Министра науки и техники КНР Ван Гана. </w:t>
      </w:r>
    </w:p>
    <w:bookmarkEnd w:id="128"/>
    <w:bookmarkStart w:name="z149" w:id="129"/>
    <w:p>
      <w:pPr>
        <w:spacing w:after="0"/>
        <w:ind w:left="0"/>
        <w:jc w:val="both"/>
      </w:pPr>
      <w:r>
        <w:rPr>
          <w:rFonts w:ascii="Times New Roman"/>
          <w:b w:val="false"/>
          <w:i w:val="false"/>
          <w:color w:val="000000"/>
          <w:sz w:val="28"/>
        </w:rPr>
        <w:t xml:space="preserve">
      На территории научно-экспериментального кампуса полевых работ КАТИУ совместно с Синьцзянским институтом экологии и географии Китайской академии наук заложен ботанический сад с целью интродукции древесных и кустарниковых растений в сухостепную зону Северного Казахстана для их последующего применения при озеленении Астаны и создании "зеленого пояса" столицы. </w:t>
      </w:r>
    </w:p>
    <w:bookmarkEnd w:id="129"/>
    <w:bookmarkStart w:name="z150" w:id="130"/>
    <w:p>
      <w:pPr>
        <w:spacing w:after="0"/>
        <w:ind w:left="0"/>
        <w:jc w:val="both"/>
      </w:pPr>
      <w:r>
        <w:rPr>
          <w:rFonts w:ascii="Times New Roman"/>
          <w:b w:val="false"/>
          <w:i w:val="false"/>
          <w:color w:val="000000"/>
          <w:sz w:val="28"/>
        </w:rPr>
        <w:t xml:space="preserve">
      Совместно с компанией XISEN – крупнейшим производителем и переработчиком картофеля в КНР на площади 35 гектаров организован демонстрационный стационар по производству картофеля китайской селекции для различных нужд: от столового потребления до глубокой переработки. </w:t>
      </w:r>
    </w:p>
    <w:bookmarkEnd w:id="130"/>
    <w:bookmarkStart w:name="z151" w:id="131"/>
    <w:p>
      <w:pPr>
        <w:spacing w:after="0"/>
        <w:ind w:left="0"/>
        <w:jc w:val="both"/>
      </w:pPr>
      <w:r>
        <w:rPr>
          <w:rFonts w:ascii="Times New Roman"/>
          <w:b w:val="false"/>
          <w:i w:val="false"/>
          <w:color w:val="000000"/>
          <w:sz w:val="28"/>
        </w:rPr>
        <w:t xml:space="preserve">
      Совместно с Синьцзянским институтом экологии и географии Китайской академии наук создан совместный центр по цифровизации на базе КАТИУ. </w:t>
      </w:r>
    </w:p>
    <w:bookmarkEnd w:id="131"/>
    <w:bookmarkStart w:name="z152" w:id="132"/>
    <w:p>
      <w:pPr>
        <w:spacing w:after="0"/>
        <w:ind w:left="0"/>
        <w:jc w:val="both"/>
      </w:pPr>
      <w:r>
        <w:rPr>
          <w:rFonts w:ascii="Times New Roman"/>
          <w:b w:val="false"/>
          <w:i w:val="false"/>
          <w:color w:val="000000"/>
          <w:sz w:val="28"/>
        </w:rPr>
        <w:t xml:space="preserve">
      В 2024 году открыта казахстанско-китайская совместная лаборатория по растениеводству в рамках международной конференции по сотрудничеству и интеграции промышленности, образования и науки в город Чунцин. </w:t>
      </w:r>
    </w:p>
    <w:bookmarkEnd w:id="132"/>
    <w:bookmarkStart w:name="z153" w:id="133"/>
    <w:p>
      <w:pPr>
        <w:spacing w:after="0"/>
        <w:ind w:left="0"/>
        <w:jc w:val="both"/>
      </w:pPr>
      <w:r>
        <w:rPr>
          <w:rFonts w:ascii="Times New Roman"/>
          <w:b w:val="false"/>
          <w:i w:val="false"/>
          <w:color w:val="000000"/>
          <w:sz w:val="28"/>
        </w:rPr>
        <w:t xml:space="preserve">
      Совместно с университетом НИНБО открыта казахстанско – китайская исследовательская лаборатория по развитию аквакультуры, которая проводит исследования и внедряет технологии в области производства моллюсков, ракообразных и рыбы с целью устойчивого развития аквакультуры в Республике Казахстан. </w:t>
      </w:r>
    </w:p>
    <w:bookmarkEnd w:id="133"/>
    <w:bookmarkStart w:name="z154" w:id="134"/>
    <w:p>
      <w:pPr>
        <w:spacing w:after="0"/>
        <w:ind w:left="0"/>
        <w:jc w:val="both"/>
      </w:pPr>
      <w:r>
        <w:rPr>
          <w:rFonts w:ascii="Times New Roman"/>
          <w:b w:val="false"/>
          <w:i w:val="false"/>
          <w:color w:val="000000"/>
          <w:sz w:val="28"/>
        </w:rPr>
        <w:t xml:space="preserve">
      Активно развивается процесс преподавания ППС в зарубежных вузах, в частности, за последние 3 года преподаватели и ученые КАТИУ прочитали лекции в зарубежных вузах Европы, ближнего зарубежья: </w:t>
      </w:r>
    </w:p>
    <w:bookmarkEnd w:id="134"/>
    <w:bookmarkStart w:name="z155" w:id="135"/>
    <w:p>
      <w:pPr>
        <w:spacing w:after="0"/>
        <w:ind w:left="0"/>
        <w:jc w:val="both"/>
      </w:pPr>
      <w:r>
        <w:rPr>
          <w:rFonts w:ascii="Times New Roman"/>
          <w:b w:val="false"/>
          <w:i w:val="false"/>
          <w:color w:val="000000"/>
          <w:sz w:val="28"/>
        </w:rPr>
        <w:t>
      Караденизский технический университет, Турция;</w:t>
      </w:r>
    </w:p>
    <w:bookmarkEnd w:id="135"/>
    <w:bookmarkStart w:name="z156" w:id="136"/>
    <w:p>
      <w:pPr>
        <w:spacing w:after="0"/>
        <w:ind w:left="0"/>
        <w:jc w:val="both"/>
      </w:pPr>
      <w:r>
        <w:rPr>
          <w:rFonts w:ascii="Times New Roman"/>
          <w:b w:val="false"/>
          <w:i w:val="false"/>
          <w:color w:val="000000"/>
          <w:sz w:val="28"/>
        </w:rPr>
        <w:t>
      Ташкентский университет информационных технологий, Узбекистан;</w:t>
      </w:r>
    </w:p>
    <w:bookmarkEnd w:id="136"/>
    <w:bookmarkStart w:name="z157" w:id="137"/>
    <w:p>
      <w:pPr>
        <w:spacing w:after="0"/>
        <w:ind w:left="0"/>
        <w:jc w:val="both"/>
      </w:pPr>
      <w:r>
        <w:rPr>
          <w:rFonts w:ascii="Times New Roman"/>
          <w:b w:val="false"/>
          <w:i w:val="false"/>
          <w:color w:val="000000"/>
          <w:sz w:val="28"/>
        </w:rPr>
        <w:t>
      Навоийский государственный горный институт, Узбекистан;</w:t>
      </w:r>
    </w:p>
    <w:bookmarkEnd w:id="137"/>
    <w:bookmarkStart w:name="z158" w:id="138"/>
    <w:p>
      <w:pPr>
        <w:spacing w:after="0"/>
        <w:ind w:left="0"/>
        <w:jc w:val="both"/>
      </w:pPr>
      <w:r>
        <w:rPr>
          <w:rFonts w:ascii="Times New Roman"/>
          <w:b w:val="false"/>
          <w:i w:val="false"/>
          <w:color w:val="000000"/>
          <w:sz w:val="28"/>
        </w:rPr>
        <w:t>
      университет науки и технологий AGH, Польша;</w:t>
      </w:r>
    </w:p>
    <w:bookmarkEnd w:id="138"/>
    <w:bookmarkStart w:name="z159" w:id="139"/>
    <w:p>
      <w:pPr>
        <w:spacing w:after="0"/>
        <w:ind w:left="0"/>
        <w:jc w:val="both"/>
      </w:pPr>
      <w:r>
        <w:rPr>
          <w:rFonts w:ascii="Times New Roman"/>
          <w:b w:val="false"/>
          <w:i w:val="false"/>
          <w:color w:val="000000"/>
          <w:sz w:val="28"/>
        </w:rPr>
        <w:t>
      Уральский государственный аграрный университет, Россия;</w:t>
      </w:r>
    </w:p>
    <w:bookmarkEnd w:id="139"/>
    <w:bookmarkStart w:name="z160" w:id="140"/>
    <w:p>
      <w:pPr>
        <w:spacing w:after="0"/>
        <w:ind w:left="0"/>
        <w:jc w:val="both"/>
      </w:pPr>
      <w:r>
        <w:rPr>
          <w:rFonts w:ascii="Times New Roman"/>
          <w:b w:val="false"/>
          <w:i w:val="false"/>
          <w:color w:val="000000"/>
          <w:sz w:val="28"/>
        </w:rPr>
        <w:t>
      Ташкентский институт инженеров ирригации и механизации сельского хозяйства, Узбекистан;</w:t>
      </w:r>
    </w:p>
    <w:bookmarkEnd w:id="140"/>
    <w:bookmarkStart w:name="z161" w:id="141"/>
    <w:p>
      <w:pPr>
        <w:spacing w:after="0"/>
        <w:ind w:left="0"/>
        <w:jc w:val="both"/>
      </w:pPr>
      <w:r>
        <w:rPr>
          <w:rFonts w:ascii="Times New Roman"/>
          <w:b w:val="false"/>
          <w:i w:val="false"/>
          <w:color w:val="000000"/>
          <w:sz w:val="28"/>
        </w:rPr>
        <w:t>
      Иркутский государственный аграрный университет имени А.А. Ежевского, Россия.</w:t>
      </w:r>
    </w:p>
    <w:bookmarkEnd w:id="141"/>
    <w:bookmarkStart w:name="z162" w:id="142"/>
    <w:p>
      <w:pPr>
        <w:spacing w:after="0"/>
        <w:ind w:left="0"/>
        <w:jc w:val="both"/>
      </w:pPr>
      <w:r>
        <w:rPr>
          <w:rFonts w:ascii="Times New Roman"/>
          <w:b w:val="false"/>
          <w:i w:val="false"/>
          <w:color w:val="000000"/>
          <w:sz w:val="28"/>
        </w:rPr>
        <w:t xml:space="preserve">
      Привлечение зарубежных ученых и преподавателей является одним из основных направлений международного сотрудничества университета: в КАТИУ практикуются чтение лекций, проведение семинаров и практических занятий зарубежными учеными из ведущих вузов Германии, Италии, Польши, Венгрии, Болгарии, Литвы, Эстонии, Малайзии, США, Чехии, Турции, Швейцарии, Беларуси, КНР, Южной Кореи, Австралии, Финляндии и России. В период 2020 – 2024 годов КАТИУ посетили более 70 зарубежных преподавателей из топовых университетов дальнего и ближнего зарубежья: АгроПарижТех (Франция), университет Артуа (Франция), университет Lycee Fenelon (Франция), Алтайский государственный университет (Россия), Imperial English UK (Великобритания), университет Кастамону (Турция), университет Ибн-Тофаил (Марокко), Санкт-Петербургский государственный университет (Россия), Кубанский государственный аграрный университет (Россия), университет Южной Богемии (Чехия), университет штата Пенсильвания (США), Хенаньский сельскохозяйственный университет (КНР), Северо-Западный университет сельского и лесного хозяйства (КНР) и других вузов и научных центров. </w:t>
      </w:r>
    </w:p>
    <w:bookmarkEnd w:id="142"/>
    <w:bookmarkStart w:name="z163" w:id="143"/>
    <w:p>
      <w:pPr>
        <w:spacing w:after="0"/>
        <w:ind w:left="0"/>
        <w:jc w:val="both"/>
      </w:pPr>
      <w:r>
        <w:rPr>
          <w:rFonts w:ascii="Times New Roman"/>
          <w:b w:val="false"/>
          <w:i w:val="false"/>
          <w:color w:val="000000"/>
          <w:sz w:val="28"/>
        </w:rPr>
        <w:t>
      Далее рассматривается научно-исследовательская деятельность университета. Трансформация университета в исследовательский вуз позволила осуществить качественный сдвиг в развитии научно-инновационного потенциала и масштабировании объемов проводимых исследований. В результате планомерной модернизации научной экосистемы в 2024 году совокупный объем финансирования НИОКР увеличился в 4,4 раза по сравнению с 2018 годом.</w:t>
      </w:r>
    </w:p>
    <w:bookmarkEnd w:id="143"/>
    <w:bookmarkStart w:name="z164" w:id="144"/>
    <w:p>
      <w:pPr>
        <w:spacing w:after="0"/>
        <w:ind w:left="0"/>
        <w:jc w:val="both"/>
      </w:pPr>
      <w:r>
        <w:rPr>
          <w:rFonts w:ascii="Times New Roman"/>
          <w:b w:val="false"/>
          <w:i w:val="false"/>
          <w:color w:val="000000"/>
          <w:sz w:val="28"/>
        </w:rPr>
        <w:t>
      Наблюдается выраженная положительная динамика по ключевым показателям грантового и программно-целевого финансирования:</w:t>
      </w:r>
    </w:p>
    <w:bookmarkEnd w:id="144"/>
    <w:bookmarkStart w:name="z165" w:id="145"/>
    <w:p>
      <w:pPr>
        <w:spacing w:after="0"/>
        <w:ind w:left="0"/>
        <w:jc w:val="both"/>
      </w:pPr>
      <w:r>
        <w:rPr>
          <w:rFonts w:ascii="Times New Roman"/>
          <w:b w:val="false"/>
          <w:i w:val="false"/>
          <w:color w:val="000000"/>
          <w:sz w:val="28"/>
        </w:rPr>
        <w:t>
      научно-технические программы: количество программ, в которых КАТИУ выступает - с 5 единиц в 2020 году до 11 единиц в 2023 – 2025 годы.</w:t>
      </w:r>
    </w:p>
    <w:bookmarkEnd w:id="145"/>
    <w:bookmarkStart w:name="z166" w:id="146"/>
    <w:p>
      <w:pPr>
        <w:spacing w:after="0"/>
        <w:ind w:left="0"/>
        <w:jc w:val="both"/>
      </w:pPr>
      <w:r>
        <w:rPr>
          <w:rFonts w:ascii="Times New Roman"/>
          <w:b w:val="false"/>
          <w:i w:val="false"/>
          <w:color w:val="000000"/>
          <w:sz w:val="28"/>
        </w:rPr>
        <w:t>
      проекты грантового финансирования: пул реализуемых грантовых проектов вырос в 2,1 раза, достигнув 80 проектов в 2024 году (в 2020 году – 38 проектов).</w:t>
      </w:r>
    </w:p>
    <w:bookmarkEnd w:id="146"/>
    <w:bookmarkStart w:name="z167" w:id="147"/>
    <w:p>
      <w:pPr>
        <w:spacing w:after="0"/>
        <w:ind w:left="0"/>
        <w:jc w:val="both"/>
      </w:pPr>
      <w:r>
        <w:rPr>
          <w:rFonts w:ascii="Times New Roman"/>
          <w:b w:val="false"/>
          <w:i w:val="false"/>
          <w:color w:val="000000"/>
          <w:sz w:val="28"/>
        </w:rPr>
        <w:t>
      Благодаря диверсификации источников дохода доля поступлений от научной деятельности в структуре совокупного дохода университета выросла с 2020 года в 3,5 раза. Общий объем финансирования науки увеличился с 1371,8 млн тенге в 2020 году до 5001,9 млн тенге в 2024 году, что составило 34,6 % от общего бюджета вуза (рисунок 1).</w:t>
      </w:r>
    </w:p>
    <w:bookmarkEnd w:id="147"/>
    <w:bookmarkStart w:name="z168" w:id="148"/>
    <w:p>
      <w:pPr>
        <w:spacing w:after="0"/>
        <w:ind w:left="0"/>
        <w:jc w:val="both"/>
      </w:pPr>
      <w:r>
        <w:rPr>
          <w:rFonts w:ascii="Times New Roman"/>
          <w:b w:val="false"/>
          <w:i w:val="false"/>
          <w:color w:val="000000"/>
          <w:sz w:val="28"/>
        </w:rPr>
        <w:t>
      Рисунок 1. Финансирование научных исследований, в тысячах тенге</w:t>
      </w:r>
    </w:p>
    <w:bookmarkEnd w:id="148"/>
    <w:bookmarkStart w:name="z169" w:id="149"/>
    <w:p>
      <w:pPr>
        <w:spacing w:after="0"/>
        <w:ind w:left="0"/>
        <w:jc w:val="both"/>
      </w:pPr>
      <w:r>
        <w:rPr>
          <w:rFonts w:ascii="Times New Roman"/>
          <w:b w:val="false"/>
          <w:i w:val="false"/>
          <w:color w:val="000000"/>
          <w:sz w:val="28"/>
        </w:rPr>
        <w:t>
      Рост портфеля исследовательских проектов обеспечил пропорциональное увеличение доходов ППС, задействованного в научно-исследовательских работах. В 2025 году показатель объема финансирования НИОКР в расчете на 1 представителя ППС составил 5323,0 тысяч тенге (рисунок 2).</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 w:id="150"/>
    <w:p>
      <w:pPr>
        <w:spacing w:after="0"/>
        <w:ind w:left="0"/>
        <w:jc w:val="both"/>
      </w:pPr>
      <w:r>
        <w:rPr>
          <w:rFonts w:ascii="Times New Roman"/>
          <w:b w:val="false"/>
          <w:i w:val="false"/>
          <w:color w:val="000000"/>
          <w:sz w:val="28"/>
        </w:rPr>
        <w:t>
      Рисунок 2. Объем финансирования НИОКР на 1 ППС, в тысячах тенге</w:t>
      </w:r>
    </w:p>
    <w:bookmarkEnd w:id="150"/>
    <w:bookmarkStart w:name="z172" w:id="151"/>
    <w:p>
      <w:pPr>
        <w:spacing w:after="0"/>
        <w:ind w:left="0"/>
        <w:jc w:val="both"/>
      </w:pPr>
      <w:r>
        <w:rPr>
          <w:rFonts w:ascii="Times New Roman"/>
          <w:b w:val="false"/>
          <w:i w:val="false"/>
          <w:color w:val="000000"/>
          <w:sz w:val="28"/>
        </w:rPr>
        <w:t xml:space="preserve">
      Одним из якорных достижений университета в рамках программно-целевого финансирования Министерства науки и высшего образования Республики Казахстан (далее – МНВО РК) на 2023 – 2025 годы стала реализация стратегического мега-проекта на общую сумму 4 млрд тенге по теме: "Развитие новых технологий органического производства и переработки сельскохозяйственной продукции". Целями программы являются трансферт и адаптация "зеленых" технологий в АПК, а также создание сетевой инфраструктуры региональных технологических парков. Экосистема технопарка представлена сетевым технопарком в АПК, в состав которого входят: "Региональный технологический парк в земледелии, растениеводстве и переработке НПЦЗХ имени А.И. Бараева, "Центр инноваций и технологий КАТИУ имени Сакена Сейфуллина", "Региональный инжиниринговый центр в животноводстве, кормопроизводстве и переработке Северо-Казахстанский НИИСХ. По результатам реализации мега-проекта был создан первый в Казахстане агротехнопарк. </w:t>
      </w:r>
    </w:p>
    <w:bookmarkEnd w:id="151"/>
    <w:bookmarkStart w:name="z173" w:id="152"/>
    <w:p>
      <w:pPr>
        <w:spacing w:after="0"/>
        <w:ind w:left="0"/>
        <w:jc w:val="both"/>
      </w:pPr>
      <w:r>
        <w:rPr>
          <w:rFonts w:ascii="Times New Roman"/>
          <w:b w:val="false"/>
          <w:i w:val="false"/>
          <w:color w:val="000000"/>
          <w:sz w:val="28"/>
        </w:rPr>
        <w:t>
      Отдельное внимание уделяется поддержке молодых ученых. За период 2023 – 2025 годов университетом успешно реализовано 12 грантовых проектов молодых исследователей на общую сумму более 701 млн тенге (таблица 8).</w:t>
      </w:r>
    </w:p>
    <w:bookmarkEnd w:id="152"/>
    <w:bookmarkStart w:name="z174" w:id="153"/>
    <w:p>
      <w:pPr>
        <w:spacing w:after="0"/>
        <w:ind w:left="0"/>
        <w:jc w:val="both"/>
      </w:pPr>
      <w:r>
        <w:rPr>
          <w:rFonts w:ascii="Times New Roman"/>
          <w:b w:val="false"/>
          <w:i w:val="false"/>
          <w:color w:val="000000"/>
          <w:sz w:val="28"/>
        </w:rPr>
        <w:t>
      Таблица 8. Проекты молодых ученых в рамках грантового финансирования МНВО РК</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финансирования, тенге за весь период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молодых ученых 2021-2023годы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340 716 490,16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молодых ученых 2022-2024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286 988 518,97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молодых ученых 2023-2025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73 748 849,03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701 453 858,16</w:t>
            </w:r>
          </w:p>
        </w:tc>
      </w:tr>
    </w:tbl>
    <w:p>
      <w:pPr>
        <w:spacing w:after="0"/>
        <w:ind w:left="0"/>
        <w:jc w:val="left"/>
      </w:pPr>
      <w:r>
        <w:br/>
      </w:r>
      <w:r>
        <w:rPr>
          <w:rFonts w:ascii="Times New Roman"/>
          <w:b w:val="false"/>
          <w:i w:val="false"/>
          <w:color w:val="000000"/>
          <w:sz w:val="28"/>
        </w:rPr>
        <w:t>
</w:t>
      </w:r>
    </w:p>
    <w:bookmarkStart w:name="z175" w:id="154"/>
    <w:p>
      <w:pPr>
        <w:spacing w:after="0"/>
        <w:ind w:left="0"/>
        <w:jc w:val="both"/>
      </w:pPr>
      <w:r>
        <w:rPr>
          <w:rFonts w:ascii="Times New Roman"/>
          <w:b w:val="false"/>
          <w:i w:val="false"/>
          <w:color w:val="000000"/>
          <w:sz w:val="28"/>
        </w:rPr>
        <w:t>
      Дополнительно в рамках республиканской программы "Жас ғалым" на проведение исследований молодыми учеными в период 2022 – 2025 годов привлечено свыше 100 млн тенге.</w:t>
      </w:r>
    </w:p>
    <w:bookmarkEnd w:id="154"/>
    <w:bookmarkStart w:name="z176" w:id="155"/>
    <w:p>
      <w:pPr>
        <w:spacing w:after="0"/>
        <w:ind w:left="0"/>
        <w:jc w:val="both"/>
      </w:pPr>
      <w:r>
        <w:rPr>
          <w:rFonts w:ascii="Times New Roman"/>
          <w:b w:val="false"/>
          <w:i w:val="false"/>
          <w:color w:val="000000"/>
          <w:sz w:val="28"/>
        </w:rPr>
        <w:t>
      Международное признание результатов научных исследований подтверждается публикационной активностью в изданиях, индексируемых в базах Web of Science и Scopus. За последние пять лет (2020 – 2024 годы) объем ежегодных публикаций в высокорейтинговых журналах вырос более чем в 1,5 раза. Совокупный массив публикаций ученых университета за пятилетний цикл составил 867 научных работ в базе Scopus и 357 – в Web of Science.</w:t>
      </w:r>
    </w:p>
    <w:bookmarkEnd w:id="155"/>
    <w:bookmarkStart w:name="z177" w:id="156"/>
    <w:p>
      <w:pPr>
        <w:spacing w:after="0"/>
        <w:ind w:left="0"/>
        <w:jc w:val="both"/>
      </w:pPr>
      <w:r>
        <w:rPr>
          <w:rFonts w:ascii="Times New Roman"/>
          <w:b w:val="false"/>
          <w:i w:val="false"/>
          <w:color w:val="000000"/>
          <w:sz w:val="28"/>
        </w:rPr>
        <w:t>
      Для продвижения отечественной аграрной науки с 1994 года издается рецензируемый журнал "Вестник науки КАТИУ имени Сакена Сейфуллина". Издание имеет стабильные наукометрические показатели в казахстанской базе цитирования (КазИНЦ, импакт-фактор – 0,027) и российском индексе научного цитирования (процентиль в рейтинге Science Index – 87). Ведется системная работа по интеграции профильных серий журнала (в первую очередь по ветеринарным наукам) в международную базу Scopus.</w:t>
      </w:r>
    </w:p>
    <w:bookmarkEnd w:id="156"/>
    <w:bookmarkStart w:name="z178" w:id="157"/>
    <w:p>
      <w:pPr>
        <w:spacing w:after="0"/>
        <w:ind w:left="0"/>
        <w:jc w:val="both"/>
      </w:pPr>
      <w:r>
        <w:rPr>
          <w:rFonts w:ascii="Times New Roman"/>
          <w:b w:val="false"/>
          <w:i w:val="false"/>
          <w:color w:val="000000"/>
          <w:sz w:val="28"/>
        </w:rPr>
        <w:t>
      Воспроизводство научных кадров обеспечивается деятельностью 11 диссертационных советов. Высокая интенсивность их работы подтверждается проведением 32 защит докторских диссертаций (PhD) в течение 2024 года. Для докторантов созданы условия полного научно-исследовательского цикла, включая обязательные зарубежные стажировки в ведущих мировых центрах (Германия, Швеция, Испания, КНР и другие).</w:t>
      </w:r>
    </w:p>
    <w:bookmarkEnd w:id="157"/>
    <w:bookmarkStart w:name="z179" w:id="158"/>
    <w:p>
      <w:pPr>
        <w:spacing w:after="0"/>
        <w:ind w:left="0"/>
        <w:jc w:val="both"/>
      </w:pPr>
      <w:r>
        <w:rPr>
          <w:rFonts w:ascii="Times New Roman"/>
          <w:b w:val="false"/>
          <w:i w:val="false"/>
          <w:color w:val="000000"/>
          <w:sz w:val="28"/>
        </w:rPr>
        <w:t>
      Далее рассматривается расширение системы продвижения результатов деятельности КАТИУ в практику. Интеграция научных разработок в реальный сектор экономики осуществляется по двум ключевым направлениям:</w:t>
      </w:r>
    </w:p>
    <w:bookmarkEnd w:id="158"/>
    <w:bookmarkStart w:name="z180" w:id="159"/>
    <w:p>
      <w:pPr>
        <w:spacing w:after="0"/>
        <w:ind w:left="0"/>
        <w:jc w:val="both"/>
      </w:pPr>
      <w:r>
        <w:rPr>
          <w:rFonts w:ascii="Times New Roman"/>
          <w:b w:val="false"/>
          <w:i w:val="false"/>
          <w:color w:val="000000"/>
          <w:sz w:val="28"/>
        </w:rPr>
        <w:t>
      1. Офис распространения знаний "Extension – KATU" (информационно-консультационное сопровождение субъектов АПК). За период 2020 – 2024 годов офисом организовано 4 масштабных "Дня поля" и 181 научно-практический семинар, в которых приняли участие более 3043 руководителей и специалистов предприятий агробизнеса.</w:t>
      </w:r>
    </w:p>
    <w:bookmarkEnd w:id="159"/>
    <w:bookmarkStart w:name="z181" w:id="160"/>
    <w:p>
      <w:pPr>
        <w:spacing w:after="0"/>
        <w:ind w:left="0"/>
        <w:jc w:val="both"/>
      </w:pPr>
      <w:r>
        <w:rPr>
          <w:rFonts w:ascii="Times New Roman"/>
          <w:b w:val="false"/>
          <w:i w:val="false"/>
          <w:color w:val="000000"/>
          <w:sz w:val="28"/>
        </w:rPr>
        <w:t>
      2. Департамент коммерциализации и предпринимательства (управление интеллектуальной собственностью и стартап-проектами). За период 2023 – 2025 годов учеными вуза получено 52 охранных документа, включая 4 евразийских патента, 13 патентов на изобретения, 33 патента на полезные модели и 2 патента на селекционные достижения.</w:t>
      </w:r>
    </w:p>
    <w:bookmarkEnd w:id="160"/>
    <w:bookmarkStart w:name="z182" w:id="161"/>
    <w:p>
      <w:pPr>
        <w:spacing w:after="0"/>
        <w:ind w:left="0"/>
        <w:jc w:val="both"/>
      </w:pPr>
      <w:r>
        <w:rPr>
          <w:rFonts w:ascii="Times New Roman"/>
          <w:b w:val="false"/>
          <w:i w:val="false"/>
          <w:color w:val="000000"/>
          <w:sz w:val="28"/>
        </w:rPr>
        <w:t>
      За последние 5 лет успешно осуществлен трансферт ряда инновационных технологий: переработка птичьего помета в биоудобрения; производство высокоэффективных кормовых добавок для КРС; внедрение систем совмещенного выращивания рыб и растений (аквапоника).</w:t>
      </w:r>
    </w:p>
    <w:bookmarkEnd w:id="161"/>
    <w:bookmarkStart w:name="z183" w:id="162"/>
    <w:p>
      <w:pPr>
        <w:spacing w:after="0"/>
        <w:ind w:left="0"/>
        <w:jc w:val="both"/>
      </w:pPr>
      <w:r>
        <w:rPr>
          <w:rFonts w:ascii="Times New Roman"/>
          <w:b w:val="false"/>
          <w:i w:val="false"/>
          <w:color w:val="000000"/>
          <w:sz w:val="28"/>
        </w:rPr>
        <w:t>
      В 2024 году на стадии активной реализации находились 10 крупных проектов по коммерциализации результатов научной и научно-технической деятельности (РННТД). Общий бюджет данных проектов за весь инвестиционный цикл составил 4,9 млрд тенге, из которых 3,3 млрд тенге привлечены в виде грантов АО "Фонд науки", а 1,6 млрд тенге обеспечены за счет прямого софинансирования со стороны частного бизнеса.</w:t>
      </w:r>
    </w:p>
    <w:bookmarkEnd w:id="162"/>
    <w:bookmarkStart w:name="z184" w:id="163"/>
    <w:p>
      <w:pPr>
        <w:spacing w:after="0"/>
        <w:ind w:left="0"/>
        <w:jc w:val="both"/>
      </w:pPr>
      <w:r>
        <w:rPr>
          <w:rFonts w:ascii="Times New Roman"/>
          <w:b w:val="false"/>
          <w:i w:val="false"/>
          <w:color w:val="000000"/>
          <w:sz w:val="28"/>
        </w:rPr>
        <w:t>
      Далее рассматривается третья миссия университета. Стратегия воспитательной работы в КАТИУ ориентирована на активное участие в процессе становления личности обучающегося.</w:t>
      </w:r>
    </w:p>
    <w:bookmarkEnd w:id="163"/>
    <w:bookmarkStart w:name="z185" w:id="164"/>
    <w:p>
      <w:pPr>
        <w:spacing w:after="0"/>
        <w:ind w:left="0"/>
        <w:jc w:val="both"/>
      </w:pPr>
      <w:r>
        <w:rPr>
          <w:rFonts w:ascii="Times New Roman"/>
          <w:b w:val="false"/>
          <w:i w:val="false"/>
          <w:color w:val="000000"/>
          <w:sz w:val="28"/>
        </w:rPr>
        <w:t>
      При организации воспитательного процесса в университете определены следующие задачи:</w:t>
      </w:r>
    </w:p>
    <w:bookmarkEnd w:id="164"/>
    <w:bookmarkStart w:name="z186" w:id="165"/>
    <w:p>
      <w:pPr>
        <w:spacing w:after="0"/>
        <w:ind w:left="0"/>
        <w:jc w:val="both"/>
      </w:pPr>
      <w:r>
        <w:rPr>
          <w:rFonts w:ascii="Times New Roman"/>
          <w:b w:val="false"/>
          <w:i w:val="false"/>
          <w:color w:val="000000"/>
          <w:sz w:val="28"/>
        </w:rPr>
        <w:t>
      совершенствование нравственных и гражданских качеств обучающихся;</w:t>
      </w:r>
    </w:p>
    <w:bookmarkEnd w:id="165"/>
    <w:bookmarkStart w:name="z187" w:id="166"/>
    <w:p>
      <w:pPr>
        <w:spacing w:after="0"/>
        <w:ind w:left="0"/>
        <w:jc w:val="both"/>
      </w:pPr>
      <w:r>
        <w:rPr>
          <w:rFonts w:ascii="Times New Roman"/>
          <w:b w:val="false"/>
          <w:i w:val="false"/>
          <w:color w:val="000000"/>
          <w:sz w:val="28"/>
        </w:rPr>
        <w:t>
      пробуждение сознательной гражданской позиции, формирование чувства гордости и патриотического отношения к развитию и процветанию Республики Казахстан;</w:t>
      </w:r>
    </w:p>
    <w:bookmarkEnd w:id="166"/>
    <w:bookmarkStart w:name="z188" w:id="167"/>
    <w:p>
      <w:pPr>
        <w:spacing w:after="0"/>
        <w:ind w:left="0"/>
        <w:jc w:val="both"/>
      </w:pPr>
      <w:r>
        <w:rPr>
          <w:rFonts w:ascii="Times New Roman"/>
          <w:b w:val="false"/>
          <w:i w:val="false"/>
          <w:color w:val="000000"/>
          <w:sz w:val="28"/>
        </w:rPr>
        <w:t>
      формирование культуры осознанного, спокойного суждения информационного потока в обществе, культуры принятия справедливых решений;</w:t>
      </w:r>
    </w:p>
    <w:bookmarkEnd w:id="167"/>
    <w:bookmarkStart w:name="z189" w:id="168"/>
    <w:p>
      <w:pPr>
        <w:spacing w:after="0"/>
        <w:ind w:left="0"/>
        <w:jc w:val="both"/>
      </w:pPr>
      <w:r>
        <w:rPr>
          <w:rFonts w:ascii="Times New Roman"/>
          <w:b w:val="false"/>
          <w:i w:val="false"/>
          <w:color w:val="000000"/>
          <w:sz w:val="28"/>
        </w:rPr>
        <w:t>
      открытие пути к энтузиазму, активности, ответственности и благотворительности в своем окружении и обществе;</w:t>
      </w:r>
    </w:p>
    <w:bookmarkEnd w:id="168"/>
    <w:bookmarkStart w:name="z190" w:id="169"/>
    <w:p>
      <w:pPr>
        <w:spacing w:after="0"/>
        <w:ind w:left="0"/>
        <w:jc w:val="both"/>
      </w:pPr>
      <w:r>
        <w:rPr>
          <w:rFonts w:ascii="Times New Roman"/>
          <w:b w:val="false"/>
          <w:i w:val="false"/>
          <w:color w:val="000000"/>
          <w:sz w:val="28"/>
        </w:rPr>
        <w:t>
      формирование здорового образа жизни и экологической культуры у молодежи.</w:t>
      </w:r>
    </w:p>
    <w:bookmarkEnd w:id="169"/>
    <w:bookmarkStart w:name="z191" w:id="170"/>
    <w:p>
      <w:pPr>
        <w:spacing w:after="0"/>
        <w:ind w:left="0"/>
        <w:jc w:val="both"/>
      </w:pPr>
      <w:r>
        <w:rPr>
          <w:rFonts w:ascii="Times New Roman"/>
          <w:b w:val="false"/>
          <w:i w:val="false"/>
          <w:color w:val="000000"/>
          <w:sz w:val="28"/>
        </w:rPr>
        <w:t xml:space="preserve">
      При реализации этих целей прежде всего уделяется внимание повышению активности обучающихся. Для этого в КАТИУ реализуется студенческое самоуправление через молодежные организации: Комитет по делам молодежи; организацию студенческого парламента; молодежное крыло "Жастар рухы"; организации студенческого совета в общежитии; волонтерскую организацию "Көмек"; организацию "Саналы ұрпақ"; организацию "Медиаторы"; студенческую профсоюзную организацию. </w:t>
      </w:r>
    </w:p>
    <w:bookmarkEnd w:id="170"/>
    <w:bookmarkStart w:name="z192" w:id="171"/>
    <w:p>
      <w:pPr>
        <w:spacing w:after="0"/>
        <w:ind w:left="0"/>
        <w:jc w:val="both"/>
      </w:pPr>
      <w:r>
        <w:rPr>
          <w:rFonts w:ascii="Times New Roman"/>
          <w:b w:val="false"/>
          <w:i w:val="false"/>
          <w:color w:val="000000"/>
          <w:sz w:val="28"/>
        </w:rPr>
        <w:t>
      В работе кружков и клубов задействовано 2324 обучающихся. Традиционно известна студенческая самодеятельность университета, на базе центра творческого развития успешно функционируют танцевальный ансамбль "Шаттық", вокальные группы, оркестр национальных инструментов "Шабыт", студенческий театр "Ақжелкен", 2 студенческие команды КВН, в которых заняты творчеством около 70 обучающихся, которых отличают навыки и умения, способствующие их более быстрой адаптации к послевузовской жизни и конкурентоспособности в обществе.</w:t>
      </w:r>
    </w:p>
    <w:bookmarkEnd w:id="171"/>
    <w:bookmarkStart w:name="z193" w:id="172"/>
    <w:p>
      <w:pPr>
        <w:spacing w:after="0"/>
        <w:ind w:left="0"/>
        <w:jc w:val="both"/>
      </w:pPr>
      <w:r>
        <w:rPr>
          <w:rFonts w:ascii="Times New Roman"/>
          <w:b w:val="false"/>
          <w:i w:val="false"/>
          <w:color w:val="000000"/>
          <w:sz w:val="28"/>
        </w:rPr>
        <w:t xml:space="preserve">
      В волонтерскую организацию КАТИУ "Көмек еріктілері" вовлечены 70 человек. </w:t>
      </w:r>
    </w:p>
    <w:bookmarkEnd w:id="172"/>
    <w:bookmarkStart w:name="z194" w:id="173"/>
    <w:p>
      <w:pPr>
        <w:spacing w:after="0"/>
        <w:ind w:left="0"/>
        <w:jc w:val="both"/>
      </w:pPr>
      <w:r>
        <w:rPr>
          <w:rFonts w:ascii="Times New Roman"/>
          <w:b w:val="false"/>
          <w:i w:val="false"/>
          <w:color w:val="000000"/>
          <w:sz w:val="28"/>
        </w:rPr>
        <w:t xml:space="preserve">
      Количество обучающихся с физическими ограниченными возможностями в университете составляет 71 человек: в том числе обучающихся – 67, магистрантов – 4, для которых созданы условия безбарьерного доступа: пандусы, тактильные желтополосные дорожки, информационно-тактильные указатели и другие необходимые устройства. </w:t>
      </w:r>
    </w:p>
    <w:bookmarkEnd w:id="173"/>
    <w:bookmarkStart w:name="z195" w:id="174"/>
    <w:p>
      <w:pPr>
        <w:spacing w:after="0"/>
        <w:ind w:left="0"/>
        <w:jc w:val="both"/>
      </w:pPr>
      <w:r>
        <w:rPr>
          <w:rFonts w:ascii="Times New Roman"/>
          <w:b w:val="false"/>
          <w:i w:val="false"/>
          <w:color w:val="000000"/>
          <w:sz w:val="28"/>
        </w:rPr>
        <w:t xml:space="preserve">
      Инфраструктура. Университет обладает уникальной распределенной кампусной сетью, включающей 4 базовых локации: (рисунок 3): </w:t>
      </w:r>
    </w:p>
    <w:bookmarkEnd w:id="174"/>
    <w:bookmarkStart w:name="z196" w:id="175"/>
    <w:p>
      <w:pPr>
        <w:spacing w:after="0"/>
        <w:ind w:left="0"/>
        <w:jc w:val="both"/>
      </w:pPr>
      <w:r>
        <w:rPr>
          <w:rFonts w:ascii="Times New Roman"/>
          <w:b w:val="false"/>
          <w:i w:val="false"/>
          <w:color w:val="000000"/>
          <w:sz w:val="28"/>
        </w:rPr>
        <w:t>
      1) главный кампус (город Астана): административно-академическое ядро университета;</w:t>
      </w:r>
    </w:p>
    <w:bookmarkEnd w:id="175"/>
    <w:bookmarkStart w:name="z197" w:id="176"/>
    <w:p>
      <w:pPr>
        <w:spacing w:after="0"/>
        <w:ind w:left="0"/>
        <w:jc w:val="both"/>
      </w:pPr>
      <w:r>
        <w:rPr>
          <w:rFonts w:ascii="Times New Roman"/>
          <w:b w:val="false"/>
          <w:i w:val="false"/>
          <w:color w:val="000000"/>
          <w:sz w:val="28"/>
        </w:rPr>
        <w:t>
      2) кампус "Учхоз" (поселок Интернациональный): база института науки о животных и ветеринарии;</w:t>
      </w:r>
    </w:p>
    <w:bookmarkEnd w:id="176"/>
    <w:bookmarkStart w:name="z198" w:id="177"/>
    <w:p>
      <w:pPr>
        <w:spacing w:after="0"/>
        <w:ind w:left="0"/>
        <w:jc w:val="both"/>
      </w:pPr>
      <w:r>
        <w:rPr>
          <w:rFonts w:ascii="Times New Roman"/>
          <w:b w:val="false"/>
          <w:i w:val="false"/>
          <w:color w:val="000000"/>
          <w:sz w:val="28"/>
        </w:rPr>
        <w:t>
      3) кампус "Щучинск" (Акмолинская область): научно-образовательный центр в области лесного хозяйства и экологии;</w:t>
      </w:r>
    </w:p>
    <w:bookmarkEnd w:id="177"/>
    <w:bookmarkStart w:name="z199" w:id="178"/>
    <w:p>
      <w:pPr>
        <w:spacing w:after="0"/>
        <w:ind w:left="0"/>
        <w:jc w:val="both"/>
      </w:pPr>
      <w:r>
        <w:rPr>
          <w:rFonts w:ascii="Times New Roman"/>
          <w:b w:val="false"/>
          <w:i w:val="false"/>
          <w:color w:val="000000"/>
          <w:sz w:val="28"/>
        </w:rPr>
        <w:t>
      4) научно-экспериментальный кампус полевых работ (Целиноградский район): опытное хозяйство площадью 1 152 га.</w:t>
      </w:r>
    </w:p>
    <w:bookmarkEnd w:id="178"/>
    <w:bookmarkStart w:name="z200"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80"/>
    <w:p>
      <w:pPr>
        <w:spacing w:after="0"/>
        <w:ind w:left="0"/>
        <w:jc w:val="both"/>
      </w:pPr>
      <w:r>
        <w:rPr>
          <w:rFonts w:ascii="Times New Roman"/>
          <w:b w:val="false"/>
          <w:i w:val="false"/>
          <w:color w:val="000000"/>
          <w:sz w:val="28"/>
        </w:rPr>
        <w:t>
      Рисунок 3. Существующая кампусная сеть КАТИУ</w:t>
      </w:r>
    </w:p>
    <w:bookmarkEnd w:id="180"/>
    <w:bookmarkStart w:name="z202" w:id="181"/>
    <w:p>
      <w:pPr>
        <w:spacing w:after="0"/>
        <w:ind w:left="0"/>
        <w:jc w:val="both"/>
      </w:pPr>
      <w:r>
        <w:rPr>
          <w:rFonts w:ascii="Times New Roman"/>
          <w:b w:val="false"/>
          <w:i w:val="false"/>
          <w:color w:val="000000"/>
          <w:sz w:val="28"/>
        </w:rPr>
        <w:t>
      В целях интеграции и развития образовательной, научно-исследовательской базы КАТИУ переданы дочерние организации НАНОЦ:</w:t>
      </w:r>
    </w:p>
    <w:bookmarkEnd w:id="181"/>
    <w:bookmarkStart w:name="z203" w:id="182"/>
    <w:p>
      <w:pPr>
        <w:spacing w:after="0"/>
        <w:ind w:left="0"/>
        <w:jc w:val="both"/>
      </w:pPr>
      <w:r>
        <w:rPr>
          <w:rFonts w:ascii="Times New Roman"/>
          <w:b w:val="false"/>
          <w:i w:val="false"/>
          <w:color w:val="000000"/>
          <w:sz w:val="28"/>
        </w:rPr>
        <w:t>
      НПЦЗХ имени А.И. Бараева (поселок Научный, Шортандинский район, Акмолинская область);</w:t>
      </w:r>
    </w:p>
    <w:bookmarkEnd w:id="182"/>
    <w:bookmarkStart w:name="z204" w:id="183"/>
    <w:p>
      <w:pPr>
        <w:spacing w:after="0"/>
        <w:ind w:left="0"/>
        <w:jc w:val="both"/>
      </w:pPr>
      <w:r>
        <w:rPr>
          <w:rFonts w:ascii="Times New Roman"/>
          <w:b w:val="false"/>
          <w:i w:val="false"/>
          <w:color w:val="000000"/>
          <w:sz w:val="28"/>
        </w:rPr>
        <w:t>
      Северо-Казахстанский НИИСХ (Северо-Казахстанская область, Аккаинский район, село Шагалалы).</w:t>
      </w:r>
    </w:p>
    <w:bookmarkEnd w:id="183"/>
    <w:bookmarkStart w:name="z205" w:id="184"/>
    <w:p>
      <w:pPr>
        <w:spacing w:after="0"/>
        <w:ind w:left="0"/>
        <w:jc w:val="both"/>
      </w:pPr>
      <w:r>
        <w:rPr>
          <w:rFonts w:ascii="Times New Roman"/>
          <w:b w:val="false"/>
          <w:i w:val="false"/>
          <w:color w:val="000000"/>
          <w:sz w:val="28"/>
        </w:rPr>
        <w:t>
      НПЦЗХ имени А.И. Бараева – основная база для научных исследований, трансферта технологий и подготовки кадров в области растениеводства. Все научные исследования и программы распространения знаний в области растениеводства, тиражирование селекционных достижений и производственная практика в течение всего сельскохозяйственного сезона проходят на его базе.</w:t>
      </w:r>
    </w:p>
    <w:bookmarkEnd w:id="184"/>
    <w:bookmarkStart w:name="z206" w:id="185"/>
    <w:p>
      <w:pPr>
        <w:spacing w:after="0"/>
        <w:ind w:left="0"/>
        <w:jc w:val="both"/>
      </w:pPr>
      <w:r>
        <w:rPr>
          <w:rFonts w:ascii="Times New Roman"/>
          <w:b w:val="false"/>
          <w:i w:val="false"/>
          <w:color w:val="000000"/>
          <w:sz w:val="28"/>
        </w:rPr>
        <w:t>
      ТОО "Северо-Казахстанская сельскохозяйственная опытная станция" – основной кампус по сельскому хозяйству в условиях Северного Казахстана, в том числе по скотоводству, коневодству, точному земледелию, овощеводству, кормопроизводству, планированию и обустройству сельских территорий. На его базе проходят производственная практика, научные исследования и мероприятия по распространению знаний, связанные с АПК Северного Казахстана.</w:t>
      </w:r>
    </w:p>
    <w:bookmarkEnd w:id="185"/>
    <w:bookmarkStart w:name="z207" w:id="186"/>
    <w:p>
      <w:pPr>
        <w:spacing w:after="0"/>
        <w:ind w:left="0"/>
        <w:jc w:val="both"/>
      </w:pPr>
      <w:r>
        <w:rPr>
          <w:rFonts w:ascii="Times New Roman"/>
          <w:b w:val="false"/>
          <w:i w:val="false"/>
          <w:color w:val="000000"/>
          <w:sz w:val="28"/>
        </w:rPr>
        <w:t xml:space="preserve">
      За период управления КАТИУ дочерними организациями были продемонстрированы высокие экономические показатели. ТОО "Северо-Казахстанская сельскохозяйственная опытная станция" на протяжении последних трех лет показывает в условиях прогрессирующей засухи рекордные урожаи, свыше 20 ц/га в среднем по всем видам возделываемых сельскохозяйственных культур в хозяйстве. </w:t>
      </w:r>
    </w:p>
    <w:bookmarkEnd w:id="186"/>
    <w:bookmarkStart w:name="z208" w:id="187"/>
    <w:p>
      <w:pPr>
        <w:spacing w:after="0"/>
        <w:ind w:left="0"/>
        <w:jc w:val="both"/>
      </w:pPr>
      <w:r>
        <w:rPr>
          <w:rFonts w:ascii="Times New Roman"/>
          <w:b w:val="false"/>
          <w:i w:val="false"/>
          <w:color w:val="000000"/>
          <w:sz w:val="28"/>
        </w:rPr>
        <w:t xml:space="preserve">
      Эффективность корпоративного управления дочерними структурами подтверждается консолидированными финансово-хозяйственными результатами. </w:t>
      </w:r>
    </w:p>
    <w:bookmarkEnd w:id="187"/>
    <w:bookmarkStart w:name="z209" w:id="188"/>
    <w:p>
      <w:pPr>
        <w:spacing w:after="0"/>
        <w:ind w:left="0"/>
        <w:jc w:val="both"/>
      </w:pPr>
      <w:r>
        <w:rPr>
          <w:rFonts w:ascii="Times New Roman"/>
          <w:b w:val="false"/>
          <w:i w:val="false"/>
          <w:color w:val="000000"/>
          <w:sz w:val="28"/>
        </w:rPr>
        <w:t>
      По итогам 2024 года совокупная чистая прибыль группы компаний КАТИУ увеличилась по сравнению с 2023 годом в 4,5 раза и составила 3149,3 млн тенге (при плановом значении 636,0 млн тенге).</w:t>
      </w:r>
    </w:p>
    <w:bookmarkEnd w:id="188"/>
    <w:bookmarkStart w:name="z210" w:id="189"/>
    <w:p>
      <w:pPr>
        <w:spacing w:after="0"/>
        <w:ind w:left="0"/>
        <w:jc w:val="both"/>
      </w:pPr>
      <w:r>
        <w:rPr>
          <w:rFonts w:ascii="Times New Roman"/>
          <w:b w:val="false"/>
          <w:i w:val="false"/>
          <w:color w:val="000000"/>
          <w:sz w:val="28"/>
        </w:rPr>
        <w:t>
      Структура консолидированного чистого дохода за 2024 год:</w:t>
      </w:r>
    </w:p>
    <w:bookmarkEnd w:id="189"/>
    <w:bookmarkStart w:name="z211" w:id="190"/>
    <w:p>
      <w:pPr>
        <w:spacing w:after="0"/>
        <w:ind w:left="0"/>
        <w:jc w:val="both"/>
      </w:pPr>
      <w:r>
        <w:rPr>
          <w:rFonts w:ascii="Times New Roman"/>
          <w:b w:val="false"/>
          <w:i w:val="false"/>
          <w:color w:val="000000"/>
          <w:sz w:val="28"/>
        </w:rPr>
        <w:t>
      КАТИУ – 2803,2 млн тенге;</w:t>
      </w:r>
    </w:p>
    <w:bookmarkEnd w:id="190"/>
    <w:bookmarkStart w:name="z212" w:id="191"/>
    <w:p>
      <w:pPr>
        <w:spacing w:after="0"/>
        <w:ind w:left="0"/>
        <w:jc w:val="both"/>
      </w:pPr>
      <w:r>
        <w:rPr>
          <w:rFonts w:ascii="Times New Roman"/>
          <w:b w:val="false"/>
          <w:i w:val="false"/>
          <w:color w:val="000000"/>
          <w:sz w:val="28"/>
        </w:rPr>
        <w:t>
      Северо-Казахстанский НИИСХ – 338,5 млн тенге;</w:t>
      </w:r>
    </w:p>
    <w:bookmarkEnd w:id="191"/>
    <w:bookmarkStart w:name="z213" w:id="192"/>
    <w:p>
      <w:pPr>
        <w:spacing w:after="0"/>
        <w:ind w:left="0"/>
        <w:jc w:val="both"/>
      </w:pPr>
      <w:r>
        <w:rPr>
          <w:rFonts w:ascii="Times New Roman"/>
          <w:b w:val="false"/>
          <w:i w:val="false"/>
          <w:color w:val="000000"/>
          <w:sz w:val="28"/>
        </w:rPr>
        <w:t xml:space="preserve">
      НПЦЗХ имени А.И. Бараева – 7,5 млн тенге. </w:t>
      </w:r>
    </w:p>
    <w:bookmarkEnd w:id="192"/>
    <w:bookmarkStart w:name="z214" w:id="193"/>
    <w:p>
      <w:pPr>
        <w:spacing w:after="0"/>
        <w:ind w:left="0"/>
        <w:jc w:val="both"/>
      </w:pPr>
      <w:r>
        <w:rPr>
          <w:rFonts w:ascii="Times New Roman"/>
          <w:b w:val="false"/>
          <w:i w:val="false"/>
          <w:color w:val="000000"/>
          <w:sz w:val="28"/>
        </w:rPr>
        <w:t>
      Существующая кампусная сеть КАТИУ позволяет качественно проводить исследования и подготовку специалистов, обеспечивает определенные конкурентные преимущества для КАТИУ по некоторым направлениям. Однако не обеспечен охват всех направлений академического профиля и основных сельскохозяйственных зон целевого региона. Например, научно-экспериментальный кампус полевых работ расположен в зоне с нетипичными почвами, что ограничивает применимость полученных результатов на практике. Из-за нехватки помещений в кампусе "Щучинск" отсутствует возможность для подготовки специалистов на междисциплинарной основе с увязкой вопросов лесного хозяйства с наукой об окружающей среде, управлением природными ресурсами, другими сопутствующими областями. Таким образом, имеется объективная необходимость в дальнейшем расширении кампусной сети и ремонте существующей инфраструктуры университета.</w:t>
      </w:r>
    </w:p>
    <w:bookmarkEnd w:id="193"/>
    <w:bookmarkStart w:name="z215" w:id="194"/>
    <w:p>
      <w:pPr>
        <w:spacing w:after="0"/>
        <w:ind w:left="0"/>
        <w:jc w:val="both"/>
      </w:pPr>
      <w:r>
        <w:rPr>
          <w:rFonts w:ascii="Times New Roman"/>
          <w:b w:val="false"/>
          <w:i w:val="false"/>
          <w:color w:val="000000"/>
          <w:sz w:val="28"/>
        </w:rPr>
        <w:t>
      Комплексный SWOT-анализ текущего состояния КАТИУ представлен в таблице 9.</w:t>
      </w:r>
    </w:p>
    <w:bookmarkEnd w:id="194"/>
    <w:bookmarkStart w:name="z216" w:id="195"/>
    <w:p>
      <w:pPr>
        <w:spacing w:after="0"/>
        <w:ind w:left="0"/>
        <w:jc w:val="both"/>
      </w:pPr>
      <w:r>
        <w:rPr>
          <w:rFonts w:ascii="Times New Roman"/>
          <w:b w:val="false"/>
          <w:i w:val="false"/>
          <w:color w:val="000000"/>
          <w:sz w:val="28"/>
        </w:rPr>
        <w:t>
      Таблица 9. SWOT-анализ текущего состояния КАТИУ</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 (Strengths)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 (Weaknesses)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1. Наличие официального статуса исследовательского университета и трехуровневой системы подготовки (бакалавриат – магистратура –докторантура).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Высокая доля доходов от научной деятельности в общем бюджете вуза (34,6 %) и значительный портфель программно-целевого финансирования (проект на 4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 Уникальная распределенная научно-производственная инфраструктура, включающая крупные дочерние НПЦ (НПЦЗХ имени А.И. Бараева, Северо-Казахстанский НИИСХ) с высокой финансовой эффективностью.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Развитая сеть международного партнерства (вхождение в ТОП-рейтинги, членство в ФAO, IAU, действующие двудипломные программы с вузами ЕС, КНР и РУДН).</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устойчивых каналов коммерциализации РННТД и Extension-услуг (привлечение 1,6 млрд тенге софинансирования от бизнеса в 2024 г.).</w:t>
            </w:r>
          </w:p>
          <w:p>
            <w:pPr>
              <w:spacing w:after="20"/>
              <w:ind w:left="20"/>
              <w:jc w:val="both"/>
            </w:pPr>
            <w:r>
              <w:rPr>
                <w:rFonts w:ascii="Times New Roman"/>
                <w:b w:val="false"/>
                <w:i w:val="false"/>
                <w:color w:val="000000"/>
                <w:sz w:val="20"/>
              </w:rPr>
              <w:t>
6. Системная поддержка молодых ученых (реализация 12 проектов ГФ и программы "Жас ғалым").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1. Высокая зависимость академического блока от государственного образовательного заказа и уязвимость перед колебаниями контингента.</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Диспропорция в публикационной активности: стабильный рост общего объема статей при недостаточной доле публикаций в высших квартилях (Q1, Q2) Scopus/WoS.</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Прогрессирующее старение штатного ППС и недостаточный уровень владения иностранными языками для форсированной интернационализации.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Высокий износ и моральное устаревание части лабораторного оборудования и научно-исследовательской материально-технической базы в старых кампусах.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Территориально-почвенные ограничения Научно-экспериментального кампуса полевых работ (расположение в зоне с нетипичными для региона почвами), сужающие масштабируемость результатов.</w:t>
            </w:r>
          </w:p>
          <w:p>
            <w:pPr>
              <w:spacing w:after="20"/>
              <w:ind w:left="20"/>
              <w:jc w:val="both"/>
            </w:pPr>
            <w:r>
              <w:rPr>
                <w:rFonts w:ascii="Times New Roman"/>
                <w:b w:val="false"/>
                <w:i w:val="false"/>
                <w:color w:val="000000"/>
                <w:sz w:val="20"/>
              </w:rPr>
              <w:t>
6. Снижение общей доли остепененности кадров по ряду классических академических направлений.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(Opportunities)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(Threats)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8"/>
          <w:p>
            <w:pPr>
              <w:spacing w:after="20"/>
              <w:ind w:left="20"/>
              <w:jc w:val="both"/>
            </w:pPr>
            <w:r>
              <w:rPr>
                <w:rFonts w:ascii="Times New Roman"/>
                <w:b w:val="false"/>
                <w:i w:val="false"/>
                <w:color w:val="000000"/>
                <w:sz w:val="20"/>
              </w:rPr>
              <w:t>
1. Трансформация КАТИУ в ведущий международный аграрный исследовательский хаб в Центрально-Азиатском регионе с привлечением зарубежных инвестиций.</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Масштабирование Smart Agriculture проектов совместно с крупнейшими отечественными агрохолдингами.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Наращивание доли внебюджетных фондов за счет прямого участия в международных грантовых программах (Horizon Europe, Erasmus+).</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Digital Agro Map и цифровизация управления АПК северных и центральных регионов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экспорта образовательных услуг за счет развития англоязычных программ послевузовского образования для стран Ближнего Востока и Центральной Азии.</w:t>
            </w:r>
          </w:p>
          <w:p>
            <w:pPr>
              <w:spacing w:after="20"/>
              <w:ind w:left="20"/>
              <w:jc w:val="both"/>
            </w:pPr>
            <w:r>
              <w:rPr>
                <w:rFonts w:ascii="Times New Roman"/>
                <w:b w:val="false"/>
                <w:i w:val="false"/>
                <w:color w:val="000000"/>
                <w:sz w:val="20"/>
              </w:rPr>
              <w:t>
6. Модернизация МТБ за счет целевых отчислений от прибыли дочерних коммерческих структур и софинансирования со стороны бизнеса.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9"/>
          <w:p>
            <w:pPr>
              <w:spacing w:after="20"/>
              <w:ind w:left="20"/>
              <w:jc w:val="both"/>
            </w:pPr>
            <w:r>
              <w:rPr>
                <w:rFonts w:ascii="Times New Roman"/>
                <w:b w:val="false"/>
                <w:i w:val="false"/>
                <w:color w:val="000000"/>
                <w:sz w:val="20"/>
              </w:rPr>
              <w:t>
1. Усиление глобальной и региональной конкуренции за талантливых абитуриентов и молодых ученых (риск оттока кадров в зарубежные научные центры).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Высокие климатические и пандемические риски, способные снизить доходность дочерних сельскохозяйственных предприятий.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 технологического разрыва в случае отставания темпов обновления образовательных программ от скорости развития мировых агробиотехнологий.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Риск снижения реального объема бюджетного финансирования науки в случае макроэкономической нестабильности.</w:t>
            </w:r>
          </w:p>
          <w:p>
            <w:pPr>
              <w:spacing w:after="20"/>
              <w:ind w:left="20"/>
              <w:jc w:val="both"/>
            </w:pPr>
            <w:r>
              <w:rPr>
                <w:rFonts w:ascii="Times New Roman"/>
                <w:b w:val="false"/>
                <w:i w:val="false"/>
                <w:color w:val="000000"/>
                <w:sz w:val="20"/>
              </w:rPr>
              <w:t>
5. Ускоренное моральное устаревание приобретаемого ИТ-оборудования и специализированного цифрового софта для точного земледелия.</w:t>
            </w:r>
          </w:p>
        </w:tc>
      </w:tr>
    </w:tbl>
    <w:bookmarkStart w:name="z236" w:id="200"/>
    <w:p>
      <w:pPr>
        <w:spacing w:after="0"/>
        <w:ind w:left="0"/>
        <w:jc w:val="both"/>
      </w:pPr>
      <w:r>
        <w:rPr>
          <w:rFonts w:ascii="Times New Roman"/>
          <w:b w:val="false"/>
          <w:i w:val="false"/>
          <w:color w:val="000000"/>
          <w:sz w:val="28"/>
        </w:rPr>
        <w:t xml:space="preserve">
       </w:t>
      </w:r>
    </w:p>
    <w:bookmarkEnd w:id="200"/>
    <w:p>
      <w:pPr>
        <w:spacing w:after="0"/>
        <w:ind w:left="0"/>
        <w:jc w:val="both"/>
      </w:pPr>
      <w:r>
        <w:rPr>
          <w:rFonts w:ascii="Times New Roman"/>
          <w:b/>
          <w:i w:val="false"/>
          <w:color w:val="000000"/>
          <w:sz w:val="28"/>
        </w:rPr>
        <w:t xml:space="preserve">Подраздел 3.2 Анализ трендов и вызовов </w:t>
      </w:r>
    </w:p>
    <w:bookmarkStart w:name="z238" w:id="201"/>
    <w:p>
      <w:pPr>
        <w:spacing w:after="0"/>
        <w:ind w:left="0"/>
        <w:jc w:val="both"/>
      </w:pPr>
      <w:r>
        <w:rPr>
          <w:rFonts w:ascii="Times New Roman"/>
          <w:b w:val="false"/>
          <w:i w:val="false"/>
          <w:color w:val="000000"/>
          <w:sz w:val="28"/>
        </w:rPr>
        <w:t>
      Современный мир находится в фазе экспоненциальных технологических изменений, что диктует необходимость коренной модернизации системы аграрного образования. Ключевым вектором развития КАТИУ до 2030 года становится переход к модели опережающей подготовки кадров, способных работать в условиях высокой неопределенности и преобладания наукоемких технологий в АПК.</w:t>
      </w:r>
    </w:p>
    <w:bookmarkEnd w:id="201"/>
    <w:bookmarkStart w:name="z239" w:id="202"/>
    <w:p>
      <w:pPr>
        <w:spacing w:after="0"/>
        <w:ind w:left="0"/>
        <w:jc w:val="both"/>
      </w:pPr>
      <w:r>
        <w:rPr>
          <w:rFonts w:ascii="Times New Roman"/>
          <w:b w:val="false"/>
          <w:i w:val="false"/>
          <w:color w:val="000000"/>
          <w:sz w:val="28"/>
        </w:rPr>
        <w:t>
      Опережающая подготовка кадров. Концепция опережающего кадрового обеспечения подразумевает предиктивное формирование компетенций, которые будут востребованы рынком труда в среднесрочной и долгосрочной перспективе (от 3 до 7 лет).</w:t>
      </w:r>
    </w:p>
    <w:bookmarkEnd w:id="202"/>
    <w:bookmarkStart w:name="z240" w:id="203"/>
    <w:p>
      <w:pPr>
        <w:spacing w:after="0"/>
        <w:ind w:left="0"/>
        <w:jc w:val="both"/>
      </w:pPr>
      <w:r>
        <w:rPr>
          <w:rFonts w:ascii="Times New Roman"/>
          <w:b w:val="false"/>
          <w:i w:val="false"/>
          <w:color w:val="000000"/>
          <w:sz w:val="28"/>
        </w:rPr>
        <w:t>
      Ключевой деятельностью для КАТИУ становятся предиктивная аналитика и формирование образовательных экосистем. Это позволит университету трансформироваться в международный образовательный "хаб", обеспечивающий междисциплинарные исследования и качественное разновозрастное образование.</w:t>
      </w:r>
    </w:p>
    <w:bookmarkEnd w:id="203"/>
    <w:bookmarkStart w:name="z241" w:id="204"/>
    <w:p>
      <w:pPr>
        <w:spacing w:after="0"/>
        <w:ind w:left="0"/>
        <w:jc w:val="both"/>
      </w:pPr>
      <w:r>
        <w:rPr>
          <w:rFonts w:ascii="Times New Roman"/>
          <w:b w:val="false"/>
          <w:i w:val="false"/>
          <w:color w:val="000000"/>
          <w:sz w:val="28"/>
        </w:rPr>
        <w:t>
      Феномен исследовательского университета мирового класса. Мировая практика доказывает, что создание исследовательского университета мирового уровня невозможно без системной синергии общества, бизнеса и прямой финансовой поддержки государства. Качественные наукоемкие исследования требуют сверхвысокой концентрации ресурсов.</w:t>
      </w:r>
    </w:p>
    <w:bookmarkEnd w:id="204"/>
    <w:bookmarkStart w:name="z242" w:id="205"/>
    <w:p>
      <w:pPr>
        <w:spacing w:after="0"/>
        <w:ind w:left="0"/>
        <w:jc w:val="both"/>
      </w:pPr>
      <w:r>
        <w:rPr>
          <w:rFonts w:ascii="Times New Roman"/>
          <w:b w:val="false"/>
          <w:i w:val="false"/>
          <w:color w:val="000000"/>
          <w:sz w:val="28"/>
        </w:rPr>
        <w:t>
      Таблица 10. Анализ зарубежных моделей опережающего кадрового обеспечения</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 недостатки модели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моделей для КАТИУ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Республика Беларусь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модель, основным инструментом является государственный заказ. Основной недостаток - отставание государственного заказа от трендов на компетенции, позднее реагирование на изменения на рынке труда, дополненная длинными сроками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ситуационно-аналитического центра прогнозирования с участием МСХ РК при формировании вертикально-интегрированного агротехнологического хаба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и Великобритания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Либеральная модель, Университеты этих стран работают на рынок, государство не представляет заказы на кадры, дисбаланс сглаживается самим рынком труда. Недостаток – отсутствие централизованного влияния на подготовку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гибких образовательных траекторий (Major/Minor), ориентированных на текущие проектные требования агробизнеса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6"/>
          <w:p>
            <w:pPr>
              <w:spacing w:after="20"/>
              <w:ind w:left="20"/>
              <w:jc w:val="both"/>
            </w:pPr>
            <w:r>
              <w:rPr>
                <w:rFonts w:ascii="Times New Roman"/>
                <w:b w:val="false"/>
                <w:i w:val="false"/>
                <w:color w:val="000000"/>
                <w:sz w:val="20"/>
              </w:rPr>
              <w:t>
Китайская Народная Республика, Южная Корея и Сингапур,</w:t>
            </w:r>
          </w:p>
          <w:bookmarkEnd w:id="206"/>
          <w:p>
            <w:pPr>
              <w:spacing w:after="20"/>
              <w:ind w:left="20"/>
              <w:jc w:val="both"/>
            </w:pPr>
            <w:r>
              <w:rPr>
                <w:rFonts w:ascii="Times New Roman"/>
                <w:b w:val="false"/>
                <w:i w:val="false"/>
                <w:color w:val="000000"/>
                <w:sz w:val="20"/>
              </w:rPr>
              <w:t>
Европейский союз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опережающего кадрового обеспечения. Основана на долгосрочном прогнозировании развития экономики, ориентирована на прорывные сферы. Государство эффективно исполняет роль модератора инновационного взаимодействия между университетами, государством и бизнесом концепции "Тройной спирали" (Triple Helix). Финансирование программ сбора осуществляется за счет государственного бюджета. Основной недостаток – динамично меняющиеся потребности рынка требуют регулярных (частых) форсайт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результатов форсайт исследований, атласа новых (будущих) профессий при формировании и актуализации образовательных программ. Краткосрочные курсы, серебряные университеты, развитие программ непрерывного образования (Lifelong Learning)</w:t>
            </w:r>
          </w:p>
        </w:tc>
      </w:tr>
    </w:tbl>
    <w:p>
      <w:pPr>
        <w:spacing w:after="0"/>
        <w:ind w:left="0"/>
        <w:jc w:val="left"/>
      </w:pPr>
      <w:r>
        <w:br/>
      </w:r>
      <w:r>
        <w:rPr>
          <w:rFonts w:ascii="Times New Roman"/>
          <w:b w:val="false"/>
          <w:i w:val="false"/>
          <w:color w:val="000000"/>
          <w:sz w:val="28"/>
        </w:rPr>
        <w:t>
</w:t>
      </w:r>
    </w:p>
    <w:bookmarkStart w:name="z244" w:id="207"/>
    <w:p>
      <w:pPr>
        <w:spacing w:after="0"/>
        <w:ind w:left="0"/>
        <w:jc w:val="both"/>
      </w:pPr>
      <w:r>
        <w:rPr>
          <w:rFonts w:ascii="Times New Roman"/>
          <w:b w:val="false"/>
          <w:i w:val="false"/>
          <w:color w:val="000000"/>
          <w:sz w:val="28"/>
        </w:rPr>
        <w:t>
      В глобальной практике выделяются три базовые государственные стратегии создания таких флагманов:</w:t>
      </w:r>
    </w:p>
    <w:bookmarkEnd w:id="207"/>
    <w:bookmarkStart w:name="z245" w:id="20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Отбор победителей": фокусное финансирование существующих вузов с наибольшим потенциалом (модель, выбранная Казахстаном для КАТИУ);</w:t>
      </w:r>
    </w:p>
    <w:bookmarkEnd w:id="208"/>
    <w:bookmarkStart w:name="z246" w:id="209"/>
    <w:p>
      <w:pPr>
        <w:spacing w:after="0"/>
        <w:ind w:left="0"/>
        <w:jc w:val="both"/>
      </w:pPr>
      <w:r>
        <w:rPr>
          <w:rFonts w:ascii="Times New Roman"/>
          <w:b w:val="false"/>
          <w:i w:val="false"/>
          <w:color w:val="000000"/>
          <w:sz w:val="28"/>
        </w:rPr>
        <w:t>
      "Формула гибрида": институциональное слияние нескольких университетов и НИИ для достижения синергетического эффекта (пример – Париж - Сакле);</w:t>
      </w:r>
    </w:p>
    <w:bookmarkEnd w:id="209"/>
    <w:bookmarkStart w:name="z247" w:id="210"/>
    <w:p>
      <w:pPr>
        <w:spacing w:after="0"/>
        <w:ind w:left="0"/>
        <w:jc w:val="both"/>
      </w:pPr>
      <w:r>
        <w:rPr>
          <w:rFonts w:ascii="Times New Roman"/>
          <w:b w:val="false"/>
          <w:i w:val="false"/>
          <w:color w:val="000000"/>
          <w:sz w:val="28"/>
        </w:rPr>
        <w:t>
      "Чистая доска": создание университета мирового уровня с нуля (пример – Назарбаев Университет).</w:t>
      </w:r>
    </w:p>
    <w:bookmarkEnd w:id="210"/>
    <w:bookmarkStart w:name="z248" w:id="211"/>
    <w:p>
      <w:pPr>
        <w:spacing w:after="0"/>
        <w:ind w:left="0"/>
        <w:jc w:val="both"/>
      </w:pPr>
      <w:r>
        <w:rPr>
          <w:rFonts w:ascii="Times New Roman"/>
          <w:b w:val="false"/>
          <w:i w:val="false"/>
          <w:color w:val="000000"/>
          <w:sz w:val="28"/>
        </w:rPr>
        <w:t>
      Диверсификация бюджетов ведущих вузов мира традиционно опирается на четыре источника: базовое государственное финансирование, коммерческие контракты с бизнесом (НИОКР), доходы от эндаумент-фондов (пожертвования) и плата за обучение.</w:t>
      </w:r>
    </w:p>
    <w:bookmarkEnd w:id="211"/>
    <w:bookmarkStart w:name="z249" w:id="212"/>
    <w:p>
      <w:pPr>
        <w:spacing w:after="0"/>
        <w:ind w:left="0"/>
        <w:jc w:val="both"/>
      </w:pPr>
      <w:r>
        <w:rPr>
          <w:rFonts w:ascii="Times New Roman"/>
          <w:b w:val="false"/>
          <w:i w:val="false"/>
          <w:color w:val="000000"/>
          <w:sz w:val="28"/>
        </w:rPr>
        <w:t>
      Рисунок 4. Модель опережающей подготовки кадров в КАТИУ</w:t>
      </w:r>
    </w:p>
    <w:bookmarkEnd w:id="212"/>
    <w:bookmarkStart w:name="z250" w:id="213"/>
    <w:p>
      <w:pPr>
        <w:spacing w:after="0"/>
        <w:ind w:left="0"/>
        <w:jc w:val="both"/>
      </w:pPr>
      <w:r>
        <w:rPr>
          <w:rFonts w:ascii="Times New Roman"/>
          <w:b w:val="false"/>
          <w:i w:val="false"/>
          <w:color w:val="000000"/>
          <w:sz w:val="28"/>
        </w:rPr>
        <w:t>
      Опыт США (Калифорнийский план): четкое разделение системы на исследовательские вузы, обучающие колледжи и открытые университеты. В исследовательских университетах до 2/3 бюджета науки покрывается долгосрочными государственными грантами, что обеспечивает финансовую стабильность и позволяет ученым фокусироваться на прорывных фундаментальных задачах. Объем государственного финансирования составляет более 12 тысяч долларов на одного обучающегося (без учета эндаументов).</w:t>
      </w:r>
    </w:p>
    <w:bookmarkEnd w:id="213"/>
    <w:bookmarkStart w:name="z251" w:id="214"/>
    <w:p>
      <w:pPr>
        <w:spacing w:after="0"/>
        <w:ind w:left="0"/>
        <w:jc w:val="both"/>
      </w:pPr>
      <w:r>
        <w:rPr>
          <w:rFonts w:ascii="Times New Roman"/>
          <w:b w:val="false"/>
          <w:i w:val="false"/>
          <w:color w:val="000000"/>
          <w:sz w:val="28"/>
        </w:rPr>
        <w:t>
      Опыт КНР (проекты 211, 985 и "Шуан и лю"): стратегические инвестиции в топ-100 вузов (выделяется более 1 % ВВП на развитие высшего образования) позволили Китаю за 20 лет совершить академический прорыв. Как результат – лавинообразный рост китайских вузов в Шанхайском рейтинге (ARWU), THE и QS, а также создание уникальных лабораторий за счет возвращения в страну ведущих ученых китайского происхождения из США.</w:t>
      </w:r>
    </w:p>
    <w:bookmarkEnd w:id="214"/>
    <w:bookmarkStart w:name="z252" w:id="215"/>
    <w:p>
      <w:pPr>
        <w:spacing w:after="0"/>
        <w:ind w:left="0"/>
        <w:jc w:val="both"/>
      </w:pPr>
      <w:r>
        <w:rPr>
          <w:rFonts w:ascii="Times New Roman"/>
          <w:b w:val="false"/>
          <w:i w:val="false"/>
          <w:color w:val="000000"/>
          <w:sz w:val="28"/>
        </w:rPr>
        <w:t>
      Опыт Сингапура (NUS): национальный университет Сингапура благодаря целевому государственному патронату вошел в топ-10 лучших университетов мира. Обладая годовым бюджетом более 200 млн долларов (формируемым за счет инвестиций, пожертвований и субсидий), университет привлекает лучших иностранных магистрантов (до 48 % от общего контингента) на грантовой основе, выполняя роль глобального интеллектуального магнита.</w:t>
      </w:r>
    </w:p>
    <w:bookmarkEnd w:id="215"/>
    <w:bookmarkStart w:name="z253" w:id="216"/>
    <w:p>
      <w:pPr>
        <w:spacing w:after="0"/>
        <w:ind w:left="0"/>
        <w:jc w:val="both"/>
      </w:pPr>
      <w:r>
        <w:rPr>
          <w:rFonts w:ascii="Times New Roman"/>
          <w:b w:val="false"/>
          <w:i w:val="false"/>
          <w:color w:val="000000"/>
          <w:sz w:val="28"/>
        </w:rPr>
        <w:t>
      Опыт Западной Европы: сравнительный анализ показывает, что вузы Великобритании и Швейцарии, демонстрирующие максимальные объемы финансирования в расчете на единицу ППС, стабильно доминируют над вузами Германии и Франции в международных рейтингах, подтверждая прямую зависимость качества результатов от уровня капитализации науки.</w:t>
      </w:r>
    </w:p>
    <w:bookmarkEnd w:id="216"/>
    <w:bookmarkStart w:name="z254"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Ключевые глобальные тренды, интегрируемые в деятельность КАТИУ до 2030 года </w:t>
      </w:r>
    </w:p>
    <w:bookmarkEnd w:id="217"/>
    <w:bookmarkStart w:name="z255" w:id="218"/>
    <w:p>
      <w:pPr>
        <w:spacing w:after="0"/>
        <w:ind w:left="0"/>
        <w:jc w:val="both"/>
      </w:pPr>
      <w:r>
        <w:rPr>
          <w:rFonts w:ascii="Times New Roman"/>
          <w:b w:val="false"/>
          <w:i w:val="false"/>
          <w:color w:val="000000"/>
          <w:sz w:val="28"/>
        </w:rPr>
        <w:t>
      Модель "Тройной спирали" (Triple Helix) и кластерный подход. Исследовательские аграрные университеты нового поколения трансформировались в ядра макрорегиональных инновационных кластеров. Яркие примеры: университет Вагенингена (WUR) – локомотив "голландского сельскохозяйственного чуда" и центр "Продовольственной долины" (Food Valley); университет Париж-Сакле – ядро европейской Кремниевой долины, объединившее ресурсы AgroParisTech, высших школ (Grandes Écoles) и бизнес-структур кластера Systematic.</w:t>
      </w:r>
    </w:p>
    <w:bookmarkEnd w:id="218"/>
    <w:bookmarkStart w:name="z256" w:id="219"/>
    <w:p>
      <w:pPr>
        <w:spacing w:after="0"/>
        <w:ind w:left="0"/>
        <w:jc w:val="both"/>
      </w:pPr>
      <w:r>
        <w:rPr>
          <w:rFonts w:ascii="Times New Roman"/>
          <w:b w:val="false"/>
          <w:i w:val="false"/>
          <w:color w:val="000000"/>
          <w:sz w:val="28"/>
        </w:rPr>
        <w:t>
      КАТИУ масштабирует этот опыт в Центральной Азии через интеграцию переданных дочерних организаций (НПЦЗХ имени А.И. Бараева, Северо-Казахстанский НИИСХ), формируя уникальную для Казахстана междисциплинарную экосистему, основанную на пяти критериях мирового класса:</w:t>
      </w:r>
    </w:p>
    <w:bookmarkEnd w:id="219"/>
    <w:bookmarkStart w:name="z257" w:id="220"/>
    <w:p>
      <w:pPr>
        <w:spacing w:after="0"/>
        <w:ind w:left="0"/>
        <w:jc w:val="both"/>
      </w:pPr>
      <w:r>
        <w:rPr>
          <w:rFonts w:ascii="Times New Roman"/>
          <w:b w:val="false"/>
          <w:i w:val="false"/>
          <w:color w:val="000000"/>
          <w:sz w:val="28"/>
        </w:rPr>
        <w:t>
      географическая концентрация умов, полей и лабораторий;</w:t>
      </w:r>
    </w:p>
    <w:bookmarkEnd w:id="220"/>
    <w:bookmarkStart w:name="z258" w:id="221"/>
    <w:p>
      <w:pPr>
        <w:spacing w:after="0"/>
        <w:ind w:left="0"/>
        <w:jc w:val="both"/>
      </w:pPr>
      <w:r>
        <w:rPr>
          <w:rFonts w:ascii="Times New Roman"/>
          <w:b w:val="false"/>
          <w:i w:val="false"/>
          <w:color w:val="000000"/>
          <w:sz w:val="28"/>
        </w:rPr>
        <w:t>
      кросс-функциональная и междисциплинарная среда;</w:t>
      </w:r>
    </w:p>
    <w:bookmarkEnd w:id="221"/>
    <w:bookmarkStart w:name="z259" w:id="222"/>
    <w:p>
      <w:pPr>
        <w:spacing w:after="0"/>
        <w:ind w:left="0"/>
        <w:jc w:val="both"/>
      </w:pPr>
      <w:r>
        <w:rPr>
          <w:rFonts w:ascii="Times New Roman"/>
          <w:b w:val="false"/>
          <w:i w:val="false"/>
          <w:color w:val="000000"/>
          <w:sz w:val="28"/>
        </w:rPr>
        <w:t>
      глубокая интеграция в международные исследовательские консорциумы;</w:t>
      </w:r>
    </w:p>
    <w:bookmarkEnd w:id="222"/>
    <w:bookmarkStart w:name="z260" w:id="223"/>
    <w:p>
      <w:pPr>
        <w:spacing w:after="0"/>
        <w:ind w:left="0"/>
        <w:jc w:val="both"/>
      </w:pPr>
      <w:r>
        <w:rPr>
          <w:rFonts w:ascii="Times New Roman"/>
          <w:b w:val="false"/>
          <w:i w:val="false"/>
          <w:color w:val="000000"/>
          <w:sz w:val="28"/>
        </w:rPr>
        <w:t>
      высокий индекс цитируемости человеческого потенциала;</w:t>
      </w:r>
    </w:p>
    <w:bookmarkEnd w:id="223"/>
    <w:bookmarkStart w:name="z261" w:id="224"/>
    <w:p>
      <w:pPr>
        <w:spacing w:after="0"/>
        <w:ind w:left="0"/>
        <w:jc w:val="both"/>
      </w:pPr>
      <w:r>
        <w:rPr>
          <w:rFonts w:ascii="Times New Roman"/>
          <w:b w:val="false"/>
          <w:i w:val="false"/>
          <w:color w:val="000000"/>
          <w:sz w:val="28"/>
        </w:rPr>
        <w:t>
      наличие сквозной цепочки: "фундаментальная наука – эксперимент – коммерческое производство".</w:t>
      </w:r>
    </w:p>
    <w:bookmarkEnd w:id="224"/>
    <w:bookmarkStart w:name="z262" w:id="225"/>
    <w:p>
      <w:pPr>
        <w:spacing w:after="0"/>
        <w:ind w:left="0"/>
        <w:jc w:val="both"/>
      </w:pPr>
      <w:r>
        <w:rPr>
          <w:rFonts w:ascii="Times New Roman"/>
          <w:b w:val="false"/>
          <w:i w:val="false"/>
          <w:color w:val="000000"/>
          <w:sz w:val="28"/>
        </w:rPr>
        <w:t>
      Цифровизация и Smart-farming. Мировой тренд тотального проникновения Big Data, интернета вещей (IoT), роботизации и беспилотных систем в АПК требует перехода КАТИУ к концепции "Цифрового исследовательского университета". Это подразумевает создание цифровых двойников (Digital Twins) опытных полей, внедрение ИИ-аналитики в селекционные процессы и тотальную цифровизацию управления образовательными траекториями обучающихся.</w:t>
      </w:r>
    </w:p>
    <w:bookmarkEnd w:id="225"/>
    <w:bookmarkStart w:name="z263" w:id="226"/>
    <w:p>
      <w:pPr>
        <w:spacing w:after="0"/>
        <w:ind w:left="0"/>
        <w:jc w:val="both"/>
      </w:pPr>
      <w:r>
        <w:rPr>
          <w:rFonts w:ascii="Times New Roman"/>
          <w:b w:val="false"/>
          <w:i w:val="false"/>
          <w:color w:val="000000"/>
          <w:sz w:val="28"/>
        </w:rPr>
        <w:t>
      Интернационализация науки и экспоненциальная массификация. Глобальный спрос на высшее образование (рост контингента в мире со 100 до 200 млн человек с 2000 года по данным Организации экономического сотрудничества и развития) диктует новые правила. КАТИУ отвечает на этот вызов интеграцией массовых открытых онлайн-курсов в традиционный учебный процесс. Одновременно с этим вуз форсирует открытие совместных институтов и кампусов зарубежных университетов-партнеров для удержания талантливой казахстанской молодежи внутри страновой экосистемы.</w:t>
      </w:r>
    </w:p>
    <w:bookmarkEnd w:id="226"/>
    <w:bookmarkStart w:name="z264" w:id="227"/>
    <w:p>
      <w:pPr>
        <w:spacing w:after="0"/>
        <w:ind w:left="0"/>
        <w:jc w:val="both"/>
      </w:pPr>
      <w:r>
        <w:rPr>
          <w:rFonts w:ascii="Times New Roman"/>
          <w:b w:val="false"/>
          <w:i w:val="false"/>
          <w:color w:val="000000"/>
          <w:sz w:val="28"/>
        </w:rPr>
        <w:t>
      Непрерывное образование (Lifelong Learning). В связи с увеличением продолжительности активной жизни населения и быстрой девальвацией профессиональных навыков КАТИУ развивает институты неформального образования, краткосрочной переподготовки кадров АПК и проект "Серебряный университет" (Silver University), обеспечивая интеграцию и признание результатов неформального обучения взрослых.</w:t>
      </w:r>
    </w:p>
    <w:bookmarkEnd w:id="227"/>
    <w:bookmarkStart w:name="z265" w:id="228"/>
    <w:p>
      <w:pPr>
        <w:spacing w:after="0"/>
        <w:ind w:left="0"/>
        <w:jc w:val="both"/>
      </w:pPr>
      <w:r>
        <w:rPr>
          <w:rFonts w:ascii="Times New Roman"/>
          <w:b w:val="false"/>
          <w:i w:val="false"/>
          <w:color w:val="000000"/>
          <w:sz w:val="28"/>
        </w:rPr>
        <w:t>
      Социальная миссия (третья миссия университета). КАТИУ перерастает рамки сугубо образовательного учреждения, принимая на себя роль главного драйвера устойчивого развития сельских территорий Казахстана. Практическая реализация третьей миссии вуза до 2030 года включает:</w:t>
      </w:r>
    </w:p>
    <w:bookmarkEnd w:id="228"/>
    <w:bookmarkStart w:name="z266" w:id="229"/>
    <w:p>
      <w:pPr>
        <w:spacing w:after="0"/>
        <w:ind w:left="0"/>
        <w:jc w:val="both"/>
      </w:pPr>
      <w:r>
        <w:rPr>
          <w:rFonts w:ascii="Times New Roman"/>
          <w:b w:val="false"/>
          <w:i w:val="false"/>
          <w:color w:val="000000"/>
          <w:sz w:val="28"/>
        </w:rPr>
        <w:t>
      прямой консалтинг фермеров и субъектов АПК через расширение сети Офиса "Extension – KATU";</w:t>
      </w:r>
    </w:p>
    <w:bookmarkEnd w:id="229"/>
    <w:bookmarkStart w:name="z267" w:id="230"/>
    <w:p>
      <w:pPr>
        <w:spacing w:after="0"/>
        <w:ind w:left="0"/>
        <w:jc w:val="both"/>
      </w:pPr>
      <w:r>
        <w:rPr>
          <w:rFonts w:ascii="Times New Roman"/>
          <w:b w:val="false"/>
          <w:i w:val="false"/>
          <w:color w:val="000000"/>
          <w:sz w:val="28"/>
        </w:rPr>
        <w:t>
      проведение прикладных научных исследований под прямые технологические запросы отечественных аграрных предприятий;</w:t>
      </w:r>
    </w:p>
    <w:bookmarkEnd w:id="230"/>
    <w:bookmarkStart w:name="z268" w:id="231"/>
    <w:p>
      <w:pPr>
        <w:spacing w:after="0"/>
        <w:ind w:left="0"/>
        <w:jc w:val="both"/>
      </w:pPr>
      <w:r>
        <w:rPr>
          <w:rFonts w:ascii="Times New Roman"/>
          <w:b w:val="false"/>
          <w:i w:val="false"/>
          <w:color w:val="000000"/>
          <w:sz w:val="28"/>
        </w:rPr>
        <w:t>
      формирование гражданской позиции, экологической культуры и патриотизма у сельской молодежи, увязывая академические ценности с продовольственной безопасностью государства.</w:t>
      </w:r>
    </w:p>
    <w:bookmarkEnd w:id="231"/>
    <w:p>
      <w:pPr>
        <w:spacing w:after="0"/>
        <w:ind w:left="0"/>
        <w:jc w:val="both"/>
      </w:pPr>
      <w:r>
        <w:rPr>
          <w:rFonts w:ascii="Times New Roman"/>
          <w:b/>
          <w:i w:val="false"/>
          <w:color w:val="000000"/>
          <w:sz w:val="28"/>
        </w:rPr>
        <w:t>Подраздел 3.3 Прогноз развития и определение возможных сценариев развития и их влияния на некоммерческое акционерное общество "Казахский агротехнический исследовательский университет имени Сакена Сейфуллина"</w:t>
      </w:r>
    </w:p>
    <w:bookmarkStart w:name="z270" w:id="232"/>
    <w:p>
      <w:pPr>
        <w:spacing w:after="0"/>
        <w:ind w:left="0"/>
        <w:jc w:val="both"/>
      </w:pPr>
      <w:r>
        <w:rPr>
          <w:rFonts w:ascii="Times New Roman"/>
          <w:b w:val="false"/>
          <w:i w:val="false"/>
          <w:color w:val="000000"/>
          <w:sz w:val="28"/>
        </w:rPr>
        <w:t>
      Деструктивный анализ институциональных разрывов в сфере аграрного образования и науки. В Республике Казахстан свыше 50 % кадров для АПК формируется на базе трех профильных сельскохозяйственных университетов и 20 региональных вузов. Ключевым барьером на пути к устойчивому развитию отрасли остается системное несоответствие качества подготовки выпускников реальным ожиданиям работодателей.</w:t>
      </w:r>
    </w:p>
    <w:bookmarkEnd w:id="232"/>
    <w:bookmarkStart w:name="z271" w:id="233"/>
    <w:p>
      <w:pPr>
        <w:spacing w:after="0"/>
        <w:ind w:left="0"/>
        <w:jc w:val="both"/>
      </w:pPr>
      <w:r>
        <w:rPr>
          <w:rFonts w:ascii="Times New Roman"/>
          <w:b w:val="false"/>
          <w:i w:val="false"/>
          <w:color w:val="000000"/>
          <w:sz w:val="28"/>
        </w:rPr>
        <w:t>
      Дефицит в сфере подготовки кадров:</w:t>
      </w:r>
    </w:p>
    <w:bookmarkEnd w:id="233"/>
    <w:bookmarkStart w:name="z272" w:id="234"/>
    <w:p>
      <w:pPr>
        <w:spacing w:after="0"/>
        <w:ind w:left="0"/>
        <w:jc w:val="both"/>
      </w:pPr>
      <w:r>
        <w:rPr>
          <w:rFonts w:ascii="Times New Roman"/>
          <w:b w:val="false"/>
          <w:i w:val="false"/>
          <w:color w:val="000000"/>
          <w:sz w:val="28"/>
        </w:rPr>
        <w:t>
      академический догматизм: преобладание теоретических знаний над практическими кейсами, что лишает выпускников способности самостоятельно принимать гибкие операционные решения в нестандартных производственных ситуациях;</w:t>
      </w:r>
    </w:p>
    <w:bookmarkEnd w:id="234"/>
    <w:bookmarkStart w:name="z273" w:id="235"/>
    <w:p>
      <w:pPr>
        <w:spacing w:after="0"/>
        <w:ind w:left="0"/>
        <w:jc w:val="both"/>
      </w:pPr>
      <w:r>
        <w:rPr>
          <w:rFonts w:ascii="Times New Roman"/>
          <w:b w:val="false"/>
          <w:i w:val="false"/>
          <w:color w:val="000000"/>
          <w:sz w:val="28"/>
        </w:rPr>
        <w:t>
      компетентностный лаг: стремительное устаревание ключевых навыков и критический недостаток знаний о передовых цифровых и биотехнологических инновациях в АПК;</w:t>
      </w:r>
    </w:p>
    <w:bookmarkEnd w:id="235"/>
    <w:bookmarkStart w:name="z274" w:id="236"/>
    <w:p>
      <w:pPr>
        <w:spacing w:after="0"/>
        <w:ind w:left="0"/>
        <w:jc w:val="both"/>
      </w:pPr>
      <w:r>
        <w:rPr>
          <w:rFonts w:ascii="Times New Roman"/>
          <w:b w:val="false"/>
          <w:i w:val="false"/>
          <w:color w:val="000000"/>
          <w:sz w:val="28"/>
        </w:rPr>
        <w:t>
      жесткость образовательных траекторий: отсутствие гибкости в образовательных программах (ОП), ориентирующее обучающегося на узкоспециализированную, рутинную деятельность, что снижает его мобильность и адаптивность на смежных рынках труда;</w:t>
      </w:r>
    </w:p>
    <w:bookmarkEnd w:id="236"/>
    <w:bookmarkStart w:name="z275" w:id="237"/>
    <w:p>
      <w:pPr>
        <w:spacing w:after="0"/>
        <w:ind w:left="0"/>
        <w:jc w:val="both"/>
      </w:pPr>
      <w:r>
        <w:rPr>
          <w:rFonts w:ascii="Times New Roman"/>
          <w:b w:val="false"/>
          <w:i w:val="false"/>
          <w:color w:val="000000"/>
          <w:sz w:val="28"/>
        </w:rPr>
        <w:t>
      технологический разрыв МТБ: материально-техническая база большинства вузов морально устарела и существенно уступает по уровню оснащения флагманам отечественного агробизнеса.</w:t>
      </w:r>
    </w:p>
    <w:bookmarkEnd w:id="237"/>
    <w:bookmarkStart w:name="z276" w:id="238"/>
    <w:p>
      <w:pPr>
        <w:spacing w:after="0"/>
        <w:ind w:left="0"/>
        <w:jc w:val="both"/>
      </w:pPr>
      <w:r>
        <w:rPr>
          <w:rFonts w:ascii="Times New Roman"/>
          <w:b w:val="false"/>
          <w:i w:val="false"/>
          <w:color w:val="000000"/>
          <w:sz w:val="28"/>
        </w:rPr>
        <w:t>
      Дополнительным деструктивным фактором выступает низкая привлекательность трудоустройства на селе для молодых специалистов. Это обусловлено неконкурентным уровнем оплаты труда, высокой физической нагрузкой и неразвитостью базовой социальной инфраструктуры сельских территорий (дефицит качественных дорог, систем центрального отопления, водоснабжения, а также низкое качество локального здравоохранения и среднего образования).</w:t>
      </w:r>
    </w:p>
    <w:bookmarkEnd w:id="238"/>
    <w:bookmarkStart w:name="z277" w:id="239"/>
    <w:p>
      <w:pPr>
        <w:spacing w:after="0"/>
        <w:ind w:left="0"/>
        <w:jc w:val="both"/>
      </w:pPr>
      <w:r>
        <w:rPr>
          <w:rFonts w:ascii="Times New Roman"/>
          <w:b w:val="false"/>
          <w:i w:val="false"/>
          <w:color w:val="000000"/>
          <w:sz w:val="28"/>
        </w:rPr>
        <w:t>
      Дефицит в сфере научного обеспечения АПК:</w:t>
      </w:r>
    </w:p>
    <w:bookmarkEnd w:id="239"/>
    <w:bookmarkStart w:name="z278" w:id="240"/>
    <w:p>
      <w:pPr>
        <w:spacing w:after="0"/>
        <w:ind w:left="0"/>
        <w:jc w:val="both"/>
      </w:pPr>
      <w:r>
        <w:rPr>
          <w:rFonts w:ascii="Times New Roman"/>
          <w:b w:val="false"/>
          <w:i w:val="false"/>
          <w:color w:val="000000"/>
          <w:sz w:val="28"/>
        </w:rPr>
        <w:t>
      Сельскохозяйственные товаропроизводители констатируют низкую применимость отечественных научных разработок и их слабую конкурентоспособность по сравнению с импортными аналогами. Основными причинами этого являются:</w:t>
      </w:r>
    </w:p>
    <w:bookmarkEnd w:id="240"/>
    <w:bookmarkStart w:name="z279" w:id="241"/>
    <w:p>
      <w:pPr>
        <w:spacing w:after="0"/>
        <w:ind w:left="0"/>
        <w:jc w:val="both"/>
      </w:pPr>
      <w:r>
        <w:rPr>
          <w:rFonts w:ascii="Times New Roman"/>
          <w:b w:val="false"/>
          <w:i w:val="false"/>
          <w:color w:val="000000"/>
          <w:sz w:val="28"/>
        </w:rPr>
        <w:t>
      отсутствие национального технологического форсайта в АПК, что приводит к хаотичному планированию тем исследований в отрыве от реальных рыночных трендов;</w:t>
      </w:r>
    </w:p>
    <w:bookmarkEnd w:id="241"/>
    <w:bookmarkStart w:name="z280" w:id="242"/>
    <w:p>
      <w:pPr>
        <w:spacing w:after="0"/>
        <w:ind w:left="0"/>
        <w:jc w:val="both"/>
      </w:pPr>
      <w:r>
        <w:rPr>
          <w:rFonts w:ascii="Times New Roman"/>
          <w:b w:val="false"/>
          <w:i w:val="false"/>
          <w:color w:val="000000"/>
          <w:sz w:val="28"/>
        </w:rPr>
        <w:t>
      слабая междисциплинарность: фундаментальные исследования изолированы от прикладных задач, что препятствует сквозному проектированию готовых коммерческих продуктов;</w:t>
      </w:r>
    </w:p>
    <w:bookmarkEnd w:id="242"/>
    <w:bookmarkStart w:name="z281" w:id="243"/>
    <w:p>
      <w:pPr>
        <w:spacing w:after="0"/>
        <w:ind w:left="0"/>
        <w:jc w:val="both"/>
      </w:pPr>
      <w:r>
        <w:rPr>
          <w:rFonts w:ascii="Times New Roman"/>
          <w:b w:val="false"/>
          <w:i w:val="false"/>
          <w:color w:val="000000"/>
          <w:sz w:val="28"/>
        </w:rPr>
        <w:t>
      лингвистический и академический барьеры: недостаточный уровень владения профильным английским языком среди ученых замедляет интеграцию КАТИУ в глобальное научно-образовательное пространство;</w:t>
      </w:r>
    </w:p>
    <w:bookmarkEnd w:id="243"/>
    <w:bookmarkStart w:name="z282" w:id="244"/>
    <w:p>
      <w:pPr>
        <w:spacing w:after="0"/>
        <w:ind w:left="0"/>
        <w:jc w:val="both"/>
      </w:pPr>
      <w:r>
        <w:rPr>
          <w:rFonts w:ascii="Times New Roman"/>
          <w:b w:val="false"/>
          <w:i w:val="false"/>
          <w:color w:val="000000"/>
          <w:sz w:val="28"/>
        </w:rPr>
        <w:t>
      критическое недофинансирование: в то время как развитые аграрные страны инвестируют в аграрную науку из государственных источников от 1 % (США, КНР) до 3 % (Австралия, Франция) от валового внутреннего продукта отрасли, в Казахстане данный показатель исторически колеблется в пределах 0,12 %–0,15 %.</w:t>
      </w:r>
    </w:p>
    <w:bookmarkEnd w:id="244"/>
    <w:bookmarkStart w:name="z283" w:id="245"/>
    <w:p>
      <w:pPr>
        <w:spacing w:after="0"/>
        <w:ind w:left="0"/>
        <w:jc w:val="both"/>
      </w:pPr>
      <w:r>
        <w:rPr>
          <w:rFonts w:ascii="Times New Roman"/>
          <w:b w:val="false"/>
          <w:i w:val="false"/>
          <w:color w:val="000000"/>
          <w:sz w:val="28"/>
        </w:rPr>
        <w:t>
      Глобальные технологические тренды и прогностические инструменты рынка труда. Для минимизации рисков глобализации КАТИУ ориентируется на долгосрочное прогнозирование кадровой потребности. Технологический прогресс меняет структуру занятости: профессии, связанные с выполнением рутинных операций, замещаются автоматизированными системами, резко повышая спрос на высококвалифицированный инженерный и исследовательский капитал.</w:t>
      </w:r>
    </w:p>
    <w:bookmarkEnd w:id="245"/>
    <w:bookmarkStart w:name="z284" w:id="246"/>
    <w:p>
      <w:pPr>
        <w:spacing w:after="0"/>
        <w:ind w:left="0"/>
        <w:jc w:val="both"/>
      </w:pPr>
      <w:r>
        <w:rPr>
          <w:rFonts w:ascii="Times New Roman"/>
          <w:b w:val="false"/>
          <w:i w:val="false"/>
          <w:color w:val="000000"/>
          <w:sz w:val="28"/>
        </w:rPr>
        <w:t>
      На основе метаанализа данных международных библиографических платформ (Scopus, Web of Science) и опросов топ-менеджмента глобального агробизнеса выделены 10 ключевых технологических трендов, определяющих ландшафт АПК до 2030 года:</w:t>
      </w:r>
    </w:p>
    <w:bookmarkEnd w:id="246"/>
    <w:bookmarkStart w:name="z285" w:id="247"/>
    <w:p>
      <w:pPr>
        <w:spacing w:after="0"/>
        <w:ind w:left="0"/>
        <w:jc w:val="both"/>
      </w:pPr>
      <w:r>
        <w:rPr>
          <w:rFonts w:ascii="Times New Roman"/>
          <w:b w:val="false"/>
          <w:i w:val="false"/>
          <w:color w:val="000000"/>
          <w:sz w:val="28"/>
        </w:rPr>
        <w:t>
      1) сквозные цифровые технологии (Big Data, IoT, блокчейн в цепочках поставок);</w:t>
      </w:r>
    </w:p>
    <w:bookmarkEnd w:id="247"/>
    <w:bookmarkStart w:name="z286" w:id="248"/>
    <w:p>
      <w:pPr>
        <w:spacing w:after="0"/>
        <w:ind w:left="0"/>
        <w:jc w:val="both"/>
      </w:pPr>
      <w:r>
        <w:rPr>
          <w:rFonts w:ascii="Times New Roman"/>
          <w:b w:val="false"/>
          <w:i w:val="false"/>
          <w:color w:val="000000"/>
          <w:sz w:val="28"/>
        </w:rPr>
        <w:t>
      2) роботизированные комплексы и беспилотная автоматизированная техника;</w:t>
      </w:r>
    </w:p>
    <w:bookmarkEnd w:id="248"/>
    <w:bookmarkStart w:name="z287" w:id="249"/>
    <w:p>
      <w:pPr>
        <w:spacing w:after="0"/>
        <w:ind w:left="0"/>
        <w:jc w:val="both"/>
      </w:pPr>
      <w:r>
        <w:rPr>
          <w:rFonts w:ascii="Times New Roman"/>
          <w:b w:val="false"/>
          <w:i w:val="false"/>
          <w:color w:val="000000"/>
          <w:sz w:val="28"/>
        </w:rPr>
        <w:t>
      3) системы точного земледелия (Precision Agriculture) и сенсорика;</w:t>
      </w:r>
    </w:p>
    <w:bookmarkEnd w:id="249"/>
    <w:bookmarkStart w:name="z288" w:id="250"/>
    <w:p>
      <w:pPr>
        <w:spacing w:after="0"/>
        <w:ind w:left="0"/>
        <w:jc w:val="both"/>
      </w:pPr>
      <w:r>
        <w:rPr>
          <w:rFonts w:ascii="Times New Roman"/>
          <w:b w:val="false"/>
          <w:i w:val="false"/>
          <w:color w:val="000000"/>
          <w:sz w:val="28"/>
        </w:rPr>
        <w:t>
      4) интеллектуальные системы поддержки принятия решений (DSS);</w:t>
      </w:r>
    </w:p>
    <w:bookmarkEnd w:id="250"/>
    <w:bookmarkStart w:name="z289" w:id="251"/>
    <w:p>
      <w:pPr>
        <w:spacing w:after="0"/>
        <w:ind w:left="0"/>
        <w:jc w:val="both"/>
      </w:pPr>
      <w:r>
        <w:rPr>
          <w:rFonts w:ascii="Times New Roman"/>
          <w:b w:val="false"/>
          <w:i w:val="false"/>
          <w:color w:val="000000"/>
          <w:sz w:val="28"/>
        </w:rPr>
        <w:t>
      5) искусственный интеллект и машинное обучение в селекции и ветеринарии;</w:t>
      </w:r>
    </w:p>
    <w:bookmarkEnd w:id="251"/>
    <w:bookmarkStart w:name="z290" w:id="252"/>
    <w:p>
      <w:pPr>
        <w:spacing w:after="0"/>
        <w:ind w:left="0"/>
        <w:jc w:val="both"/>
      </w:pPr>
      <w:r>
        <w:rPr>
          <w:rFonts w:ascii="Times New Roman"/>
          <w:b w:val="false"/>
          <w:i w:val="false"/>
          <w:color w:val="000000"/>
          <w:sz w:val="28"/>
        </w:rPr>
        <w:t>
      6) нанотехнологии (наноудобрения, целевая доставка препаратов);</w:t>
      </w:r>
    </w:p>
    <w:bookmarkEnd w:id="252"/>
    <w:bookmarkStart w:name="z291" w:id="253"/>
    <w:p>
      <w:pPr>
        <w:spacing w:after="0"/>
        <w:ind w:left="0"/>
        <w:jc w:val="both"/>
      </w:pPr>
      <w:r>
        <w:rPr>
          <w:rFonts w:ascii="Times New Roman"/>
          <w:b w:val="false"/>
          <w:i w:val="false"/>
          <w:color w:val="000000"/>
          <w:sz w:val="28"/>
        </w:rPr>
        <w:t>
      7) агробиотехнологии (генное редактирование, биометоды защиты растений);</w:t>
      </w:r>
    </w:p>
    <w:bookmarkEnd w:id="253"/>
    <w:bookmarkStart w:name="z292" w:id="254"/>
    <w:p>
      <w:pPr>
        <w:spacing w:after="0"/>
        <w:ind w:left="0"/>
        <w:jc w:val="both"/>
      </w:pPr>
      <w:r>
        <w:rPr>
          <w:rFonts w:ascii="Times New Roman"/>
          <w:b w:val="false"/>
          <w:i w:val="false"/>
          <w:color w:val="000000"/>
          <w:sz w:val="28"/>
        </w:rPr>
        <w:t>
      8) синтетическая биология и переход к альтернативным источникам питания;</w:t>
      </w:r>
    </w:p>
    <w:bookmarkEnd w:id="254"/>
    <w:bookmarkStart w:name="z293" w:id="255"/>
    <w:p>
      <w:pPr>
        <w:spacing w:after="0"/>
        <w:ind w:left="0"/>
        <w:jc w:val="both"/>
      </w:pPr>
      <w:r>
        <w:rPr>
          <w:rFonts w:ascii="Times New Roman"/>
          <w:b w:val="false"/>
          <w:i w:val="false"/>
          <w:color w:val="000000"/>
          <w:sz w:val="28"/>
        </w:rPr>
        <w:t>
      9) закрытые экосистемы земледелия (вертикальные и контейнерные фермы, аэропоника);</w:t>
      </w:r>
    </w:p>
    <w:bookmarkEnd w:id="255"/>
    <w:bookmarkStart w:name="z294" w:id="256"/>
    <w:p>
      <w:pPr>
        <w:spacing w:after="0"/>
        <w:ind w:left="0"/>
        <w:jc w:val="both"/>
      </w:pPr>
      <w:r>
        <w:rPr>
          <w:rFonts w:ascii="Times New Roman"/>
          <w:b w:val="false"/>
          <w:i w:val="false"/>
          <w:color w:val="000000"/>
          <w:sz w:val="28"/>
        </w:rPr>
        <w:t>
      10) декарбонизация АПК и технологии снижения эмиссии парниковых газов.</w:t>
      </w:r>
    </w:p>
    <w:bookmarkEnd w:id="256"/>
    <w:bookmarkStart w:name="z295" w:id="257"/>
    <w:p>
      <w:pPr>
        <w:spacing w:after="0"/>
        <w:ind w:left="0"/>
        <w:jc w:val="both"/>
      </w:pPr>
      <w:r>
        <w:rPr>
          <w:rFonts w:ascii="Times New Roman"/>
          <w:b w:val="false"/>
          <w:i w:val="false"/>
          <w:color w:val="000000"/>
          <w:sz w:val="28"/>
        </w:rPr>
        <w:t>
      Инструмент предиктивного планирования: КАТИУ осуществляет проектирование и актуализацию образовательных программ на основе атласа новых профессий и компетенций Казахстана, разработанного Министерством труда и социальной защиты населения Республики Казахстан. Это позволяет вузу своевременно внедрять новые дисциплины и закрывать дефицит специалистов по перспективным направлениям аграрного сектора.</w:t>
      </w:r>
    </w:p>
    <w:bookmarkEnd w:id="257"/>
    <w:bookmarkStart w:name="z296" w:id="258"/>
    <w:p>
      <w:pPr>
        <w:spacing w:after="0"/>
        <w:ind w:left="0"/>
        <w:jc w:val="both"/>
      </w:pPr>
      <w:r>
        <w:rPr>
          <w:rFonts w:ascii="Times New Roman"/>
          <w:b w:val="false"/>
          <w:i w:val="false"/>
          <w:color w:val="000000"/>
          <w:sz w:val="28"/>
        </w:rPr>
        <w:t>
      Сценарное прогнозирование развития КАТИУ до 2030 года. Влияние глобальных вызовов и внутреннего дефицита на развитие университета может развиваться по двум основным сценариям (таблица 11).</w:t>
      </w:r>
    </w:p>
    <w:bookmarkEnd w:id="258"/>
    <w:bookmarkStart w:name="z297" w:id="259"/>
    <w:p>
      <w:pPr>
        <w:spacing w:after="0"/>
        <w:ind w:left="0"/>
        <w:jc w:val="both"/>
      </w:pPr>
      <w:r>
        <w:rPr>
          <w:rFonts w:ascii="Times New Roman"/>
          <w:b w:val="false"/>
          <w:i w:val="false"/>
          <w:color w:val="000000"/>
          <w:sz w:val="28"/>
        </w:rPr>
        <w:t>
      Университет осуществляет стратегическое управление в рамках целевого (трансформационного) сценария, что требует пересборки требований к результатам обучения.</w:t>
      </w:r>
    </w:p>
    <w:bookmarkEnd w:id="259"/>
    <w:bookmarkStart w:name="z298" w:id="260"/>
    <w:p>
      <w:pPr>
        <w:spacing w:after="0"/>
        <w:ind w:left="0"/>
        <w:jc w:val="both"/>
      </w:pPr>
      <w:r>
        <w:rPr>
          <w:rFonts w:ascii="Times New Roman"/>
          <w:b w:val="false"/>
          <w:i w:val="false"/>
          <w:color w:val="000000"/>
          <w:sz w:val="28"/>
        </w:rPr>
        <w:t>
      Таблица 11. Сценарное прогнозирование развития КАТИУ до 2030 года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Инерционный сценарий (стагнация)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сценарий (трансформационный)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Суть сценария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 сохраняет классическую академическую структуру. Изменения носят косметический характер, реагируя лишь на прямые директивы регулятора.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трансформация КАТИУ в исследовательский агротехнологический хаб международного уровня на принципе "Тройная спираль".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ОП и кадры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теоретических программ. Усиление кадрового голода из-за старения ППС. Падение конкурентоспособности выпускников.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траектории (Major/Minor), ОП на стыке IT и биотехнологий. Приток молодых ученых за счет роста финансирования НИОКР.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науку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функционирует ради освоения грантов и валовых отчетов. Низкий уровень коммерциализации. Изоляция от мирового сообщества.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форсайтов. Запуск мега-проектов под запросы бизнеса. Рост доходов от коммерциализации РННТД до 40 % бюджета вуза.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для университета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статуса исследовательского университета, переход в категорию региональных обучающих вузов, отток талантов.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требования к скорости управленческих решений, необходимость жесткого контроля за финансовой эффективностью дочерних НПЦ.</w:t>
            </w:r>
          </w:p>
        </w:tc>
      </w:tr>
    </w:tbl>
    <w:p>
      <w:pPr>
        <w:spacing w:after="0"/>
        <w:ind w:left="0"/>
        <w:jc w:val="left"/>
      </w:pPr>
      <w:r>
        <w:br/>
      </w:r>
      <w:r>
        <w:rPr>
          <w:rFonts w:ascii="Times New Roman"/>
          <w:b w:val="false"/>
          <w:i w:val="false"/>
          <w:color w:val="000000"/>
          <w:sz w:val="28"/>
        </w:rPr>
        <w:t>
</w:t>
      </w:r>
    </w:p>
    <w:bookmarkStart w:name="z299" w:id="261"/>
    <w:p>
      <w:pPr>
        <w:spacing w:after="0"/>
        <w:ind w:left="0"/>
        <w:jc w:val="both"/>
      </w:pPr>
      <w:r>
        <w:rPr>
          <w:rFonts w:ascii="Times New Roman"/>
          <w:b w:val="false"/>
          <w:i w:val="false"/>
          <w:color w:val="000000"/>
          <w:sz w:val="28"/>
        </w:rPr>
        <w:t>
      Портрет выпускника новой формации и концепция "Social GPA". Современный рынок труда формирует жесткий запрос на специалистов нового типа, сочетающих в себе роли глубоких экспертов и гибких исследователей. Портрет выпускника КАТИУ включает четыре базисных блока компетенций:</w:t>
      </w:r>
    </w:p>
    <w:bookmarkEnd w:id="261"/>
    <w:bookmarkStart w:name="z300" w:id="262"/>
    <w:p>
      <w:pPr>
        <w:spacing w:after="0"/>
        <w:ind w:left="0"/>
        <w:jc w:val="both"/>
      </w:pPr>
      <w:r>
        <w:rPr>
          <w:rFonts w:ascii="Times New Roman"/>
          <w:b w:val="false"/>
          <w:i w:val="false"/>
          <w:color w:val="000000"/>
          <w:sz w:val="28"/>
        </w:rPr>
        <w:t>
      экспертно-аналитическое знание: способность проводить высокоуровневую научную, технологическую и экономическую экспертизу процессов в АПК;</w:t>
      </w:r>
    </w:p>
    <w:bookmarkEnd w:id="262"/>
    <w:bookmarkStart w:name="z301" w:id="263"/>
    <w:p>
      <w:pPr>
        <w:spacing w:after="0"/>
        <w:ind w:left="0"/>
        <w:jc w:val="both"/>
      </w:pPr>
      <w:r>
        <w:rPr>
          <w:rFonts w:ascii="Times New Roman"/>
          <w:b w:val="false"/>
          <w:i w:val="false"/>
          <w:color w:val="000000"/>
          <w:sz w:val="28"/>
        </w:rPr>
        <w:t>
      практико-ориентированная инновационность: владение инструментами коммерциализации, способность развернуть стартап или трансформировать научную гипотезу в работающую производственную технологию;</w:t>
      </w:r>
    </w:p>
    <w:bookmarkEnd w:id="263"/>
    <w:bookmarkStart w:name="z302" w:id="264"/>
    <w:p>
      <w:pPr>
        <w:spacing w:after="0"/>
        <w:ind w:left="0"/>
        <w:jc w:val="both"/>
      </w:pPr>
      <w:r>
        <w:rPr>
          <w:rFonts w:ascii="Times New Roman"/>
          <w:b w:val="false"/>
          <w:i w:val="false"/>
          <w:color w:val="000000"/>
          <w:sz w:val="28"/>
        </w:rPr>
        <w:t>
      исследовательская рефлексия: развитое критическое мышление, готовность к непрерывному обучению (Lifelong Learning) и адаптации к изменяющимся макроэкологическим и экономическим условиям;</w:t>
      </w:r>
    </w:p>
    <w:bookmarkEnd w:id="264"/>
    <w:bookmarkStart w:name="z303" w:id="265"/>
    <w:p>
      <w:pPr>
        <w:spacing w:after="0"/>
        <w:ind w:left="0"/>
        <w:jc w:val="both"/>
      </w:pPr>
      <w:r>
        <w:rPr>
          <w:rFonts w:ascii="Times New Roman"/>
          <w:b w:val="false"/>
          <w:i w:val="false"/>
          <w:color w:val="000000"/>
          <w:sz w:val="28"/>
        </w:rPr>
        <w:t>
      культурно-гуманитарная синергия: умение рассматривать научно-технические достижения через призму социальных, экологических и этических контекстов, понимание принципов экологической, социальной и управленческой ответственности (Environmental, Social, Governance) (далее – ESG).</w:t>
      </w:r>
    </w:p>
    <w:bookmarkEnd w:id="265"/>
    <w:bookmarkStart w:name="z304" w:id="266"/>
    <w:p>
      <w:pPr>
        <w:spacing w:after="0"/>
        <w:ind w:left="0"/>
        <w:jc w:val="both"/>
      </w:pPr>
      <w:r>
        <w:rPr>
          <w:rFonts w:ascii="Times New Roman"/>
          <w:b w:val="false"/>
          <w:i w:val="false"/>
          <w:color w:val="000000"/>
          <w:sz w:val="28"/>
        </w:rPr>
        <w:t>
      Инновационный маркер: внедрение "Social GPA". Успешный обучающийся исследовательского университета – это не только академический лидер, но и ответственный гражданин общества. Для комплексной оценки человеческого потенциала обучающихся наряду с классическим академическим GPA в КАТИУ внедряется метрика Social GPA (социальный индивидуальный рейтинг).</w:t>
      </w:r>
    </w:p>
    <w:bookmarkEnd w:id="266"/>
    <w:bookmarkStart w:name="z305" w:id="267"/>
    <w:p>
      <w:pPr>
        <w:spacing w:after="0"/>
        <w:ind w:left="0"/>
        <w:jc w:val="both"/>
      </w:pPr>
      <w:r>
        <w:rPr>
          <w:rFonts w:ascii="Times New Roman"/>
          <w:b w:val="false"/>
          <w:i w:val="false"/>
          <w:color w:val="000000"/>
          <w:sz w:val="28"/>
        </w:rPr>
        <w:t>
      Данный показатель рассчитывается автоматически через цифровую экосистему вуза и агрегирует достижения обучающегося в:</w:t>
      </w:r>
    </w:p>
    <w:bookmarkEnd w:id="267"/>
    <w:bookmarkStart w:name="z306" w:id="268"/>
    <w:p>
      <w:pPr>
        <w:spacing w:after="0"/>
        <w:ind w:left="0"/>
        <w:jc w:val="both"/>
      </w:pPr>
      <w:r>
        <w:rPr>
          <w:rFonts w:ascii="Times New Roman"/>
          <w:b w:val="false"/>
          <w:i w:val="false"/>
          <w:color w:val="000000"/>
          <w:sz w:val="28"/>
        </w:rPr>
        <w:t>
      волонтерской и благотворительной деятельности (линия организации "Көмек");</w:t>
      </w:r>
    </w:p>
    <w:bookmarkEnd w:id="268"/>
    <w:bookmarkStart w:name="z307" w:id="269"/>
    <w:p>
      <w:pPr>
        <w:spacing w:after="0"/>
        <w:ind w:left="0"/>
        <w:jc w:val="both"/>
      </w:pPr>
      <w:r>
        <w:rPr>
          <w:rFonts w:ascii="Times New Roman"/>
          <w:b w:val="false"/>
          <w:i w:val="false"/>
          <w:color w:val="000000"/>
          <w:sz w:val="28"/>
        </w:rPr>
        <w:t>
      общественном самоуправлении и проектном менеджменте (студенческий парламент, комитет по делам молодежи);</w:t>
      </w:r>
    </w:p>
    <w:bookmarkEnd w:id="269"/>
    <w:bookmarkStart w:name="z308" w:id="270"/>
    <w:p>
      <w:pPr>
        <w:spacing w:after="0"/>
        <w:ind w:left="0"/>
        <w:jc w:val="both"/>
      </w:pPr>
      <w:r>
        <w:rPr>
          <w:rFonts w:ascii="Times New Roman"/>
          <w:b w:val="false"/>
          <w:i w:val="false"/>
          <w:color w:val="000000"/>
          <w:sz w:val="28"/>
        </w:rPr>
        <w:t>
      спортивных, культурных и творческих индустриях вуза.</w:t>
      </w:r>
    </w:p>
    <w:bookmarkEnd w:id="270"/>
    <w:bookmarkStart w:name="z309" w:id="271"/>
    <w:p>
      <w:pPr>
        <w:spacing w:after="0"/>
        <w:ind w:left="0"/>
        <w:jc w:val="both"/>
      </w:pPr>
      <w:r>
        <w:rPr>
          <w:rFonts w:ascii="Times New Roman"/>
          <w:b w:val="false"/>
          <w:i w:val="false"/>
          <w:color w:val="000000"/>
          <w:sz w:val="28"/>
        </w:rPr>
        <w:t>
      Интеграция академического, научного и социального GPA позволяет формировать выпускников с высоким уровнем социальной ответственности, готовых стать лидерами модернизации сельских территорий Казахстана.</w:t>
      </w:r>
    </w:p>
    <w:bookmarkEnd w:id="271"/>
    <w:p>
      <w:pPr>
        <w:spacing w:after="0"/>
        <w:ind w:left="0"/>
        <w:jc w:val="both"/>
      </w:pPr>
      <w:r>
        <w:rPr>
          <w:rFonts w:ascii="Times New Roman"/>
          <w:b/>
          <w:i w:val="false"/>
          <w:color w:val="000000"/>
          <w:sz w:val="28"/>
        </w:rPr>
        <w:t>Раздел 4. Видение, миссия и ценности Программы</w:t>
      </w:r>
    </w:p>
    <w:bookmarkStart w:name="z311" w:id="272"/>
    <w:p>
      <w:pPr>
        <w:spacing w:after="0"/>
        <w:ind w:left="0"/>
        <w:jc w:val="both"/>
      </w:pPr>
      <w:r>
        <w:rPr>
          <w:rFonts w:ascii="Times New Roman"/>
          <w:b w:val="false"/>
          <w:i w:val="false"/>
          <w:color w:val="000000"/>
          <w:sz w:val="28"/>
        </w:rPr>
        <w:t>
      Миссия КАТИУ – формирование лидеров нового поколения и интеллектуального капитала для АПК на основе интеграции передовой науки, образования и производства, обеспечивающих устойчивое развитие и глобальную конкурентоспособность отечественного АПК.</w:t>
      </w:r>
    </w:p>
    <w:bookmarkEnd w:id="272"/>
    <w:bookmarkStart w:name="z312" w:id="273"/>
    <w:p>
      <w:pPr>
        <w:spacing w:after="0"/>
        <w:ind w:left="0"/>
        <w:jc w:val="both"/>
      </w:pPr>
      <w:r>
        <w:rPr>
          <w:rFonts w:ascii="Times New Roman"/>
          <w:b w:val="false"/>
          <w:i w:val="false"/>
          <w:color w:val="000000"/>
          <w:sz w:val="28"/>
        </w:rPr>
        <w:t>
      Цель – формирование в КАТИУ современной академической и исследовательской экосистемы, интегрированной в мировой и региональный контекст.</w:t>
      </w:r>
    </w:p>
    <w:bookmarkEnd w:id="273"/>
    <w:bookmarkStart w:name="z313" w:id="274"/>
    <w:p>
      <w:pPr>
        <w:spacing w:after="0"/>
        <w:ind w:left="0"/>
        <w:jc w:val="both"/>
      </w:pPr>
      <w:r>
        <w:rPr>
          <w:rFonts w:ascii="Times New Roman"/>
          <w:b w:val="false"/>
          <w:i w:val="false"/>
          <w:color w:val="000000"/>
          <w:sz w:val="28"/>
        </w:rPr>
        <w:t>
      Основными компонентами развития КАТИУ являются: академическая система, базирующаяся на научно-исследовательской деятельности и производстве новых знаний; доступное, качественное образование и реализация концепции "обучение в течение всей жизни" (Lifelong Learning); максимизация воздействия на общество и экономику.</w:t>
      </w:r>
    </w:p>
    <w:bookmarkEnd w:id="274"/>
    <w:bookmarkStart w:name="z314" w:id="275"/>
    <w:p>
      <w:pPr>
        <w:spacing w:after="0"/>
        <w:ind w:left="0"/>
        <w:jc w:val="both"/>
      </w:pPr>
      <w:r>
        <w:rPr>
          <w:rFonts w:ascii="Times New Roman"/>
          <w:b w:val="false"/>
          <w:i w:val="false"/>
          <w:color w:val="000000"/>
          <w:sz w:val="28"/>
        </w:rPr>
        <w:t>
      Видение: национальный агротехнический исследовательский университет – признанный международный научно-образовательный хаб, формирующий технологический базис для модернизации и устойчивого развития аграрного сектора.</w:t>
      </w:r>
    </w:p>
    <w:bookmarkEnd w:id="275"/>
    <w:bookmarkStart w:name="z315" w:id="276"/>
    <w:p>
      <w:pPr>
        <w:spacing w:after="0"/>
        <w:ind w:left="0"/>
        <w:jc w:val="both"/>
      </w:pPr>
      <w:r>
        <w:rPr>
          <w:rFonts w:ascii="Times New Roman"/>
          <w:b w:val="false"/>
          <w:i w:val="false"/>
          <w:color w:val="000000"/>
          <w:sz w:val="28"/>
        </w:rPr>
        <w:t>
      Сочетание в миссии КАТИУ вышеуказанных компонентов позволит ему стать региональным хабом, обеспечивающим социальный прогресс и экономическое развитие региона.</w:t>
      </w:r>
    </w:p>
    <w:bookmarkEnd w:id="276"/>
    <w:bookmarkStart w:name="z316" w:id="277"/>
    <w:p>
      <w:pPr>
        <w:spacing w:after="0"/>
        <w:ind w:left="0"/>
        <w:jc w:val="both"/>
      </w:pPr>
      <w:r>
        <w:rPr>
          <w:rFonts w:ascii="Times New Roman"/>
          <w:b w:val="false"/>
          <w:i w:val="false"/>
          <w:color w:val="000000"/>
          <w:sz w:val="28"/>
        </w:rPr>
        <w:t xml:space="preserve">
      Ценности КАТИУ: </w:t>
      </w:r>
    </w:p>
    <w:bookmarkEnd w:id="277"/>
    <w:bookmarkStart w:name="z317" w:id="278"/>
    <w:p>
      <w:pPr>
        <w:spacing w:after="0"/>
        <w:ind w:left="0"/>
        <w:jc w:val="both"/>
      </w:pPr>
      <w:r>
        <w:rPr>
          <w:rFonts w:ascii="Times New Roman"/>
          <w:b w:val="false"/>
          <w:i w:val="false"/>
          <w:color w:val="000000"/>
          <w:sz w:val="28"/>
        </w:rPr>
        <w:t>
      академическая честность и прозрачность;</w:t>
      </w:r>
    </w:p>
    <w:bookmarkEnd w:id="278"/>
    <w:bookmarkStart w:name="z318" w:id="279"/>
    <w:p>
      <w:pPr>
        <w:spacing w:after="0"/>
        <w:ind w:left="0"/>
        <w:jc w:val="both"/>
      </w:pPr>
      <w:r>
        <w:rPr>
          <w:rFonts w:ascii="Times New Roman"/>
          <w:b w:val="false"/>
          <w:i w:val="false"/>
          <w:color w:val="000000"/>
          <w:sz w:val="28"/>
        </w:rPr>
        <w:t>
      синергия науки, образования и агробизнеса;</w:t>
      </w:r>
    </w:p>
    <w:bookmarkEnd w:id="279"/>
    <w:bookmarkStart w:name="z319" w:id="280"/>
    <w:p>
      <w:pPr>
        <w:spacing w:after="0"/>
        <w:ind w:left="0"/>
        <w:jc w:val="both"/>
      </w:pPr>
      <w:r>
        <w:rPr>
          <w:rFonts w:ascii="Times New Roman"/>
          <w:b w:val="false"/>
          <w:i w:val="false"/>
          <w:color w:val="000000"/>
          <w:sz w:val="28"/>
        </w:rPr>
        <w:t>
      социальная и экологическая ответственность;</w:t>
      </w:r>
    </w:p>
    <w:bookmarkEnd w:id="280"/>
    <w:bookmarkStart w:name="z320" w:id="281"/>
    <w:p>
      <w:pPr>
        <w:spacing w:after="0"/>
        <w:ind w:left="0"/>
        <w:jc w:val="both"/>
      </w:pPr>
      <w:r>
        <w:rPr>
          <w:rFonts w:ascii="Times New Roman"/>
          <w:b w:val="false"/>
          <w:i w:val="false"/>
          <w:color w:val="000000"/>
          <w:sz w:val="28"/>
        </w:rPr>
        <w:t>
      инновационность и открытость к изменениям.</w:t>
      </w:r>
    </w:p>
    <w:bookmarkEnd w:id="281"/>
    <w:bookmarkStart w:name="z321" w:id="282"/>
    <w:p>
      <w:pPr>
        <w:spacing w:after="0"/>
        <w:ind w:left="0"/>
        <w:jc w:val="both"/>
      </w:pPr>
      <w:r>
        <w:rPr>
          <w:rFonts w:ascii="Times New Roman"/>
          <w:b w:val="false"/>
          <w:i w:val="false"/>
          <w:color w:val="000000"/>
          <w:sz w:val="28"/>
        </w:rPr>
        <w:t>
      Принципы, отражающие стратегическую миссию КАТИУ: активно реагировать на свое культурное, социо-экономическое и физическое окружение; выступать фактором общественной трансформации; исповедовать культуру академического предприятия и интеллектуального предпринимательства; проводить инновационные и практико-ориентированные исследования; сосредоточить внимание на индивиде и культурно-диверсифицированной среде; преодолеть дисциплинарные ограничения с целью достижения интеллектуального синтеза (трансдисциплинарности); встроить университет в его социальную среду, тем самым непосредственно способствуя развитию его социальной составляющей; расширить глобальные контакты.</w:t>
      </w:r>
    </w:p>
    <w:bookmarkEnd w:id="282"/>
    <w:bookmarkStart w:name="z322" w:id="283"/>
    <w:p>
      <w:pPr>
        <w:spacing w:after="0"/>
        <w:ind w:left="0"/>
        <w:jc w:val="both"/>
      </w:pPr>
      <w:r>
        <w:rPr>
          <w:rFonts w:ascii="Times New Roman"/>
          <w:b w:val="false"/>
          <w:i w:val="false"/>
          <w:color w:val="000000"/>
          <w:sz w:val="28"/>
        </w:rPr>
        <w:t>
      Ключевые условия для достижения миссии:</w:t>
      </w:r>
    </w:p>
    <w:bookmarkEnd w:id="283"/>
    <w:bookmarkStart w:name="z323" w:id="284"/>
    <w:p>
      <w:pPr>
        <w:spacing w:after="0"/>
        <w:ind w:left="0"/>
        <w:jc w:val="both"/>
      </w:pPr>
      <w:r>
        <w:rPr>
          <w:rFonts w:ascii="Times New Roman"/>
          <w:b w:val="false"/>
          <w:i w:val="false"/>
          <w:color w:val="000000"/>
          <w:sz w:val="28"/>
        </w:rPr>
        <w:t>
      1) местоположение: КАТИУ будет вбирать в себя особенности своего культурного, социо-экономического и физического окружения – целевого региона;</w:t>
      </w:r>
    </w:p>
    <w:bookmarkEnd w:id="284"/>
    <w:bookmarkStart w:name="z324" w:id="285"/>
    <w:p>
      <w:pPr>
        <w:spacing w:after="0"/>
        <w:ind w:left="0"/>
        <w:jc w:val="both"/>
      </w:pPr>
      <w:r>
        <w:rPr>
          <w:rFonts w:ascii="Times New Roman"/>
          <w:b w:val="false"/>
          <w:i w:val="false"/>
          <w:color w:val="000000"/>
          <w:sz w:val="28"/>
        </w:rPr>
        <w:t>
      2) трансформация: КАТИУ будет служить катализатором социальных изменений на основе потребностей общества;</w:t>
      </w:r>
    </w:p>
    <w:bookmarkEnd w:id="285"/>
    <w:bookmarkStart w:name="z325" w:id="286"/>
    <w:p>
      <w:pPr>
        <w:spacing w:after="0"/>
        <w:ind w:left="0"/>
        <w:jc w:val="both"/>
      </w:pPr>
      <w:r>
        <w:rPr>
          <w:rFonts w:ascii="Times New Roman"/>
          <w:b w:val="false"/>
          <w:i w:val="false"/>
          <w:color w:val="000000"/>
          <w:sz w:val="28"/>
        </w:rPr>
        <w:t>
      3) предпринимательство: КАТИУ будет применять результаты знаний и поощрять инновации в целевом регионе;</w:t>
      </w:r>
    </w:p>
    <w:bookmarkEnd w:id="286"/>
    <w:bookmarkStart w:name="z326" w:id="287"/>
    <w:p>
      <w:pPr>
        <w:spacing w:after="0"/>
        <w:ind w:left="0"/>
        <w:jc w:val="both"/>
      </w:pPr>
      <w:r>
        <w:rPr>
          <w:rFonts w:ascii="Times New Roman"/>
          <w:b w:val="false"/>
          <w:i w:val="false"/>
          <w:color w:val="000000"/>
          <w:sz w:val="28"/>
        </w:rPr>
        <w:t>
      4) целенаправленные исследования: исследования КАТИУ будут решать практические задачи и давать ощутимый эффект в целевом регионе;</w:t>
      </w:r>
    </w:p>
    <w:bookmarkEnd w:id="287"/>
    <w:bookmarkStart w:name="z327" w:id="288"/>
    <w:p>
      <w:pPr>
        <w:spacing w:after="0"/>
        <w:ind w:left="0"/>
        <w:jc w:val="both"/>
      </w:pPr>
      <w:r>
        <w:rPr>
          <w:rFonts w:ascii="Times New Roman"/>
          <w:b w:val="false"/>
          <w:i w:val="false"/>
          <w:color w:val="000000"/>
          <w:sz w:val="28"/>
        </w:rPr>
        <w:t>
      5) успешность обучающихся: КАТИУ будет заинтересован в успехе каждого из обучающихся, в т.ч. магистрантов, докторантов;</w:t>
      </w:r>
    </w:p>
    <w:bookmarkEnd w:id="288"/>
    <w:bookmarkStart w:name="z328" w:id="289"/>
    <w:p>
      <w:pPr>
        <w:spacing w:after="0"/>
        <w:ind w:left="0"/>
        <w:jc w:val="both"/>
      </w:pPr>
      <w:r>
        <w:rPr>
          <w:rFonts w:ascii="Times New Roman"/>
          <w:b w:val="false"/>
          <w:i w:val="false"/>
          <w:color w:val="000000"/>
          <w:sz w:val="28"/>
        </w:rPr>
        <w:t>
      6) трансдисциплинарность: КАТИУ производит новые знания посредством преодоления дисциплинарных границ;</w:t>
      </w:r>
    </w:p>
    <w:bookmarkEnd w:id="289"/>
    <w:bookmarkStart w:name="z329" w:id="290"/>
    <w:p>
      <w:pPr>
        <w:spacing w:after="0"/>
        <w:ind w:left="0"/>
        <w:jc w:val="both"/>
      </w:pPr>
      <w:r>
        <w:rPr>
          <w:rFonts w:ascii="Times New Roman"/>
          <w:b w:val="false"/>
          <w:i w:val="false"/>
          <w:color w:val="000000"/>
          <w:sz w:val="28"/>
        </w:rPr>
        <w:t>
      7) социальная вовлеченность: КАТИУ связан с местными сообществами на основе взаимовыгодного партнерства;</w:t>
      </w:r>
    </w:p>
    <w:bookmarkEnd w:id="290"/>
    <w:bookmarkStart w:name="z330" w:id="291"/>
    <w:p>
      <w:pPr>
        <w:spacing w:after="0"/>
        <w:ind w:left="0"/>
        <w:jc w:val="both"/>
      </w:pPr>
      <w:r>
        <w:rPr>
          <w:rFonts w:ascii="Times New Roman"/>
          <w:b w:val="false"/>
          <w:i w:val="false"/>
          <w:color w:val="000000"/>
          <w:sz w:val="28"/>
        </w:rPr>
        <w:t>
      8) глобальность: КАТИУ осуществляет сотрудничество с охватом локальных, национальных и международных проблем.</w:t>
      </w:r>
    </w:p>
    <w:bookmarkEnd w:id="291"/>
    <w:bookmarkStart w:name="z331" w:id="292"/>
    <w:p>
      <w:pPr>
        <w:spacing w:after="0"/>
        <w:ind w:left="0"/>
        <w:jc w:val="both"/>
      </w:pPr>
      <w:r>
        <w:rPr>
          <w:rFonts w:ascii="Times New Roman"/>
          <w:b w:val="false"/>
          <w:i w:val="false"/>
          <w:color w:val="000000"/>
          <w:sz w:val="28"/>
        </w:rPr>
        <w:t>
      До 2030 года КАТИУ видит свое развитие в качестве исследовательского университета высокого уровня, обладающего академической, финансовой и институциональной автономией, с высокими образовательными стандартами, значительными научными результатами и признаваемым влиянием на АПК Республики Казахстан.</w:t>
      </w:r>
    </w:p>
    <w:bookmarkEnd w:id="292"/>
    <w:bookmarkStart w:name="z332" w:id="293"/>
    <w:p>
      <w:pPr>
        <w:spacing w:after="0"/>
        <w:ind w:left="0"/>
        <w:jc w:val="both"/>
      </w:pPr>
      <w:r>
        <w:rPr>
          <w:rFonts w:ascii="Times New Roman"/>
          <w:b w:val="false"/>
          <w:i w:val="false"/>
          <w:color w:val="000000"/>
          <w:sz w:val="28"/>
        </w:rPr>
        <w:t xml:space="preserve">
      На национальном уровне КАТИУ будет позиционироваться как ведущий исследовательский университет международного уровня в сфере АПК, ведущий центр академической и научной компетенции в основных отраслях АПК Северного и Центрального Казахстана, динамично развивающийся и интегрированный в мировое научно-образовательное пространство университет аграрного профиля. </w:t>
      </w:r>
    </w:p>
    <w:bookmarkEnd w:id="293"/>
    <w:bookmarkStart w:name="z333" w:id="294"/>
    <w:p>
      <w:pPr>
        <w:spacing w:after="0"/>
        <w:ind w:left="0"/>
        <w:jc w:val="both"/>
      </w:pPr>
      <w:r>
        <w:rPr>
          <w:rFonts w:ascii="Times New Roman"/>
          <w:b w:val="false"/>
          <w:i w:val="false"/>
          <w:color w:val="000000"/>
          <w:sz w:val="28"/>
        </w:rPr>
        <w:t>
      На международном уровне КАТИУ будет позиционироваться как ведущий научно-образовательный хаб в сфере АПК Центральной Азии, обеспечивающий доступное образование, сочетающий высочайшие академические стандарты подготовки кадров, проведение научных исследований с генерацией передовых знаний и ответственность перед окружающей социальной, культурной и экологической средой, ведущий центр компетенции по вопросам устойчивости сельскохозяйственного производства.</w:t>
      </w:r>
    </w:p>
    <w:bookmarkEnd w:id="294"/>
    <w:bookmarkStart w:name="z334" w:id="295"/>
    <w:p>
      <w:pPr>
        <w:spacing w:after="0"/>
        <w:ind w:left="0"/>
        <w:jc w:val="both"/>
      </w:pPr>
      <w:r>
        <w:rPr>
          <w:rFonts w:ascii="Times New Roman"/>
          <w:b w:val="false"/>
          <w:i w:val="false"/>
          <w:color w:val="000000"/>
          <w:sz w:val="28"/>
        </w:rPr>
        <w:t>
      Стратегией КАТИУ является построение соответствующей лучшим в мире моделям системы научных исследований, опережающей подготовки специалистов и научно-педагогических кадров, передачи научных результатов в реальный сектор экономики посредством: междисциплинарных научных исследований высокого уровня и активного вовлечения в них ППС, обучающихся и других выгодополучателей; уникальных образовательных программ, основанных на собственных научных результатах и передовых зарубежных научных достижениях; предоставления обучающимся широких возможностей для выбора уровня, содержания, формы и сроков обучения; предоставления ППС широких возможностей для профессионального развития, в том числе путем совмещения научно-исследовательской деятельности с (1) преподаванием, (2) деятельностью по продвижению научных результатов и (3) работой на базе технологических платформ.</w:t>
      </w:r>
    </w:p>
    <w:bookmarkEnd w:id="295"/>
    <w:p>
      <w:pPr>
        <w:spacing w:after="0"/>
        <w:ind w:left="0"/>
        <w:jc w:val="both"/>
      </w:pPr>
      <w:r>
        <w:rPr>
          <w:rFonts w:ascii="Times New Roman"/>
          <w:b/>
          <w:i w:val="false"/>
          <w:color w:val="000000"/>
          <w:sz w:val="28"/>
        </w:rPr>
        <w:t>Раздел 5. Стратегические приоритеты некоммерческого акционерного общества "Казахский агротехнический исследовательский университет имени Сакена Сейфуллина"</w:t>
      </w:r>
    </w:p>
    <w:bookmarkStart w:name="z336" w:id="296"/>
    <w:p>
      <w:pPr>
        <w:spacing w:after="0"/>
        <w:ind w:left="0"/>
        <w:jc w:val="both"/>
      </w:pPr>
      <w:r>
        <w:rPr>
          <w:rFonts w:ascii="Times New Roman"/>
          <w:b w:val="false"/>
          <w:i w:val="false"/>
          <w:color w:val="000000"/>
          <w:sz w:val="28"/>
        </w:rPr>
        <w:t>
      Вклад КАТИУ в развитие общества охватывает различные сферы:</w:t>
      </w:r>
    </w:p>
    <w:bookmarkEnd w:id="296"/>
    <w:p>
      <w:pPr>
        <w:spacing w:after="0"/>
        <w:ind w:left="0"/>
        <w:jc w:val="both"/>
      </w:pPr>
      <w:r>
        <w:rPr>
          <w:rFonts w:ascii="Times New Roman"/>
          <w:b/>
          <w:i w:val="false"/>
          <w:color w:val="000000"/>
          <w:sz w:val="28"/>
        </w:rPr>
        <w:t xml:space="preserve">Подраздел 5.1 Академическая деятельность </w:t>
      </w:r>
    </w:p>
    <w:bookmarkStart w:name="z338" w:id="297"/>
    <w:p>
      <w:pPr>
        <w:spacing w:after="0"/>
        <w:ind w:left="0"/>
        <w:jc w:val="both"/>
      </w:pPr>
      <w:r>
        <w:rPr>
          <w:rFonts w:ascii="Times New Roman"/>
          <w:b w:val="false"/>
          <w:i w:val="false"/>
          <w:color w:val="000000"/>
          <w:sz w:val="28"/>
        </w:rPr>
        <w:t>
      Академическая политика университета выстраивается как единая экосистема, направленная на повышение рыночной стоимости выпускника. Фундаментом этого процесса является качественный отбор абитуриентов, что выражается через планомерное повышение среднего балла ЕНТ первокурсников. Благодаря цифровизации профориентации и проведению профильных олимпиад университет привлекает наиболее способных обучающихся, что создает базу для подготовки кадров с высоким потенциалом к обучению и дальнейшему профессиональному росту.</w:t>
      </w:r>
    </w:p>
    <w:bookmarkEnd w:id="297"/>
    <w:bookmarkStart w:name="z339" w:id="298"/>
    <w:p>
      <w:pPr>
        <w:spacing w:after="0"/>
        <w:ind w:left="0"/>
        <w:jc w:val="both"/>
      </w:pPr>
      <w:r>
        <w:rPr>
          <w:rFonts w:ascii="Times New Roman"/>
          <w:b w:val="false"/>
          <w:i w:val="false"/>
          <w:color w:val="000000"/>
          <w:sz w:val="28"/>
        </w:rPr>
        <w:t>
      Обеспечение качества образования реализуется через функционирование системы ESG (европейские стандарты вовлечения в систему обеспечения качества), которая напрямую влияет на удовлетворенность обучающихся качеством преподавания и академических сервисов. Внедрение международных стандартов, развитие SMART-инфраструктуры и создание эффективной обратной связи позволяют обучающимся осваивать передовые знания в комфортной среде. Эти меры наряду с международной аккредитацией способствуют росту количества ОП, входящих в ТОП-3 рейтингов НПП "Атамекен" и НААР. Для обеспечения прозрачности мониторинга и исключения рисков манипулирования данными расчет индикаторов по позициям ОП проводится на основе официальных данных реестра НПП "Атамекен" и верифицированных отчетов НААР. Методика расчета базируется на ежегодном статистическом анализе позиций вуза в указанных внешних системах оценки. Лидирующие позиции в рейтингах подтверждают актуальность учебных планов и высокую оценку со стороны экспертного сообщества, что является важным сигналом для работодателей при назначении стартовых окладов выпускникам.</w:t>
      </w:r>
    </w:p>
    <w:bookmarkEnd w:id="298"/>
    <w:bookmarkStart w:name="z340" w:id="299"/>
    <w:p>
      <w:pPr>
        <w:spacing w:after="0"/>
        <w:ind w:left="0"/>
        <w:jc w:val="both"/>
      </w:pPr>
      <w:r>
        <w:rPr>
          <w:rFonts w:ascii="Times New Roman"/>
          <w:b w:val="false"/>
          <w:i w:val="false"/>
          <w:color w:val="000000"/>
          <w:sz w:val="28"/>
        </w:rPr>
        <w:t>
      Ключевым фактором роста доходов выпускников является усиление практической направленности обучения через охват дуальным обучением и внутренней мобильностью. Тесная интеграция с производством поддерживается за счет привлечения ППС из числа работодателей, включая специалистов, успешно коммерциализировавших научные разработки. Участие практиков в образовательном процессе позволяет внедрять инновационные программы на основе "Атласа новых профессий", развивать навыки STEM и предпринимательства. Это гарантирует, что выпускник обладает не только теоретической базой, но и прикладными компетенциями, востребованными в реальном секторе экономики.</w:t>
      </w:r>
    </w:p>
    <w:bookmarkEnd w:id="299"/>
    <w:bookmarkStart w:name="z341" w:id="300"/>
    <w:p>
      <w:pPr>
        <w:spacing w:after="0"/>
        <w:ind w:left="0"/>
        <w:jc w:val="both"/>
      </w:pPr>
      <w:r>
        <w:rPr>
          <w:rFonts w:ascii="Times New Roman"/>
          <w:b w:val="false"/>
          <w:i w:val="false"/>
          <w:color w:val="000000"/>
          <w:sz w:val="28"/>
        </w:rPr>
        <w:t>
      Развитие неформального образования, включая партнерство с Coursera и Huawei ICT Academy, а также реализация программы "Серебряный университет" способствуют увеличению объема доходов от академической деятельности. Это позволяет вузу инвестировать в обновление научно-методической базы и внедрение новых форм обучения. Высокое качество подготовки подтверждается итоговым показателем – удовлетворенностью работодателей, что создает устойчивый спрос на кадры университета.</w:t>
      </w:r>
    </w:p>
    <w:bookmarkEnd w:id="300"/>
    <w:bookmarkStart w:name="z342" w:id="301"/>
    <w:p>
      <w:pPr>
        <w:spacing w:after="0"/>
        <w:ind w:left="0"/>
        <w:jc w:val="both"/>
      </w:pPr>
      <w:r>
        <w:rPr>
          <w:rFonts w:ascii="Times New Roman"/>
          <w:b w:val="false"/>
          <w:i w:val="false"/>
          <w:color w:val="000000"/>
          <w:sz w:val="28"/>
        </w:rPr>
        <w:t>
      Синергия академического качества, дуального обучения и цифровых сервисов поддержки карьеры обеспечит достижение ключевого конечного результата – высокого уровня удовлетворенности работодателей и стабильного роста медианной заработной платы выпускников в первый год после окончания КАТИУ, что полностью соответствует целевым индикаторам Программы.</w:t>
      </w:r>
    </w:p>
    <w:bookmarkEnd w:id="301"/>
    <w:p>
      <w:pPr>
        <w:spacing w:after="0"/>
        <w:ind w:left="0"/>
        <w:jc w:val="both"/>
      </w:pPr>
      <w:r>
        <w:rPr>
          <w:rFonts w:ascii="Times New Roman"/>
          <w:b/>
          <w:i w:val="false"/>
          <w:color w:val="000000"/>
          <w:sz w:val="28"/>
        </w:rPr>
        <w:t>Подраздел 5.2. Научная деятельность</w:t>
      </w:r>
    </w:p>
    <w:bookmarkStart w:name="z344" w:id="302"/>
    <w:p>
      <w:pPr>
        <w:spacing w:after="0"/>
        <w:ind w:left="0"/>
        <w:jc w:val="both"/>
      </w:pPr>
      <w:r>
        <w:rPr>
          <w:rFonts w:ascii="Times New Roman"/>
          <w:b w:val="false"/>
          <w:i w:val="false"/>
          <w:color w:val="000000"/>
          <w:sz w:val="28"/>
        </w:rPr>
        <w:t>
      Развитие научно-исследовательского потенциала университета и трансформация научных результатов в рыночные продукты являются приоритетными задачами вуза. Фундаментом этой деятельности выступает системное увеличение количества ППС, занимающихся исследованиями в рамках научных проектов, программ и хозяйственных договорных работ. Вовлечение широкого круга преподавателей в реальную научную деятельность позволяет формировать современные научные школы и повышать прикладную значимость проводимых изысканий.</w:t>
      </w:r>
    </w:p>
    <w:bookmarkEnd w:id="302"/>
    <w:bookmarkStart w:name="z345" w:id="303"/>
    <w:p>
      <w:pPr>
        <w:spacing w:after="0"/>
        <w:ind w:left="0"/>
        <w:jc w:val="both"/>
      </w:pPr>
      <w:r>
        <w:rPr>
          <w:rFonts w:ascii="Times New Roman"/>
          <w:b w:val="false"/>
          <w:i w:val="false"/>
          <w:color w:val="000000"/>
          <w:sz w:val="28"/>
        </w:rPr>
        <w:t>
      Международное признание научной деятельности университета обеспечивается через рост количества публикаций работников КАТИУ в высокорейтинговых изданиях Q1, Q2 или с процентилем свыше 50. Университет совершенствует меры стимулирования публикационной активности и оказывает методическую поддержку ученым. Качественный аспект научной деятельности отслеживается через среднее количество цитирований на одну публикацию (по данным Scopus и Web of Science). Высокая цитируемость подтверждает актуальность и ценность исследований ученых университета для мирового научного сообщества.</w:t>
      </w:r>
    </w:p>
    <w:bookmarkEnd w:id="303"/>
    <w:bookmarkStart w:name="z346" w:id="304"/>
    <w:p>
      <w:pPr>
        <w:spacing w:after="0"/>
        <w:ind w:left="0"/>
        <w:jc w:val="both"/>
      </w:pPr>
      <w:r>
        <w:rPr>
          <w:rFonts w:ascii="Times New Roman"/>
          <w:b w:val="false"/>
          <w:i w:val="false"/>
          <w:color w:val="000000"/>
          <w:sz w:val="28"/>
        </w:rPr>
        <w:t>
      Обеспечение правовой охраны научных достижений реализуется через рост общего количества объектов интеллектуальной собственности (ОИС) штатных сотрудников университета. Патенты и авторские свидетельства служат основой для дальнейшей коммерциализации. В рамках развития инновационной инфраструктуры и поддержки молодежного предпринимательства стимулируется создание наукоемкого бизнеса. Данное направление включает увеличение количества стартап-компаний на базе РННТД, созданных обучающимися и учеными университета, с фокусом на их рыночную жизнеспособность и масштабируемость. Стартапы становятся ключевым мостиком между лабораторией и реальным рынком.</w:t>
      </w:r>
    </w:p>
    <w:bookmarkEnd w:id="304"/>
    <w:bookmarkStart w:name="z347" w:id="305"/>
    <w:p>
      <w:pPr>
        <w:spacing w:after="0"/>
        <w:ind w:left="0"/>
        <w:jc w:val="both"/>
      </w:pPr>
      <w:r>
        <w:rPr>
          <w:rFonts w:ascii="Times New Roman"/>
          <w:b w:val="false"/>
          <w:i w:val="false"/>
          <w:color w:val="000000"/>
          <w:sz w:val="28"/>
        </w:rPr>
        <w:t>
      Экономическая устойчивость научной сферы КАТИУ будет обеспечена за счет поступательного роста числа коммерциализируемых РННТД, подкрепленных официальными договорами коммерциализации. Синергия мер по поддержке университетской науки, развитию инновационной инфраструктуры и защите объектов интеллектуальной собственности обеспечит достижение всех запланированных стратегических индикаторов к 2030 году. Это позволит КАТИУ эффективно трансформировать научные знания в реальные технологии для АПК страны.</w:t>
      </w:r>
    </w:p>
    <w:bookmarkEnd w:id="305"/>
    <w:p>
      <w:pPr>
        <w:spacing w:after="0"/>
        <w:ind w:left="0"/>
        <w:jc w:val="both"/>
      </w:pPr>
      <w:r>
        <w:rPr>
          <w:rFonts w:ascii="Times New Roman"/>
          <w:b/>
          <w:i w:val="false"/>
          <w:color w:val="000000"/>
          <w:sz w:val="28"/>
        </w:rPr>
        <w:t>Подраздел 5.3 Цифровая трансформация и глобальное академическое партнерство</w:t>
      </w:r>
    </w:p>
    <w:bookmarkStart w:name="z349" w:id="306"/>
    <w:p>
      <w:pPr>
        <w:spacing w:after="0"/>
        <w:ind w:left="0"/>
        <w:jc w:val="both"/>
      </w:pPr>
      <w:r>
        <w:rPr>
          <w:rFonts w:ascii="Times New Roman"/>
          <w:b w:val="false"/>
          <w:i w:val="false"/>
          <w:color w:val="000000"/>
          <w:sz w:val="28"/>
        </w:rPr>
        <w:t>
      Укрепление позиций университета в глобальном образовательном пространстве является стратегическим вектором развития. Главным измерителем успеха в этом направлении выступает вхождение в число 500 лучших вузов мира по версии QS World University Rankings (WUR) к 2030 году. Путь к этой цели лежит через глубокую цифровую трансформацию и расширение сети международных стратегических партнерств. Методика мониторинга данного индикатора строго регламентирована и основывается исключительно на верифицированных профилях университета в глобальных аналитических системах. Официальными источниками данных и стандартами анализа являются официальные данные и методологические стандарты международного рейтингового агентства Quacquarelli Symonds (QS). Любые изменения позиций фиксируются на основе публичных ежегодных релизов агентства, что гарантирует объективность, прозрачность и верифицируемость мониторинга достижения стратегической цели.</w:t>
      </w:r>
    </w:p>
    <w:bookmarkEnd w:id="306"/>
    <w:bookmarkStart w:name="z350" w:id="307"/>
    <w:p>
      <w:pPr>
        <w:spacing w:after="0"/>
        <w:ind w:left="0"/>
        <w:jc w:val="both"/>
      </w:pPr>
      <w:r>
        <w:rPr>
          <w:rFonts w:ascii="Times New Roman"/>
          <w:b w:val="false"/>
          <w:i w:val="false"/>
          <w:color w:val="000000"/>
          <w:sz w:val="28"/>
        </w:rPr>
        <w:t>
      В рамках концепции "SMART-университета" приоритетное внимание уделяется повышению уровня цифровой зрелости КАТИУ. Внедрение современных технологий включает интеграцию ИИ-агентов и ИИ-ассистентов в образовательный процесс и административное управление, что позволит оптимизировать академические сервисы и повысить скорость принятия управленческих решений. Высокое качество институционального менеджмента обеспечит стабильное нахождение университета в "зеленой зоне" (зоне минимального риска) Системы управления рисками МНВО РК.</w:t>
      </w:r>
    </w:p>
    <w:bookmarkEnd w:id="307"/>
    <w:bookmarkStart w:name="z351" w:id="308"/>
    <w:p>
      <w:pPr>
        <w:spacing w:after="0"/>
        <w:ind w:left="0"/>
        <w:jc w:val="both"/>
      </w:pPr>
      <w:r>
        <w:rPr>
          <w:rFonts w:ascii="Times New Roman"/>
          <w:b w:val="false"/>
          <w:i w:val="false"/>
          <w:color w:val="000000"/>
          <w:sz w:val="28"/>
        </w:rPr>
        <w:t>
      Процесс интернационализации направлен на создание открытой и глобально ориентированной академической среды. Университет планирует существенное увеличение количества обучающихся и сотрудников, вовлеченных в программы международной мобильности, программы двойного диплома (ДДО) и совместные образовательные программы (СОП) с зарубежными вузами-партнерами. Привлечение иностранных обучающихся и ученых способствует обмену передовым опытом и обогащению культурно-образовательного ландшафта вуза. Как результат, ожидается ежегодный рост количества образовательных программ, вошедших в предметный рейтинг QS by Subject, что подтверждает высокое качество подготовки в конкретных областях знаний.</w:t>
      </w:r>
    </w:p>
    <w:bookmarkEnd w:id="308"/>
    <w:bookmarkStart w:name="z352" w:id="309"/>
    <w:p>
      <w:pPr>
        <w:spacing w:after="0"/>
        <w:ind w:left="0"/>
        <w:jc w:val="both"/>
      </w:pPr>
      <w:r>
        <w:rPr>
          <w:rFonts w:ascii="Times New Roman"/>
          <w:b w:val="false"/>
          <w:i w:val="false"/>
          <w:color w:val="000000"/>
          <w:sz w:val="28"/>
        </w:rPr>
        <w:t>
      Важнейшей составляющей успеха в рейтинге является планомерное повышение академической репутации и репутации среди работодателей в рейтинге QS WUR. Это достигается через расширение взаимодействия с мировым научным сообществом и глобальными компаниями. Рост международного признания вуза позволит увеличить объем привлеченного финансирования за счет международных партнеров, которое будет направлено на развитие передовой научно-технической базы.</w:t>
      </w:r>
    </w:p>
    <w:bookmarkEnd w:id="309"/>
    <w:bookmarkStart w:name="z353" w:id="310"/>
    <w:p>
      <w:pPr>
        <w:spacing w:after="0"/>
        <w:ind w:left="0"/>
        <w:jc w:val="both"/>
      </w:pPr>
      <w:r>
        <w:rPr>
          <w:rFonts w:ascii="Times New Roman"/>
          <w:b w:val="false"/>
          <w:i w:val="false"/>
          <w:color w:val="000000"/>
          <w:sz w:val="28"/>
        </w:rPr>
        <w:t>
      В итоге реализация цифровых инициатив и развитие глобального партнерства позволят КАТИУ достичь целевого показателя "Топ-500" в рейтинге QS. Это закрепит статус вуза как ведущего исследовательского центра международного уровня, способного генерировать знания и кадры для инновационного будущего.</w:t>
      </w:r>
    </w:p>
    <w:bookmarkEnd w:id="310"/>
    <w:p>
      <w:pPr>
        <w:spacing w:after="0"/>
        <w:ind w:left="0"/>
        <w:jc w:val="both"/>
      </w:pPr>
      <w:r>
        <w:rPr>
          <w:rFonts w:ascii="Times New Roman"/>
          <w:b/>
          <w:i w:val="false"/>
          <w:color w:val="000000"/>
          <w:sz w:val="28"/>
        </w:rPr>
        <w:t>Подраздел 5.4 Третья миссия некоммерческого акционерного общества "Казахский агротехнический исследовательский университет имени Сакена Сейфуллина"</w:t>
      </w:r>
    </w:p>
    <w:bookmarkStart w:name="z355" w:id="311"/>
    <w:p>
      <w:pPr>
        <w:spacing w:after="0"/>
        <w:ind w:left="0"/>
        <w:jc w:val="both"/>
      </w:pPr>
      <w:r>
        <w:rPr>
          <w:rFonts w:ascii="Times New Roman"/>
          <w:b w:val="false"/>
          <w:i w:val="false"/>
          <w:color w:val="000000"/>
          <w:sz w:val="28"/>
        </w:rPr>
        <w:t>
      1. Цифровая трансформация среды и развитие сервисной модели.</w:t>
      </w:r>
    </w:p>
    <w:bookmarkEnd w:id="311"/>
    <w:bookmarkStart w:name="z356" w:id="312"/>
    <w:p>
      <w:pPr>
        <w:spacing w:after="0"/>
        <w:ind w:left="0"/>
        <w:jc w:val="both"/>
      </w:pPr>
      <w:r>
        <w:rPr>
          <w:rFonts w:ascii="Times New Roman"/>
          <w:b w:val="false"/>
          <w:i w:val="false"/>
          <w:color w:val="000000"/>
          <w:sz w:val="28"/>
        </w:rPr>
        <w:t xml:space="preserve">
      Стратегическим приоритетом университета является создание максимально благоприятной, свободной от бюрократии среды для обучающихся и сотрудников. Для повышения уровня удовлетворенности сервисами и дебюрократизацией в рамках концепции "Цифровой университет" будут автоматизированы все административные процессы. В целях минимизации бумажного документооборота и оптимизации административных процедур: получение справок, подача заявлений и решение академических вопросов будут переведены в формат мобильных приложений и единых центров обслуживания (ЦОС). Это позволит значительно сократить время принятия решений и эффективно управлять ресурсами университета. Мониторинг уровня удовлетворенности обучающихся и работников качеством сервисов и процессами дебюрократизации будет осуществляться на регулярной основе на базе верифицированных социологических методов, утвержденных коллегиальным органом управления университета </w:t>
      </w:r>
    </w:p>
    <w:bookmarkEnd w:id="312"/>
    <w:bookmarkStart w:name="z357" w:id="313"/>
    <w:p>
      <w:pPr>
        <w:spacing w:after="0"/>
        <w:ind w:left="0"/>
        <w:jc w:val="both"/>
      </w:pPr>
      <w:r>
        <w:rPr>
          <w:rFonts w:ascii="Times New Roman"/>
          <w:b w:val="false"/>
          <w:i w:val="false"/>
          <w:color w:val="000000"/>
          <w:sz w:val="28"/>
        </w:rPr>
        <w:t>
      2. Модернизация инфраструктуры и улучшение бытовых условий.</w:t>
      </w:r>
    </w:p>
    <w:bookmarkEnd w:id="313"/>
    <w:bookmarkStart w:name="z358" w:id="314"/>
    <w:p>
      <w:pPr>
        <w:spacing w:after="0"/>
        <w:ind w:left="0"/>
        <w:jc w:val="both"/>
      </w:pPr>
      <w:r>
        <w:rPr>
          <w:rFonts w:ascii="Times New Roman"/>
          <w:b w:val="false"/>
          <w:i w:val="false"/>
          <w:color w:val="000000"/>
          <w:sz w:val="28"/>
        </w:rPr>
        <w:t>
      Ключевым показателем комфорта обучающихся является их обеспеченность жильем. Университет предусматривает планомерное обеспечение и расширение фонда студенческих общежитий КАТИУ в соответствии с установленными нормативами. Наряду со строительством новых объектов будут проводиться плановая модернизация существующих общежитий, оснащение их современной мебелью, высокоскоростным интернетом и зонами отдыха. Это создаст качественные условия для внеучебной деятельности и успешной социальной адаптации обучающихся.</w:t>
      </w:r>
    </w:p>
    <w:bookmarkEnd w:id="314"/>
    <w:bookmarkStart w:name="z359" w:id="315"/>
    <w:p>
      <w:pPr>
        <w:spacing w:after="0"/>
        <w:ind w:left="0"/>
        <w:jc w:val="both"/>
      </w:pPr>
      <w:r>
        <w:rPr>
          <w:rFonts w:ascii="Times New Roman"/>
          <w:b w:val="false"/>
          <w:i w:val="false"/>
          <w:color w:val="000000"/>
          <w:sz w:val="28"/>
        </w:rPr>
        <w:t>
      В соответствии с Концепцией развития высшего образования и науки в Республике Казахстан, в университете будет обеспечено комплексное развитие инклюзивной образовательной среды. Для обеспечения доступности качественного образования планируются создание безбарьерной инфраструктуры (пандусы, лифты, тактильные дорожки) для обучающихся с ООП, адаптация платформ дистанционного обучения и цифрового контента, а также проведение курсов по повышению инклюзивной компетентности ППС.</w:t>
      </w:r>
    </w:p>
    <w:bookmarkEnd w:id="315"/>
    <w:bookmarkStart w:name="z360" w:id="316"/>
    <w:p>
      <w:pPr>
        <w:spacing w:after="0"/>
        <w:ind w:left="0"/>
        <w:jc w:val="both"/>
      </w:pPr>
      <w:r>
        <w:rPr>
          <w:rFonts w:ascii="Times New Roman"/>
          <w:b w:val="false"/>
          <w:i w:val="false"/>
          <w:color w:val="000000"/>
          <w:sz w:val="28"/>
        </w:rPr>
        <w:t>
      3. Социальная ответственность и привлечение инвестиций.</w:t>
      </w:r>
    </w:p>
    <w:bookmarkEnd w:id="316"/>
    <w:bookmarkStart w:name="z361" w:id="317"/>
    <w:p>
      <w:pPr>
        <w:spacing w:after="0"/>
        <w:ind w:left="0"/>
        <w:jc w:val="both"/>
      </w:pPr>
      <w:r>
        <w:rPr>
          <w:rFonts w:ascii="Times New Roman"/>
          <w:b w:val="false"/>
          <w:i w:val="false"/>
          <w:color w:val="000000"/>
          <w:sz w:val="28"/>
        </w:rPr>
        <w:t>
      Университет придерживается социально-ориентированной политики. Доля расходов на социальную помощь обучающимся и работникам будет ежегодно оптимизироваться. Кроме того, в целях развития социальных проектов за счет внебюджетных средств будет наращиваться объем внебюджетных средств привлекаемых в рамках фандрайзинговой деятельности, спонсорской и меценатской поддержки. Эти средства будут направлены на именные стипендии для одаренных обучающихся, поддержку молодежи из социально уязвимых слоев населения и улучшение социального пакета ППС.</w:t>
      </w:r>
    </w:p>
    <w:bookmarkEnd w:id="317"/>
    <w:bookmarkStart w:name="z362" w:id="318"/>
    <w:p>
      <w:pPr>
        <w:spacing w:after="0"/>
        <w:ind w:left="0"/>
        <w:jc w:val="both"/>
      </w:pPr>
      <w:r>
        <w:rPr>
          <w:rFonts w:ascii="Times New Roman"/>
          <w:b w:val="false"/>
          <w:i w:val="false"/>
          <w:color w:val="000000"/>
          <w:sz w:val="28"/>
        </w:rPr>
        <w:t>
      4. Культура безопасности и инициатива "Закон и порядок".</w:t>
      </w:r>
    </w:p>
    <w:bookmarkEnd w:id="318"/>
    <w:bookmarkStart w:name="z363" w:id="319"/>
    <w:p>
      <w:pPr>
        <w:spacing w:after="0"/>
        <w:ind w:left="0"/>
        <w:jc w:val="both"/>
      </w:pPr>
      <w:r>
        <w:rPr>
          <w:rFonts w:ascii="Times New Roman"/>
          <w:b w:val="false"/>
          <w:i w:val="false"/>
          <w:color w:val="000000"/>
          <w:sz w:val="28"/>
        </w:rPr>
        <w:t>
      Формирование безопасной университетской среды базируется на принципе "Закон и порядок". В этом направлении будет системно увеличиваться количество мероприятий по профилактике правонарушений как на уровне университета, так и на уровне институтов. Воспитательная работа будет сфокусирована на формировании антикоррупционной культуры, повышении правовой грамотности и строгом соблюдении принципов академической честности среди обучающихся и работников.</w:t>
      </w:r>
    </w:p>
    <w:bookmarkEnd w:id="319"/>
    <w:bookmarkStart w:name="z364" w:id="320"/>
    <w:p>
      <w:pPr>
        <w:spacing w:after="0"/>
        <w:ind w:left="0"/>
        <w:jc w:val="both"/>
      </w:pPr>
      <w:r>
        <w:rPr>
          <w:rFonts w:ascii="Times New Roman"/>
          <w:b w:val="false"/>
          <w:i w:val="false"/>
          <w:color w:val="000000"/>
          <w:sz w:val="28"/>
        </w:rPr>
        <w:t>
      5. Психологическая поддержка и ментальное здоровье.</w:t>
      </w:r>
    </w:p>
    <w:bookmarkEnd w:id="320"/>
    <w:bookmarkStart w:name="z365" w:id="321"/>
    <w:p>
      <w:pPr>
        <w:spacing w:after="0"/>
        <w:ind w:left="0"/>
        <w:jc w:val="both"/>
      </w:pPr>
      <w:r>
        <w:rPr>
          <w:rFonts w:ascii="Times New Roman"/>
          <w:b w:val="false"/>
          <w:i w:val="false"/>
          <w:color w:val="000000"/>
          <w:sz w:val="28"/>
        </w:rPr>
        <w:t>
      Психологическая устойчивость молодежи – залог их успешной социализации. Служба психологической поддержки будет не только сопровождать обучающихся в сложных жизненных ситуациях, но и проводить тренинги личностного роста и семинары по стрессоустойчивости. Это повысит мотивацию к обучению и предотвратит эмоциональное выгорание обучающихся.</w:t>
      </w:r>
    </w:p>
    <w:bookmarkEnd w:id="321"/>
    <w:bookmarkStart w:name="z366" w:id="322"/>
    <w:p>
      <w:pPr>
        <w:spacing w:after="0"/>
        <w:ind w:left="0"/>
        <w:jc w:val="both"/>
      </w:pPr>
      <w:r>
        <w:rPr>
          <w:rFonts w:ascii="Times New Roman"/>
          <w:b w:val="false"/>
          <w:i w:val="false"/>
          <w:color w:val="000000"/>
          <w:sz w:val="28"/>
        </w:rPr>
        <w:t>
      6. Гражданская активность и волонтерское движение.</w:t>
      </w:r>
    </w:p>
    <w:bookmarkEnd w:id="322"/>
    <w:bookmarkStart w:name="z367" w:id="323"/>
    <w:p>
      <w:pPr>
        <w:spacing w:after="0"/>
        <w:ind w:left="0"/>
        <w:jc w:val="both"/>
      </w:pPr>
      <w:r>
        <w:rPr>
          <w:rFonts w:ascii="Times New Roman"/>
          <w:b w:val="false"/>
          <w:i w:val="false"/>
          <w:color w:val="000000"/>
          <w:sz w:val="28"/>
        </w:rPr>
        <w:t>
      Университет ставит целью воспитание граждан с высоким чувством патриотизма. Посредством увеличения доли обучающихся, вовлеченных в организованную общественную деятельность (волонтерство, студенческое самоуправление, дебатное движение), будет укрепляться социальная ответственность молодежи. Волонтерские проекты и общественные инициативы помогут обучающимся развить навыки сопереживания, лидерства и командной работы.</w:t>
      </w:r>
    </w:p>
    <w:bookmarkEnd w:id="323"/>
    <w:bookmarkStart w:name="z368" w:id="324"/>
    <w:p>
      <w:pPr>
        <w:spacing w:after="0"/>
        <w:ind w:left="0"/>
        <w:jc w:val="both"/>
      </w:pPr>
      <w:r>
        <w:rPr>
          <w:rFonts w:ascii="Times New Roman"/>
          <w:b w:val="false"/>
          <w:i w:val="false"/>
          <w:color w:val="000000"/>
          <w:sz w:val="28"/>
        </w:rPr>
        <w:t>
      7. Поддержка талантливой молодежи и стимулирование достижений.</w:t>
      </w:r>
    </w:p>
    <w:bookmarkEnd w:id="324"/>
    <w:bookmarkStart w:name="z369" w:id="325"/>
    <w:p>
      <w:pPr>
        <w:spacing w:after="0"/>
        <w:ind w:left="0"/>
        <w:jc w:val="both"/>
      </w:pPr>
      <w:r>
        <w:rPr>
          <w:rFonts w:ascii="Times New Roman"/>
          <w:b w:val="false"/>
          <w:i w:val="false"/>
          <w:color w:val="000000"/>
          <w:sz w:val="28"/>
        </w:rPr>
        <w:t>
      Университет гордится достижениями своих обучающихся в науке, спорте и культуре. Для роста доли обучающихся-призеров городских, областных, республиканских и международных мероприятий будут реализованы специальные программы поддержки. Одаренным обучающимся будут предоставлены все условия: от научных грантов до оснащенных спортивных секций и творческих студий. Это позволит укрепить имидж университета на международной арене.</w:t>
      </w:r>
    </w:p>
    <w:bookmarkEnd w:id="325"/>
    <w:bookmarkStart w:name="z370" w:id="326"/>
    <w:p>
      <w:pPr>
        <w:spacing w:after="0"/>
        <w:ind w:left="0"/>
        <w:jc w:val="both"/>
      </w:pPr>
      <w:r>
        <w:rPr>
          <w:rFonts w:ascii="Times New Roman"/>
          <w:b w:val="false"/>
          <w:i w:val="false"/>
          <w:color w:val="000000"/>
          <w:sz w:val="28"/>
        </w:rPr>
        <w:t>
      8. Имиджевая политика и связи с общественностью.</w:t>
      </w:r>
    </w:p>
    <w:bookmarkEnd w:id="326"/>
    <w:bookmarkStart w:name="z371" w:id="327"/>
    <w:p>
      <w:pPr>
        <w:spacing w:after="0"/>
        <w:ind w:left="0"/>
        <w:jc w:val="both"/>
      </w:pPr>
      <w:r>
        <w:rPr>
          <w:rFonts w:ascii="Times New Roman"/>
          <w:b w:val="false"/>
          <w:i w:val="false"/>
          <w:color w:val="000000"/>
          <w:sz w:val="28"/>
        </w:rPr>
        <w:t>
      Репутация университета напрямую зависит от восприятия внешней среды. Количество позитивных упоминаний в авторитетных источниках от утвержденных целевых групп (работодателей, экспертов, стейкхолдеров) демонстрирует устойчивость бренда вуза. В рамках имиджевой стратегии достижения университета будут широко освещаться в СМИ и социальных сетях, что повысит привлекательность вуза для абитуриентов и потенциальных инвесторов.</w:t>
      </w:r>
    </w:p>
    <w:bookmarkEnd w:id="327"/>
    <w:p>
      <w:pPr>
        <w:spacing w:after="0"/>
        <w:ind w:left="0"/>
        <w:jc w:val="both"/>
      </w:pPr>
      <w:r>
        <w:rPr>
          <w:rFonts w:ascii="Times New Roman"/>
          <w:b/>
          <w:i w:val="false"/>
          <w:color w:val="000000"/>
          <w:sz w:val="28"/>
        </w:rPr>
        <w:t>Подраздел 5.5. Инфраструктура некоммерческого акционерного общества "Казахский агротехнический исследовательский университет имени Сакена Сейфуллина"</w:t>
      </w:r>
    </w:p>
    <w:bookmarkStart w:name="z373" w:id="328"/>
    <w:p>
      <w:pPr>
        <w:spacing w:after="0"/>
        <w:ind w:left="0"/>
        <w:jc w:val="both"/>
      </w:pPr>
      <w:r>
        <w:rPr>
          <w:rFonts w:ascii="Times New Roman"/>
          <w:b w:val="false"/>
          <w:i w:val="false"/>
          <w:color w:val="000000"/>
          <w:sz w:val="28"/>
        </w:rPr>
        <w:t>
      1. Стратегия модернизации инфраструктуры и увеличения уставного капитала.</w:t>
      </w:r>
    </w:p>
    <w:bookmarkEnd w:id="328"/>
    <w:bookmarkStart w:name="z374" w:id="329"/>
    <w:p>
      <w:pPr>
        <w:spacing w:after="0"/>
        <w:ind w:left="0"/>
        <w:jc w:val="both"/>
      </w:pPr>
      <w:r>
        <w:rPr>
          <w:rFonts w:ascii="Times New Roman"/>
          <w:b w:val="false"/>
          <w:i w:val="false"/>
          <w:color w:val="000000"/>
          <w:sz w:val="28"/>
        </w:rPr>
        <w:t>
      В целях укрепления исследовательского статуса университета и создания передовых условий для обучающихся и ученых инициируется масштабный инвестиционный цикл через увеличение уставного капитала КАТИУ. Инфраструктурное развитие не ограничивается только строительством; оно предполагает полную трансформацию цифрового, научного и социального облика университета. Одним из ключевых шагов в этом направлении является увеличение уставного капитала для развития цифровой инфраструктуры. Данный проект заложит основу для обновления IT-архитектуры во всем университете, внедрения облачных технологий и полноценного запуска системы "SMART-Campus".</w:t>
      </w:r>
    </w:p>
    <w:bookmarkEnd w:id="329"/>
    <w:bookmarkStart w:name="z375" w:id="330"/>
    <w:p>
      <w:pPr>
        <w:spacing w:after="0"/>
        <w:ind w:left="0"/>
        <w:jc w:val="both"/>
      </w:pPr>
      <w:r>
        <w:rPr>
          <w:rFonts w:ascii="Times New Roman"/>
          <w:b w:val="false"/>
          <w:i w:val="false"/>
          <w:color w:val="000000"/>
          <w:sz w:val="28"/>
        </w:rPr>
        <w:t>
      2. Создание инновационных научно-производственных кластеров.</w:t>
      </w:r>
    </w:p>
    <w:bookmarkEnd w:id="330"/>
    <w:bookmarkStart w:name="z376" w:id="331"/>
    <w:p>
      <w:pPr>
        <w:spacing w:after="0"/>
        <w:ind w:left="0"/>
        <w:jc w:val="both"/>
      </w:pPr>
      <w:r>
        <w:rPr>
          <w:rFonts w:ascii="Times New Roman"/>
          <w:b w:val="false"/>
          <w:i w:val="false"/>
          <w:color w:val="000000"/>
          <w:sz w:val="28"/>
        </w:rPr>
        <w:t>
      Для технологической модернизации АПК на базе университета будет создана сеть специализированных центров, в которых будут реализованы следующие проекты:</w:t>
      </w:r>
    </w:p>
    <w:bookmarkEnd w:id="331"/>
    <w:bookmarkStart w:name="z377" w:id="332"/>
    <w:p>
      <w:pPr>
        <w:spacing w:after="0"/>
        <w:ind w:left="0"/>
        <w:jc w:val="both"/>
      </w:pPr>
      <w:r>
        <w:rPr>
          <w:rFonts w:ascii="Times New Roman"/>
          <w:b w:val="false"/>
          <w:i w:val="false"/>
          <w:color w:val="000000"/>
          <w:sz w:val="28"/>
        </w:rPr>
        <w:t>
      создание ветеринарного клинико-диагностического центра: этот центр станет не только образовательной базой, но и высокотехнологичным учреждением, предоставляющим современные ветеринарные услуги;</w:t>
      </w:r>
    </w:p>
    <w:bookmarkEnd w:id="332"/>
    <w:bookmarkStart w:name="z378" w:id="333"/>
    <w:p>
      <w:pPr>
        <w:spacing w:after="0"/>
        <w:ind w:left="0"/>
        <w:jc w:val="both"/>
      </w:pPr>
      <w:r>
        <w:rPr>
          <w:rFonts w:ascii="Times New Roman"/>
          <w:b w:val="false"/>
          <w:i w:val="false"/>
          <w:color w:val="000000"/>
          <w:sz w:val="28"/>
        </w:rPr>
        <w:t>
      модернизация образовательного и научно-производственного центра цифровых технологий и материаловедения в сельскохозяйственном машиностроении: данный проект выведет на новый уровень проектирование и испытание отечественной сельскохозяйственной техники;</w:t>
      </w:r>
    </w:p>
    <w:bookmarkEnd w:id="333"/>
    <w:bookmarkStart w:name="z379" w:id="334"/>
    <w:p>
      <w:pPr>
        <w:spacing w:after="0"/>
        <w:ind w:left="0"/>
        <w:jc w:val="both"/>
      </w:pPr>
      <w:r>
        <w:rPr>
          <w:rFonts w:ascii="Times New Roman"/>
          <w:b w:val="false"/>
          <w:i w:val="false"/>
          <w:color w:val="000000"/>
          <w:sz w:val="28"/>
        </w:rPr>
        <w:t>
      создание научно-исследовательской лаборатории "Центр искусственного интеллекта и геопространственной аналитики в агропромышленном комплексе": данный объект станет основным драйвером внедрения цифрового земледелия и технологий точного сельского хозяйства;</w:t>
      </w:r>
    </w:p>
    <w:bookmarkEnd w:id="334"/>
    <w:bookmarkStart w:name="z380" w:id="335"/>
    <w:p>
      <w:pPr>
        <w:spacing w:after="0"/>
        <w:ind w:left="0"/>
        <w:jc w:val="both"/>
      </w:pPr>
      <w:r>
        <w:rPr>
          <w:rFonts w:ascii="Times New Roman"/>
          <w:b w:val="false"/>
          <w:i w:val="false"/>
          <w:color w:val="000000"/>
          <w:sz w:val="28"/>
        </w:rPr>
        <w:t>
      создание образовательного и научно-производственного центра репродукции сельскохозяйственных животных и объектов аквакультуры: это позволит продвинуть селекционно-генетические исследования в области животноводства и рыбоводства.</w:t>
      </w:r>
    </w:p>
    <w:bookmarkEnd w:id="335"/>
    <w:bookmarkStart w:name="z381" w:id="336"/>
    <w:p>
      <w:pPr>
        <w:spacing w:after="0"/>
        <w:ind w:left="0"/>
        <w:jc w:val="both"/>
      </w:pPr>
      <w:r>
        <w:rPr>
          <w:rFonts w:ascii="Times New Roman"/>
          <w:b w:val="false"/>
          <w:i w:val="false"/>
          <w:color w:val="000000"/>
          <w:sz w:val="28"/>
        </w:rPr>
        <w:t>
      3. Развитие социальных объектов и жилищной инфраструктуры.</w:t>
      </w:r>
    </w:p>
    <w:bookmarkEnd w:id="336"/>
    <w:bookmarkStart w:name="z382" w:id="337"/>
    <w:p>
      <w:pPr>
        <w:spacing w:after="0"/>
        <w:ind w:left="0"/>
        <w:jc w:val="both"/>
      </w:pPr>
      <w:r>
        <w:rPr>
          <w:rFonts w:ascii="Times New Roman"/>
          <w:b w:val="false"/>
          <w:i w:val="false"/>
          <w:color w:val="000000"/>
          <w:sz w:val="28"/>
        </w:rPr>
        <w:t>
      Повышение качества жизни обучающихся и молодых ученых является неотъемлемой частью программы. В данном направлении реализуются следующие проекты:</w:t>
      </w:r>
    </w:p>
    <w:bookmarkEnd w:id="337"/>
    <w:bookmarkStart w:name="z383" w:id="338"/>
    <w:p>
      <w:pPr>
        <w:spacing w:after="0"/>
        <w:ind w:left="0"/>
        <w:jc w:val="both"/>
      </w:pPr>
      <w:r>
        <w:rPr>
          <w:rFonts w:ascii="Times New Roman"/>
          <w:b w:val="false"/>
          <w:i w:val="false"/>
          <w:color w:val="000000"/>
          <w:sz w:val="28"/>
        </w:rPr>
        <w:t>
      расширение сети общежитий: планируются снос ветхого общежития № 2Б по адресу: улица Алии Молдагуловой, 29Б и строительство на его месте нового современного общежития на 1000 мест за счет инвесторов, также будет проведено строительство учебного корпуса с общежитием в кампусе института сельского и лесного хозяйства в городе Щучинске;</w:t>
      </w:r>
    </w:p>
    <w:bookmarkEnd w:id="338"/>
    <w:bookmarkStart w:name="z384" w:id="339"/>
    <w:p>
      <w:pPr>
        <w:spacing w:after="0"/>
        <w:ind w:left="0"/>
        <w:jc w:val="both"/>
      </w:pPr>
      <w:r>
        <w:rPr>
          <w:rFonts w:ascii="Times New Roman"/>
          <w:b w:val="false"/>
          <w:i w:val="false"/>
          <w:color w:val="000000"/>
          <w:sz w:val="28"/>
        </w:rPr>
        <w:t>
      поддержка ученых: в целях обеспечения молодых ученых жильем будет построен многоквартирный жилой дом по адресу: улица Керей-Жанибек хандар, 14. Данная мера позволит сохранить кадровый потенциал и привлечь молодые таланты в науку.</w:t>
      </w:r>
    </w:p>
    <w:bookmarkEnd w:id="339"/>
    <w:bookmarkStart w:name="z385" w:id="340"/>
    <w:p>
      <w:pPr>
        <w:spacing w:after="0"/>
        <w:ind w:left="0"/>
        <w:jc w:val="both"/>
      </w:pPr>
      <w:r>
        <w:rPr>
          <w:rFonts w:ascii="Times New Roman"/>
          <w:b w:val="false"/>
          <w:i w:val="false"/>
          <w:color w:val="000000"/>
          <w:sz w:val="28"/>
        </w:rPr>
        <w:t>
      4. Спортивная инфраструктура и благоустройство кампусов.</w:t>
      </w:r>
    </w:p>
    <w:bookmarkEnd w:id="340"/>
    <w:bookmarkStart w:name="z386" w:id="341"/>
    <w:p>
      <w:pPr>
        <w:spacing w:after="0"/>
        <w:ind w:left="0"/>
        <w:jc w:val="both"/>
      </w:pPr>
      <w:r>
        <w:rPr>
          <w:rFonts w:ascii="Times New Roman"/>
          <w:b w:val="false"/>
          <w:i w:val="false"/>
          <w:color w:val="000000"/>
          <w:sz w:val="28"/>
        </w:rPr>
        <w:t>
      Для пропаганды здорового образа жизни на территории университета будут построены современные спортивные комплексы:</w:t>
      </w:r>
    </w:p>
    <w:bookmarkEnd w:id="341"/>
    <w:bookmarkStart w:name="z387" w:id="342"/>
    <w:p>
      <w:pPr>
        <w:spacing w:after="0"/>
        <w:ind w:left="0"/>
        <w:jc w:val="both"/>
      </w:pPr>
      <w:r>
        <w:rPr>
          <w:rFonts w:ascii="Times New Roman"/>
          <w:b w:val="false"/>
          <w:i w:val="false"/>
          <w:color w:val="000000"/>
          <w:sz w:val="28"/>
        </w:rPr>
        <w:t>
      в кампусе института науки о животных и ветеринарии в поселке Интернациональный будет возведен новый спортивный комплекс;</w:t>
      </w:r>
    </w:p>
    <w:bookmarkEnd w:id="342"/>
    <w:bookmarkStart w:name="z388" w:id="343"/>
    <w:p>
      <w:pPr>
        <w:spacing w:after="0"/>
        <w:ind w:left="0"/>
        <w:jc w:val="both"/>
      </w:pPr>
      <w:r>
        <w:rPr>
          <w:rFonts w:ascii="Times New Roman"/>
          <w:b w:val="false"/>
          <w:i w:val="false"/>
          <w:color w:val="000000"/>
          <w:sz w:val="28"/>
        </w:rPr>
        <w:t>
      завершится строительство еще одного спортивного комплекса, отвечающего современным требованиям, на территории существующего стадиона по улице Потанина, 16/1.</w:t>
      </w:r>
    </w:p>
    <w:bookmarkEnd w:id="343"/>
    <w:bookmarkStart w:name="z389" w:id="344"/>
    <w:p>
      <w:pPr>
        <w:spacing w:after="0"/>
        <w:ind w:left="0"/>
        <w:jc w:val="both"/>
      </w:pPr>
      <w:r>
        <w:rPr>
          <w:rFonts w:ascii="Times New Roman"/>
          <w:b w:val="false"/>
          <w:i w:val="false"/>
          <w:color w:val="000000"/>
          <w:sz w:val="28"/>
        </w:rPr>
        <w:t>
      5. Инженерно-коммуникационное обеспечение.</w:t>
      </w:r>
    </w:p>
    <w:bookmarkEnd w:id="344"/>
    <w:bookmarkStart w:name="z390" w:id="345"/>
    <w:p>
      <w:pPr>
        <w:spacing w:after="0"/>
        <w:ind w:left="0"/>
        <w:jc w:val="both"/>
      </w:pPr>
      <w:r>
        <w:rPr>
          <w:rFonts w:ascii="Times New Roman"/>
          <w:b w:val="false"/>
          <w:i w:val="false"/>
          <w:color w:val="000000"/>
          <w:sz w:val="28"/>
        </w:rPr>
        <w:t>
      В целях повышения энергоэффективности и экологической безопасности кампусов будет реализован проект по газификации кампуса института зоотехнии и ветеринарии в поселке Интернациональный (улица Армандастар, 2Б). Это позволит снизить затраты на отопление объектов и уменьшить воздействие на окружающую среду.</w:t>
      </w:r>
    </w:p>
    <w:bookmarkEnd w:id="345"/>
    <w:bookmarkStart w:name="z391" w:id="346"/>
    <w:p>
      <w:pPr>
        <w:spacing w:after="0"/>
        <w:ind w:left="0"/>
        <w:jc w:val="both"/>
      </w:pPr>
      <w:r>
        <w:rPr>
          <w:rFonts w:ascii="Times New Roman"/>
          <w:b w:val="false"/>
          <w:i w:val="false"/>
          <w:color w:val="000000"/>
          <w:sz w:val="28"/>
        </w:rPr>
        <w:t>
      В целях минимизации коррупционных рисков и обеспечения транспарентности достижения целевых индикаторов оценка реализации инфраструктурных проектов осуществляется на основе количественного учета фактически введенных в эксплуатацию объектов и верифицированных данных. Источниками информации выступают официальные акты уполномоченных государственных органов (МНВО РК, МСХ РК), данные независимых аудиторских проверок и проектно-сметная документация. Мониторинг исполнения проектов возлагается на службу внутреннего аудита университета с обязательным размещением отчетов в открытом доступе на официальном веб-сайте КАТИУ.</w:t>
      </w:r>
    </w:p>
    <w:bookmarkEnd w:id="346"/>
    <w:p>
      <w:pPr>
        <w:spacing w:after="0"/>
        <w:ind w:left="0"/>
        <w:jc w:val="both"/>
      </w:pPr>
      <w:r>
        <w:rPr>
          <w:rFonts w:ascii="Times New Roman"/>
          <w:b/>
          <w:i w:val="false"/>
          <w:color w:val="000000"/>
          <w:sz w:val="28"/>
        </w:rPr>
        <w:t>Раздел 6. Пути достижения поставленной цели Программы</w:t>
      </w:r>
    </w:p>
    <w:bookmarkStart w:name="z393" w:id="347"/>
    <w:p>
      <w:pPr>
        <w:spacing w:after="0"/>
        <w:ind w:left="0"/>
        <w:jc w:val="both"/>
      </w:pPr>
      <w:r>
        <w:rPr>
          <w:rFonts w:ascii="Times New Roman"/>
          <w:b w:val="false"/>
          <w:i w:val="false"/>
          <w:color w:val="000000"/>
          <w:sz w:val="28"/>
        </w:rPr>
        <w:t>
      На основе комплексного анализа текущей деятельности КАТИУ, вызовов отечественной системы аграрной науки, а также передового международного опыта технологической модернизации АПК трансформация КАТИУ в исследовательский аграрный университет мирового уровня требует последовательного решения следующих ключевых задач:</w:t>
      </w:r>
    </w:p>
    <w:bookmarkEnd w:id="347"/>
    <w:bookmarkStart w:name="z394" w:id="348"/>
    <w:p>
      <w:pPr>
        <w:spacing w:after="0"/>
        <w:ind w:left="0"/>
        <w:jc w:val="both"/>
      </w:pPr>
      <w:r>
        <w:rPr>
          <w:rFonts w:ascii="Times New Roman"/>
          <w:b w:val="false"/>
          <w:i w:val="false"/>
          <w:color w:val="000000"/>
          <w:sz w:val="28"/>
        </w:rPr>
        <w:t>
      1) предоставление стабильного, достаточного финансирования в целях непрерывности реформирования КАТИУ и достижения запланированных результатов, в частности, обеспечение финансовой устойчивости за счет диверсификации источников доходов (бюджетное финансирование, целевые гранты, доходы от коммерциализации и фандрайзинга) для масштабной модернизации и расширения инфраструктуры, расширения и углубления научных исследований, кардинальной реформы организации и содержания образовательного процесса, академической мобильности, стажировок ППС, стабильной работы офисов распространения знаний и коммерциализации технологий;</w:t>
      </w:r>
    </w:p>
    <w:bookmarkEnd w:id="348"/>
    <w:bookmarkStart w:name="z395" w:id="349"/>
    <w:p>
      <w:pPr>
        <w:spacing w:after="0"/>
        <w:ind w:left="0"/>
        <w:jc w:val="both"/>
      </w:pPr>
      <w:r>
        <w:rPr>
          <w:rFonts w:ascii="Times New Roman"/>
          <w:b w:val="false"/>
          <w:i w:val="false"/>
          <w:color w:val="000000"/>
          <w:sz w:val="28"/>
        </w:rPr>
        <w:t>
      2) научные исследования, проводимые в КАТИУ, с одной стороны, должны охватывать ключевые технологические проблемы в АПК целевого региона, а с другой стороны соответствовать приоритетам мировой аграрной науки, чтобы обеспечивать трансферт передовых компетенций и технологий посредством глубокой интеграции в мировое научно-образовательное пространство (уровень научной компетенции в фундаментальных науках, академический профиль и система управления научными исследованиями должны обеспечить высокое качество научных результатов, междисциплинарный и комплексный подходы к исследуемой проблеме);</w:t>
      </w:r>
    </w:p>
    <w:bookmarkEnd w:id="349"/>
    <w:bookmarkStart w:name="z396" w:id="350"/>
    <w:p>
      <w:pPr>
        <w:spacing w:after="0"/>
        <w:ind w:left="0"/>
        <w:jc w:val="both"/>
      </w:pPr>
      <w:r>
        <w:rPr>
          <w:rFonts w:ascii="Times New Roman"/>
          <w:b w:val="false"/>
          <w:i w:val="false"/>
          <w:color w:val="000000"/>
          <w:sz w:val="28"/>
        </w:rPr>
        <w:t>
      3) модернизация академической среды, включающая:</w:t>
      </w:r>
    </w:p>
    <w:bookmarkEnd w:id="350"/>
    <w:bookmarkStart w:name="z397" w:id="351"/>
    <w:p>
      <w:pPr>
        <w:spacing w:after="0"/>
        <w:ind w:left="0"/>
        <w:jc w:val="both"/>
      </w:pPr>
      <w:r>
        <w:rPr>
          <w:rFonts w:ascii="Times New Roman"/>
          <w:b w:val="false"/>
          <w:i w:val="false"/>
          <w:color w:val="000000"/>
          <w:sz w:val="28"/>
        </w:rPr>
        <w:t>
      а) обновление содержания образовательных программ и организацию образовательного процесса по модели ведущих в мире исследовательских аграрных университетов с акцентом на развитие востребованных компетенций и навыков самостоятельного нахождения оптимальных решений в различных практических ситуациях согласно ожиданиям работодателей;</w:t>
      </w:r>
    </w:p>
    <w:bookmarkEnd w:id="351"/>
    <w:bookmarkStart w:name="z398" w:id="352"/>
    <w:p>
      <w:pPr>
        <w:spacing w:after="0"/>
        <w:ind w:left="0"/>
        <w:jc w:val="both"/>
      </w:pPr>
      <w:r>
        <w:rPr>
          <w:rFonts w:ascii="Times New Roman"/>
          <w:b w:val="false"/>
          <w:i w:val="false"/>
          <w:color w:val="000000"/>
          <w:sz w:val="28"/>
        </w:rPr>
        <w:t>
      б) расширение спектра вспомогательных услуг для обучающихся с целью создания благоприятных условий для их всестороннего развития и успешного освоения образовательных программ;</w:t>
      </w:r>
    </w:p>
    <w:bookmarkEnd w:id="352"/>
    <w:bookmarkStart w:name="z399" w:id="353"/>
    <w:p>
      <w:pPr>
        <w:spacing w:after="0"/>
        <w:ind w:left="0"/>
        <w:jc w:val="both"/>
      </w:pPr>
      <w:r>
        <w:rPr>
          <w:rFonts w:ascii="Times New Roman"/>
          <w:b w:val="false"/>
          <w:i w:val="false"/>
          <w:color w:val="000000"/>
          <w:sz w:val="28"/>
        </w:rPr>
        <w:t>
      в) создание условий для развития ППС путем участия в научных исследованиях, углубленного изучения иностранных языков и освоения современных методов преподавания.</w:t>
      </w:r>
    </w:p>
    <w:bookmarkEnd w:id="353"/>
    <w:bookmarkStart w:name="z400" w:id="354"/>
    <w:p>
      <w:pPr>
        <w:spacing w:after="0"/>
        <w:ind w:left="0"/>
        <w:jc w:val="both"/>
      </w:pPr>
      <w:r>
        <w:rPr>
          <w:rFonts w:ascii="Times New Roman"/>
          <w:b w:val="false"/>
          <w:i w:val="false"/>
          <w:color w:val="000000"/>
          <w:sz w:val="28"/>
        </w:rPr>
        <w:t>
      4) реформирование кадровой политики, в том числе создание системы найма и карьерного продвижения, стимулирующей постоянное профессиональное развитие и обеспечивающей условия для полной реализации потенциала работников;</w:t>
      </w:r>
    </w:p>
    <w:bookmarkEnd w:id="354"/>
    <w:bookmarkStart w:name="z401" w:id="355"/>
    <w:p>
      <w:pPr>
        <w:spacing w:after="0"/>
        <w:ind w:left="0"/>
        <w:jc w:val="both"/>
      </w:pPr>
      <w:r>
        <w:rPr>
          <w:rFonts w:ascii="Times New Roman"/>
          <w:b w:val="false"/>
          <w:i w:val="false"/>
          <w:color w:val="000000"/>
          <w:sz w:val="28"/>
        </w:rPr>
        <w:t>
      5) расширение механизмов внедрения научных результатов КАТИУ и взаимодействия с субъектами негосударственного сектора – работодателями выпускников и потребителями инноваций (переход к модели "demand-driven" (ориентированной на запросы рынка), что позволит усилить привлечение ресурсов из негосударственного сектора и укрепить репутацию КАТИУ);</w:t>
      </w:r>
    </w:p>
    <w:bookmarkEnd w:id="355"/>
    <w:bookmarkStart w:name="z402" w:id="356"/>
    <w:p>
      <w:pPr>
        <w:spacing w:after="0"/>
        <w:ind w:left="0"/>
        <w:jc w:val="both"/>
      </w:pPr>
      <w:r>
        <w:rPr>
          <w:rFonts w:ascii="Times New Roman"/>
          <w:b w:val="false"/>
          <w:i w:val="false"/>
          <w:color w:val="000000"/>
          <w:sz w:val="28"/>
        </w:rPr>
        <w:t>
      6) расширение инфраструктуры для обеспечения базовых потребностей и основных направлений деятельности КАТИУ, в том числе:</w:t>
      </w:r>
    </w:p>
    <w:bookmarkEnd w:id="356"/>
    <w:bookmarkStart w:name="z403" w:id="357"/>
    <w:p>
      <w:pPr>
        <w:spacing w:after="0"/>
        <w:ind w:left="0"/>
        <w:jc w:val="both"/>
      </w:pPr>
      <w:r>
        <w:rPr>
          <w:rFonts w:ascii="Times New Roman"/>
          <w:b w:val="false"/>
          <w:i w:val="false"/>
          <w:color w:val="000000"/>
          <w:sz w:val="28"/>
        </w:rPr>
        <w:t>
      а) модернизация имеющейся инфраструктуры с учетом универсальности, междисциплинарности и расширения академического профиля КАТИУ;</w:t>
      </w:r>
    </w:p>
    <w:bookmarkEnd w:id="357"/>
    <w:bookmarkStart w:name="z404" w:id="358"/>
    <w:p>
      <w:pPr>
        <w:spacing w:after="0"/>
        <w:ind w:left="0"/>
        <w:jc w:val="both"/>
      </w:pPr>
      <w:r>
        <w:rPr>
          <w:rFonts w:ascii="Times New Roman"/>
          <w:b w:val="false"/>
          <w:i w:val="false"/>
          <w:color w:val="000000"/>
          <w:sz w:val="28"/>
        </w:rPr>
        <w:t>
      б) создание недостающей инфраструктуры с целью обеспечения комфортной рабочей среды для ППС и обучающихся, а также их проживание в общежитиях университета в соответствии с новыми требованиями к образовательному процессу, научным исследованиям и вспомогательным услугам;</w:t>
      </w:r>
    </w:p>
    <w:bookmarkEnd w:id="358"/>
    <w:bookmarkStart w:name="z405" w:id="359"/>
    <w:p>
      <w:pPr>
        <w:spacing w:after="0"/>
        <w:ind w:left="0"/>
        <w:jc w:val="both"/>
      </w:pPr>
      <w:r>
        <w:rPr>
          <w:rFonts w:ascii="Times New Roman"/>
          <w:b w:val="false"/>
          <w:i w:val="false"/>
          <w:color w:val="000000"/>
          <w:sz w:val="28"/>
        </w:rPr>
        <w:t>
      в) необходимость адаптации инфраструктуры и цифровых образовательных ресурсов университета под запросы обучающихся с ООП, а также систематического повышения профессиональной компетентности преподавательского состава в области инклюзивной педагогики.</w:t>
      </w:r>
    </w:p>
    <w:bookmarkEnd w:id="359"/>
    <w:bookmarkStart w:name="z406" w:id="360"/>
    <w:p>
      <w:pPr>
        <w:spacing w:after="0"/>
        <w:ind w:left="0"/>
        <w:jc w:val="both"/>
      </w:pPr>
      <w:r>
        <w:rPr>
          <w:rFonts w:ascii="Times New Roman"/>
          <w:b w:val="false"/>
          <w:i w:val="false"/>
          <w:color w:val="000000"/>
          <w:sz w:val="28"/>
        </w:rPr>
        <w:t>
      Последовательное и комплексное решение всех указанных вопросов достигается путем планомерного развития исследовательского аграрного университета на базе КАТИУ в соответствии с настоящей Программой.</w:t>
      </w:r>
    </w:p>
    <w:bookmarkEnd w:id="360"/>
    <w:p>
      <w:pPr>
        <w:spacing w:after="0"/>
        <w:ind w:left="0"/>
        <w:jc w:val="both"/>
      </w:pPr>
      <w:r>
        <w:rPr>
          <w:rFonts w:ascii="Times New Roman"/>
          <w:b/>
          <w:i w:val="false"/>
          <w:color w:val="000000"/>
          <w:sz w:val="28"/>
        </w:rPr>
        <w:t>Раздел 7. Описание ожидаемых результатов реализации Программы</w:t>
      </w:r>
    </w:p>
    <w:bookmarkStart w:name="z408" w:id="361"/>
    <w:p>
      <w:pPr>
        <w:spacing w:after="0"/>
        <w:ind w:left="0"/>
        <w:jc w:val="both"/>
      </w:pPr>
      <w:r>
        <w:rPr>
          <w:rFonts w:ascii="Times New Roman"/>
          <w:b w:val="false"/>
          <w:i w:val="false"/>
          <w:color w:val="000000"/>
          <w:sz w:val="28"/>
        </w:rPr>
        <w:t>
      Основные ожидаемые результаты к 2030 году:</w:t>
      </w:r>
    </w:p>
    <w:bookmarkEnd w:id="361"/>
    <w:bookmarkStart w:name="z409" w:id="362"/>
    <w:p>
      <w:pPr>
        <w:spacing w:after="0"/>
        <w:ind w:left="0"/>
        <w:jc w:val="both"/>
      </w:pPr>
      <w:r>
        <w:rPr>
          <w:rFonts w:ascii="Times New Roman"/>
          <w:b w:val="false"/>
          <w:i w:val="false"/>
          <w:color w:val="000000"/>
          <w:sz w:val="28"/>
        </w:rPr>
        <w:t>
      1. Медианная заработная плата выпускников вырастет с 199722 тенге до 279500 тенге.</w:t>
      </w:r>
    </w:p>
    <w:bookmarkEnd w:id="362"/>
    <w:bookmarkStart w:name="z410" w:id="363"/>
    <w:p>
      <w:pPr>
        <w:spacing w:after="0"/>
        <w:ind w:left="0"/>
        <w:jc w:val="both"/>
      </w:pPr>
      <w:r>
        <w:rPr>
          <w:rFonts w:ascii="Times New Roman"/>
          <w:b w:val="false"/>
          <w:i w:val="false"/>
          <w:color w:val="000000"/>
          <w:sz w:val="28"/>
        </w:rPr>
        <w:t>
      2. Общее количество коммерциализированных проектов РННТД возрастет с 13 до 16.</w:t>
      </w:r>
    </w:p>
    <w:bookmarkEnd w:id="363"/>
    <w:bookmarkStart w:name="z411" w:id="364"/>
    <w:p>
      <w:pPr>
        <w:spacing w:after="0"/>
        <w:ind w:left="0"/>
        <w:jc w:val="both"/>
      </w:pPr>
      <w:r>
        <w:rPr>
          <w:rFonts w:ascii="Times New Roman"/>
          <w:b w:val="false"/>
          <w:i w:val="false"/>
          <w:color w:val="000000"/>
          <w:sz w:val="28"/>
        </w:rPr>
        <w:t>
      3. Позиция университета в рейтинге QS WUR повысится с 1201 до 500 места (ТОП 500).</w:t>
      </w:r>
    </w:p>
    <w:bookmarkEnd w:id="364"/>
    <w:bookmarkStart w:name="z412" w:id="365"/>
    <w:p>
      <w:pPr>
        <w:spacing w:after="0"/>
        <w:ind w:left="0"/>
        <w:jc w:val="both"/>
      </w:pPr>
      <w:r>
        <w:rPr>
          <w:rFonts w:ascii="Times New Roman"/>
          <w:b w:val="false"/>
          <w:i w:val="false"/>
          <w:color w:val="000000"/>
          <w:sz w:val="28"/>
        </w:rPr>
        <w:t>
      4. Уровень удовлетворенности обучающихся и работников сервисами и дебюрократизацией в университете будет сохраняться на отметке выше 90 %.</w:t>
      </w:r>
    </w:p>
    <w:bookmarkEnd w:id="365"/>
    <w:bookmarkStart w:name="z413" w:id="366"/>
    <w:p>
      <w:pPr>
        <w:spacing w:after="0"/>
        <w:ind w:left="0"/>
        <w:jc w:val="both"/>
      </w:pPr>
      <w:r>
        <w:rPr>
          <w:rFonts w:ascii="Times New Roman"/>
          <w:b w:val="false"/>
          <w:i w:val="false"/>
          <w:color w:val="000000"/>
          <w:sz w:val="28"/>
        </w:rPr>
        <w:t>
      5. Количество инфраструктурных проектов, введенных в эксплуатацию, составит не менее 11 за период реализации Программы.</w:t>
      </w:r>
    </w:p>
    <w:bookmarkEnd w:id="366"/>
    <w:p>
      <w:pPr>
        <w:spacing w:after="0"/>
        <w:ind w:left="0"/>
        <w:jc w:val="both"/>
      </w:pPr>
      <w:r>
        <w:rPr>
          <w:rFonts w:ascii="Times New Roman"/>
          <w:b/>
          <w:i w:val="false"/>
          <w:color w:val="000000"/>
          <w:sz w:val="28"/>
        </w:rPr>
        <w:t>Раздел 8. Мониторинг и оценка прогресса реализации Программы</w:t>
      </w:r>
    </w:p>
    <w:bookmarkStart w:name="z415" w:id="367"/>
    <w:p>
      <w:pPr>
        <w:spacing w:after="0"/>
        <w:ind w:left="0"/>
        <w:jc w:val="both"/>
      </w:pPr>
      <w:r>
        <w:rPr>
          <w:rFonts w:ascii="Times New Roman"/>
          <w:b w:val="false"/>
          <w:i w:val="false"/>
          <w:color w:val="000000"/>
          <w:sz w:val="28"/>
        </w:rPr>
        <w:t>
      Целевые индикаторы Программы развития КАТИУ имени Сакена Сейфуллина на 2026 – 2030 годы и План мероприятий по реализации целевых индикаторов Программы развития приведены в таблицах 12 и 13.</w:t>
      </w:r>
    </w:p>
    <w:bookmarkEnd w:id="367"/>
    <w:bookmarkStart w:name="z416" w:id="368"/>
    <w:p>
      <w:pPr>
        <w:spacing w:after="0"/>
        <w:ind w:left="0"/>
        <w:jc w:val="both"/>
      </w:pPr>
      <w:r>
        <w:rPr>
          <w:rFonts w:ascii="Times New Roman"/>
          <w:b w:val="false"/>
          <w:i w:val="false"/>
          <w:color w:val="000000"/>
          <w:sz w:val="28"/>
        </w:rPr>
        <w:t>
      В целях обеспечения объективности мониторинга и внутренней оценки реализации Программы функции исполнения и контроля разграничены. Сбор и анализ информации проводятся отраслевыми структурными подразделениями университета, однако их верификацию и анализ проводит служба внутреннего аудита, подотчетная совету директоров.</w:t>
      </w:r>
    </w:p>
    <w:bookmarkEnd w:id="368"/>
    <w:bookmarkStart w:name="z417" w:id="369"/>
    <w:p>
      <w:pPr>
        <w:spacing w:after="0"/>
        <w:ind w:left="0"/>
        <w:jc w:val="both"/>
      </w:pPr>
      <w:r>
        <w:rPr>
          <w:rFonts w:ascii="Times New Roman"/>
          <w:b w:val="false"/>
          <w:i w:val="false"/>
          <w:color w:val="000000"/>
          <w:sz w:val="28"/>
        </w:rPr>
        <w:t>
      1. Методология мониторинга и верификация данных: расчет достижения индикаторов осуществляется на основе следующих официальных источников:</w:t>
      </w:r>
    </w:p>
    <w:bookmarkEnd w:id="369"/>
    <w:bookmarkStart w:name="z418" w:id="370"/>
    <w:p>
      <w:pPr>
        <w:spacing w:after="0"/>
        <w:ind w:left="0"/>
        <w:jc w:val="both"/>
      </w:pPr>
      <w:r>
        <w:rPr>
          <w:rFonts w:ascii="Times New Roman"/>
          <w:b w:val="false"/>
          <w:i w:val="false"/>
          <w:color w:val="000000"/>
          <w:sz w:val="28"/>
        </w:rPr>
        <w:t>
      результаты рейтингов НПП "Атамекен" и НААР;</w:t>
      </w:r>
    </w:p>
    <w:bookmarkEnd w:id="370"/>
    <w:bookmarkStart w:name="z419" w:id="371"/>
    <w:p>
      <w:pPr>
        <w:spacing w:after="0"/>
        <w:ind w:left="0"/>
        <w:jc w:val="both"/>
      </w:pPr>
      <w:r>
        <w:rPr>
          <w:rFonts w:ascii="Times New Roman"/>
          <w:b w:val="false"/>
          <w:i w:val="false"/>
          <w:color w:val="000000"/>
          <w:sz w:val="28"/>
        </w:rPr>
        <w:t>
      результаты международных академических рейтингов;</w:t>
      </w:r>
    </w:p>
    <w:bookmarkEnd w:id="371"/>
    <w:bookmarkStart w:name="z420" w:id="372"/>
    <w:p>
      <w:pPr>
        <w:spacing w:after="0"/>
        <w:ind w:left="0"/>
        <w:jc w:val="both"/>
      </w:pPr>
      <w:r>
        <w:rPr>
          <w:rFonts w:ascii="Times New Roman"/>
          <w:b w:val="false"/>
          <w:i w:val="false"/>
          <w:color w:val="000000"/>
          <w:sz w:val="28"/>
        </w:rPr>
        <w:t>
      международные базы данных (Web of Science, Scopus);</w:t>
      </w:r>
    </w:p>
    <w:bookmarkEnd w:id="372"/>
    <w:bookmarkStart w:name="z421" w:id="373"/>
    <w:p>
      <w:pPr>
        <w:spacing w:after="0"/>
        <w:ind w:left="0"/>
        <w:jc w:val="both"/>
      </w:pPr>
      <w:r>
        <w:rPr>
          <w:rFonts w:ascii="Times New Roman"/>
          <w:b w:val="false"/>
          <w:i w:val="false"/>
          <w:color w:val="000000"/>
          <w:sz w:val="28"/>
        </w:rPr>
        <w:t>
      внутренние административные данные;</w:t>
      </w:r>
    </w:p>
    <w:bookmarkEnd w:id="373"/>
    <w:bookmarkStart w:name="z422" w:id="374"/>
    <w:p>
      <w:pPr>
        <w:spacing w:after="0"/>
        <w:ind w:left="0"/>
        <w:jc w:val="both"/>
      </w:pPr>
      <w:r>
        <w:rPr>
          <w:rFonts w:ascii="Times New Roman"/>
          <w:b w:val="false"/>
          <w:i w:val="false"/>
          <w:color w:val="000000"/>
          <w:sz w:val="28"/>
        </w:rPr>
        <w:t>
      данные государственных органов (МСХ, МНВО), бизнес-сообщества.</w:t>
      </w:r>
    </w:p>
    <w:bookmarkEnd w:id="374"/>
    <w:bookmarkStart w:name="z423" w:id="375"/>
    <w:p>
      <w:pPr>
        <w:spacing w:after="0"/>
        <w:ind w:left="0"/>
        <w:jc w:val="both"/>
      </w:pPr>
      <w:r>
        <w:rPr>
          <w:rFonts w:ascii="Times New Roman"/>
          <w:b w:val="false"/>
          <w:i w:val="false"/>
          <w:color w:val="000000"/>
          <w:sz w:val="28"/>
        </w:rPr>
        <w:t>
      2. Правовые последствия: итоги мониторинга выносятся на рассмотрение правления, ученого совета и совета директоров университета в пределах их компетенции:</w:t>
      </w:r>
    </w:p>
    <w:bookmarkEnd w:id="375"/>
    <w:bookmarkStart w:name="z424" w:id="376"/>
    <w:p>
      <w:pPr>
        <w:spacing w:after="0"/>
        <w:ind w:left="0"/>
        <w:jc w:val="both"/>
      </w:pPr>
      <w:r>
        <w:rPr>
          <w:rFonts w:ascii="Times New Roman"/>
          <w:b w:val="false"/>
          <w:i w:val="false"/>
          <w:color w:val="000000"/>
          <w:sz w:val="28"/>
        </w:rPr>
        <w:t>
      в случае недостижения индикаторов или выявления фактов предоставления недостоверной информации, инициируется внутренняя служебная проверка (при установлении персональной вины исполнительный орган принимает меры дисциплинарной ответственности в соответствии с внутренними нормативными документами);</w:t>
      </w:r>
    </w:p>
    <w:bookmarkEnd w:id="376"/>
    <w:bookmarkStart w:name="z425" w:id="377"/>
    <w:p>
      <w:pPr>
        <w:spacing w:after="0"/>
        <w:ind w:left="0"/>
        <w:jc w:val="both"/>
      </w:pPr>
      <w:r>
        <w:rPr>
          <w:rFonts w:ascii="Times New Roman"/>
          <w:b w:val="false"/>
          <w:i w:val="false"/>
          <w:color w:val="000000"/>
          <w:sz w:val="28"/>
        </w:rPr>
        <w:t xml:space="preserve">
      при низкой динамике исполнения индикаторов на основании решений коллегиальных органов управления университета выносится требование о внесении необходимых корректировок в Программу или бюджет университета для обеспечения достижения запланированных результатов. </w:t>
      </w:r>
    </w:p>
    <w:bookmarkEnd w:id="377"/>
    <w:bookmarkStart w:name="z426" w:id="378"/>
    <w:p>
      <w:pPr>
        <w:spacing w:after="0"/>
        <w:ind w:left="0"/>
        <w:jc w:val="both"/>
      </w:pPr>
      <w:r>
        <w:rPr>
          <w:rFonts w:ascii="Times New Roman"/>
          <w:b w:val="false"/>
          <w:i w:val="false"/>
          <w:color w:val="000000"/>
          <w:sz w:val="28"/>
        </w:rPr>
        <w:t>
      3. Публичная отчетность: информация о ходе реализации Программы публикуется на официальном веб-сайте университета для обеспечения прозрачности перед стейкхолдерами и общественностью.</w:t>
      </w:r>
    </w:p>
    <w:bookmarkEnd w:id="378"/>
    <w:bookmarkStart w:name="z427" w:id="379"/>
    <w:p>
      <w:pPr>
        <w:spacing w:after="0"/>
        <w:ind w:left="0"/>
        <w:jc w:val="both"/>
      </w:pPr>
      <w:r>
        <w:rPr>
          <w:rFonts w:ascii="Times New Roman"/>
          <w:b w:val="false"/>
          <w:i w:val="false"/>
          <w:color w:val="000000"/>
          <w:sz w:val="28"/>
        </w:rPr>
        <w:t>
      Таблица 12. Целевые индикаторы Программы развития КАТИУ на 2026 – 2030 годы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1. Академическое развитие и обеспечение качественной подготовки кадров на всех уровнях высшего и послевузовского образования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Медианная заработная плата выпускников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2. Улучшение качества научных исследований, коммерциализация результатов и распространение знаний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коммерциализированных РННТД (с нарастающим итогом)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3. Повышение международной конкурентоспособности университета через цифровую трансформацию и развитие глобального академического партнерства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вуза в рейтинге QS-WUR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4. Формирование комфортной и высокотехнологичной университетской среды, способствующей эффективной социализации, воспитанию и творческой самореализации молодежи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обучающихся и работников сервисами и дебюрократизацией в университете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5. Запуск целевых инфраструктурных объектов, соответствующих современным стандартам образования и социальной сферы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в эксплуатацию инфраструктурных проектов – не менее 11 проектов за период реализации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428" w:id="380"/>
    <w:p>
      <w:pPr>
        <w:spacing w:after="0"/>
        <w:ind w:left="0"/>
        <w:jc w:val="both"/>
      </w:pPr>
      <w:r>
        <w:rPr>
          <w:rFonts w:ascii="Times New Roman"/>
          <w:b w:val="false"/>
          <w:i w:val="false"/>
          <w:color w:val="000000"/>
          <w:sz w:val="28"/>
        </w:rPr>
        <w:t>
      Таблица 13. План мероприятий по реализации целевых индикаторов Программы развития КАТИУ на 2026 – 2030 годы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плановом периоде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1. Академическое развитие и обеспечение качественной подготовки кадров на всех уровнях высшего и послевузовского образования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1"/>
          <w:p>
            <w:pPr>
              <w:spacing w:after="20"/>
              <w:ind w:left="20"/>
              <w:jc w:val="both"/>
            </w:pPr>
            <w:r>
              <w:rPr>
                <w:rFonts w:ascii="Times New Roman"/>
                <w:b w:val="false"/>
                <w:i w:val="false"/>
                <w:color w:val="000000"/>
                <w:sz w:val="20"/>
              </w:rPr>
              <w:t>
Целевой индикатор 1. Медианная заработная плата выпускников, в тенге</w:t>
            </w:r>
          </w:p>
          <w:bookmarkEnd w:id="381"/>
          <w:p>
            <w:pPr>
              <w:spacing w:after="20"/>
              <w:ind w:left="20"/>
              <w:jc w:val="both"/>
            </w:pPr>
            <w:r>
              <w:rPr>
                <w:rFonts w:ascii="Times New Roman"/>
                <w:b w:val="false"/>
                <w:i w:val="false"/>
                <w:color w:val="000000"/>
                <w:sz w:val="20"/>
              </w:rPr>
              <w:t>
(2026 год – 199722, 2027 год – 219500, 2028 год – 239500, 2029 год – 259500, 2030 год – 279500)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балл ЕНТ первокурсников, поступивших на обучение в университет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обучающихся качеством преподавания и академических сервисов, в том числе в рамках инклюзии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опроса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образовательных программ, вошедших в ТОП-3 рейтингов НПП "Атамекен" и НААР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рейтинге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дуальным обучением и внутренней мобильностью обучающихся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из числа работодателей, в том числе коммерциализировавших научные разработки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договора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доходов от академической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работодателей качеством подготовки специалистов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опроса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по группам образовательных программ в первый год после окончания университета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мониторинга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2. Улучшение качества научных исследований, коммерциализация результатов и распространение знаний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2"/>
          <w:p>
            <w:pPr>
              <w:spacing w:after="20"/>
              <w:ind w:left="20"/>
              <w:jc w:val="both"/>
            </w:pPr>
            <w:r>
              <w:rPr>
                <w:rFonts w:ascii="Times New Roman"/>
                <w:b w:val="false"/>
                <w:i w:val="false"/>
                <w:color w:val="000000"/>
                <w:sz w:val="20"/>
              </w:rPr>
              <w:t>
Целевой индикатор 2. Общее количество коммерциализированных РННТД (с нарастающим итогом)</w:t>
            </w:r>
          </w:p>
          <w:bookmarkEnd w:id="382"/>
          <w:p>
            <w:pPr>
              <w:spacing w:after="20"/>
              <w:ind w:left="20"/>
              <w:jc w:val="both"/>
            </w:pPr>
            <w:r>
              <w:rPr>
                <w:rFonts w:ascii="Times New Roman"/>
                <w:b w:val="false"/>
                <w:i w:val="false"/>
                <w:color w:val="000000"/>
                <w:sz w:val="20"/>
              </w:rPr>
              <w:t>
(2026 год – 13 единиц, 2027 год – 13 единиц, 2028 год – 14 единиц, 2029 год – 15 единиц, 2030 год – 16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ППС, занимающихся исследованиями в рамках научных проектов и программ, хозяйственных договорных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 работников КАТИУ в высокорейтинговых изданиях Q1, Q2 или процентиль свыше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Scopus и Web of Science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цитирований на одну публикацию (по данным Scopus и Web of Science)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Scopus и Web of Science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объектов интеллектуальной собственности (ОИС) штатных сотрудников университета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НИИС (Казпатент)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стартап-компаний, созданных обучающимися с объемом продаж свыше </w:t>
            </w:r>
          </w:p>
          <w:p>
            <w:pPr>
              <w:spacing w:after="20"/>
              <w:ind w:left="20"/>
              <w:jc w:val="both"/>
            </w:pPr>
            <w:r>
              <w:rPr>
                <w:rFonts w:ascii="Times New Roman"/>
                <w:b w:val="false"/>
                <w:i w:val="false"/>
                <w:color w:val="000000"/>
                <w:sz w:val="20"/>
              </w:rPr>
              <w:t>100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основанных на РННТД стартап-компаний, созданных учеными с объемом продаж свыше 1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доходов от коммерциализации РННТД (доходы от ОИС, стартап-компаний, проектов коммерциализации, хозяйственных договоров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доходов от научной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3. Повышение международной конкурентоспособности университета через цифровую трансформацию и развитие глобального академического партнерства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3"/>
          <w:p>
            <w:pPr>
              <w:spacing w:after="20"/>
              <w:ind w:left="20"/>
              <w:jc w:val="both"/>
            </w:pPr>
            <w:r>
              <w:rPr>
                <w:rFonts w:ascii="Times New Roman"/>
                <w:b w:val="false"/>
                <w:i w:val="false"/>
                <w:color w:val="000000"/>
                <w:sz w:val="20"/>
              </w:rPr>
              <w:t>
Целевой индикатор 3. Позиция вуза в рейтинге QS-WUR (500+)</w:t>
            </w:r>
          </w:p>
          <w:bookmarkEnd w:id="383"/>
          <w:p>
            <w:pPr>
              <w:spacing w:after="20"/>
              <w:ind w:left="20"/>
              <w:jc w:val="both"/>
            </w:pPr>
            <w:r>
              <w:rPr>
                <w:rFonts w:ascii="Times New Roman"/>
                <w:b w:val="false"/>
                <w:i w:val="false"/>
                <w:color w:val="000000"/>
                <w:sz w:val="20"/>
              </w:rPr>
              <w:t>
(2026 год – 1201+, 2027 год – 1001+, 2028 год – 800+, 2029 год – 600+, 2030 год –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цифровой зрелости университета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цифровой зрелости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ИИ-агентов и ИИ-ассистентов в целях развития "SMART-университета"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показателей системы управления рисками МНВО РК (СУР) в "зеленой зоне"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СУР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вовлеченных в программы интернационализации, в том числе по программам двойного диплома и совместным образовательным программам в зарубежных вузах-партнерах, и иностранных обучающихся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вовлеченных в программы интернационализации, в том числе по программам двойного диплома и совместным образовательным программам в зарубежных вузах-партнерах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образовательных программ, вошедших в QS by Subject (с нарастающим итогом)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QS by Subject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академической репутации и репутации среди работодателей в рейтинге QS WUR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QS WUR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привлеченного финансирования за счет международных партнеров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4. Формирование комфортной и высокотехнологичной университетской среды, способствующей эффективной социализации, воспитанию и творческой самореализации молодежи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4"/>
          <w:p>
            <w:pPr>
              <w:spacing w:after="20"/>
              <w:ind w:left="20"/>
              <w:jc w:val="both"/>
            </w:pPr>
            <w:r>
              <w:rPr>
                <w:rFonts w:ascii="Times New Roman"/>
                <w:b w:val="false"/>
                <w:i w:val="false"/>
                <w:color w:val="000000"/>
                <w:sz w:val="20"/>
              </w:rPr>
              <w:t>
Целевой индикатор 4. Уровень удовлетворенности обучающихся и работников сервисами и дебюрократизацией в университете</w:t>
            </w:r>
          </w:p>
          <w:bookmarkEnd w:id="384"/>
          <w:p>
            <w:pPr>
              <w:spacing w:after="20"/>
              <w:ind w:left="20"/>
              <w:jc w:val="both"/>
            </w:pPr>
            <w:r>
              <w:rPr>
                <w:rFonts w:ascii="Times New Roman"/>
                <w:b w:val="false"/>
                <w:i w:val="false"/>
                <w:color w:val="000000"/>
                <w:sz w:val="20"/>
              </w:rPr>
              <w:t>
(2026 год – 70 %, 2027 год – 72 %, 2028 год – 75 %, 2029 год – 77 %, 2030 год – 80 %)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студенческих общежитиях (собственных и арендованных), в том числе для обучающихся с особыми образовательными потребностями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по профилактике правонарушений среди обучающихся и работников в рамках инициативы "Закон и порядок"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университета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института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получивших необходимую социально-психологическую консультацию и помощь, в том числе по инклюзии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социальную помощь обучающимся и работникам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социальных инвестиций, привлеченных от внешних инвесторов (fund-raising)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вовлеченных в организованную общественную деятельность, в том числе через волонтерство, студенческое самоуправление и дебатное движение, с целью повышения уровня гражданственности и патриотизма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 призеров городских, областных, республиканских, международных образовательных, научных, спортивных и культурных мероприятий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позитивных информационных реакций от утвержденных целевых групп (работодатели, эксперты, заинтересованные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цель 5. Запуск целевых инфраструктурных объектов, соответствующих современным стандартам образования и социальной сферы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5"/>
          <w:p>
            <w:pPr>
              <w:spacing w:after="20"/>
              <w:ind w:left="20"/>
              <w:jc w:val="both"/>
            </w:pPr>
            <w:r>
              <w:rPr>
                <w:rFonts w:ascii="Times New Roman"/>
                <w:b w:val="false"/>
                <w:i w:val="false"/>
                <w:color w:val="000000"/>
                <w:sz w:val="20"/>
              </w:rPr>
              <w:t>
Целевой индикатор 5. Количество введенных в эксплуатацию инфраструктурных проектов – не менее 11 проектов за период реализации программы</w:t>
            </w:r>
          </w:p>
          <w:bookmarkEnd w:id="385"/>
          <w:p>
            <w:pPr>
              <w:spacing w:after="20"/>
              <w:ind w:left="20"/>
              <w:jc w:val="both"/>
            </w:pPr>
            <w:r>
              <w:rPr>
                <w:rFonts w:ascii="Times New Roman"/>
                <w:b w:val="false"/>
                <w:i w:val="false"/>
                <w:color w:val="000000"/>
                <w:sz w:val="20"/>
              </w:rPr>
              <w:t>
(2026 год – 0 единиц, 2027 год – +3 единицы, 2028 год – +3 единицы, 2029 год – +2 единицы, 2030 год – +3 единицы)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КАТИУ с целью сноса общежития № 2 б и строительства нового общежития за счет инвесторов на 1000 мест по улице Алии Молдагуловой, 29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(за счет республиканского бюджета (далее –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КАТИУ с целью развития цифровой инфраструктуры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(за счет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КАТИУ для приобретения лабораторного оборудования с целью реализации проекта "Создание ветеринарного клинико-диагностического центра"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(за счет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КАТИУ для приобретения лабораторного оборудования с целью реализации проекта "Модернизация образовательного и научно-производственного центра "Цифровые технологии и материаловедение в сельскохозяйственном машиностроении"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(за счет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КАТИУ для приобретения оборудования с целью реализации проекта "Центр искусственного интеллекта и геопространственной аналитики в агропромышленном комплексе"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(за счет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КАТИУ путем закупа лабораторного оборудования с целью реализации проекта "Создание образовательного и научно-производственного центра репродукции сельскохозяйственных животных и объектов аквакультуры"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(за счет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КАТИУ с целью строительства учебного корпуса с общежитием в кампусе института сельского и лесного хозяйства в городе Щучинске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(за счет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в кампусе института науки о животных и ветеринарии в поселке Интернациональный по улице Армандастар, 2 /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дома для молодых ученых по улице Керей-Жанибек хандар,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Газификация кампуса института науки о животных и ветеринарии в поселке Интернациональный по улице Армандастар, 2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спортивного комплекса на территории существующего стадиона по улице Потанина, 16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r>
    </w:tbl>
    <w:bookmarkStart w:name="z434" w:id="386"/>
    <w:p>
      <w:pPr>
        <w:spacing w:after="0"/>
        <w:ind w:left="0"/>
        <w:jc w:val="both"/>
      </w:pPr>
      <w:r>
        <w:rPr>
          <w:rFonts w:ascii="Times New Roman"/>
          <w:b w:val="false"/>
          <w:i w:val="false"/>
          <w:color w:val="000000"/>
          <w:sz w:val="28"/>
        </w:rPr>
        <w:t>
      _____________________________________</w:t>
      </w:r>
    </w:p>
    <w:bookmarkEnd w:id="3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