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52d2" w14:textId="33352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января 2024 года № 33 "О Генеральном плане города Астаны (включая основные положения)"</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2026 года № 697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января 2024 года № 33 "О Генеральном плане города Астаны (включая основные положения)"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23 Строительного кодекса Республики Казахстан, в целях обеспечения комплексного развития города Астаны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Генеральный план</w:t>
      </w:r>
      <w:r>
        <w:rPr>
          <w:rFonts w:ascii="Times New Roman"/>
          <w:b w:val="false"/>
          <w:i w:val="false"/>
          <w:color w:val="000000"/>
          <w:sz w:val="28"/>
        </w:rPr>
        <w:t xml:space="preserve"> города Астаны (включая основные положения),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Настоящее постановление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августа 2026 года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2024 года № 33</w:t>
            </w:r>
          </w:p>
        </w:tc>
      </w:tr>
    </w:tbl>
    <w:bookmarkStart w:name="z13" w:id="4"/>
    <w:p>
      <w:pPr>
        <w:spacing w:after="0"/>
        <w:ind w:left="0"/>
        <w:jc w:val="left"/>
      </w:pPr>
      <w:r>
        <w:rPr>
          <w:rFonts w:ascii="Times New Roman"/>
          <w:b/>
          <w:i w:val="false"/>
          <w:color w:val="000000"/>
        </w:rPr>
        <w:t xml:space="preserve"> Генеральный план города Астаны (включая основные положения)</w:t>
      </w:r>
    </w:p>
    <w:bookmarkEnd w:id="4"/>
    <w:bookmarkStart w:name="z14" w:id="5"/>
    <w:p>
      <w:pPr>
        <w:spacing w:after="0"/>
        <w:ind w:left="0"/>
        <w:jc w:val="left"/>
      </w:pPr>
      <w:r>
        <w:rPr>
          <w:rFonts w:ascii="Times New Roman"/>
          <w:b/>
          <w:i w:val="false"/>
          <w:color w:val="000000"/>
        </w:rPr>
        <w:t xml:space="preserve"> Глава 1. Введение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Генеральный план</w:t>
      </w:r>
      <w:r>
        <w:rPr>
          <w:rFonts w:ascii="Times New Roman"/>
          <w:b w:val="false"/>
          <w:i w:val="false"/>
          <w:color w:val="000000"/>
          <w:sz w:val="28"/>
        </w:rPr>
        <w:t xml:space="preserve"> города Астаны до 2035 года (далее - Генеральный план) утвержден постановлением Правительства Республики Казахстан от 25 января 2024 года № 33.</w:t>
      </w:r>
    </w:p>
    <w:bookmarkStart w:name="z16" w:id="6"/>
    <w:p>
      <w:pPr>
        <w:spacing w:after="0"/>
        <w:ind w:left="0"/>
        <w:jc w:val="both"/>
      </w:pPr>
      <w:r>
        <w:rPr>
          <w:rFonts w:ascii="Times New Roman"/>
          <w:b w:val="false"/>
          <w:i w:val="false"/>
          <w:color w:val="000000"/>
          <w:sz w:val="28"/>
        </w:rPr>
        <w:t>
      В основе Генерального плана лежат ключевые направления развития территории столицы до 2035 года, включая социальные, рекреационные и производственные зоны, обеспечение города необходимой инженерной и транспортной инфраструктурой.</w:t>
      </w:r>
    </w:p>
    <w:bookmarkEnd w:id="6"/>
    <w:bookmarkStart w:name="z17" w:id="7"/>
    <w:p>
      <w:pPr>
        <w:spacing w:after="0"/>
        <w:ind w:left="0"/>
        <w:jc w:val="both"/>
      </w:pPr>
      <w:r>
        <w:rPr>
          <w:rFonts w:ascii="Times New Roman"/>
          <w:b w:val="false"/>
          <w:i w:val="false"/>
          <w:color w:val="000000"/>
          <w:sz w:val="28"/>
        </w:rPr>
        <w:t>
      Генеральный план является основным градостроительным документом, определяющим направления перспективного комплексного развития города, планировочной организации территории, системы социальной и инженерно-транспортной инфраструктуры города.</w:t>
      </w:r>
    </w:p>
    <w:bookmarkEnd w:id="7"/>
    <w:bookmarkStart w:name="z18" w:id="8"/>
    <w:p>
      <w:pPr>
        <w:spacing w:after="0"/>
        <w:ind w:left="0"/>
        <w:jc w:val="both"/>
      </w:pPr>
      <w:r>
        <w:rPr>
          <w:rFonts w:ascii="Times New Roman"/>
          <w:b w:val="false"/>
          <w:i w:val="false"/>
          <w:color w:val="000000"/>
          <w:sz w:val="28"/>
        </w:rPr>
        <w:t xml:space="preserve">
      Генеральный план разработан в соответствии с требованиями </w:t>
      </w:r>
      <w:r>
        <w:rPr>
          <w:rFonts w:ascii="Times New Roman"/>
          <w:b w:val="false"/>
          <w:i w:val="false"/>
          <w:color w:val="000000"/>
          <w:sz w:val="28"/>
        </w:rPr>
        <w:t>Земельного</w:t>
      </w:r>
      <w:r>
        <w:rPr>
          <w:rFonts w:ascii="Times New Roman"/>
          <w:b w:val="false"/>
          <w:i w:val="false"/>
          <w:color w:val="000000"/>
          <w:sz w:val="28"/>
        </w:rPr>
        <w:t xml:space="preserve">, </w:t>
      </w:r>
      <w:r>
        <w:rPr>
          <w:rFonts w:ascii="Times New Roman"/>
          <w:b w:val="false"/>
          <w:i w:val="false"/>
          <w:color w:val="000000"/>
          <w:sz w:val="28"/>
        </w:rPr>
        <w:t>Водного</w:t>
      </w:r>
      <w:r>
        <w:rPr>
          <w:rFonts w:ascii="Times New Roman"/>
          <w:b w:val="false"/>
          <w:i w:val="false"/>
          <w:color w:val="000000"/>
          <w:sz w:val="28"/>
        </w:rPr>
        <w:t xml:space="preserve">, </w:t>
      </w:r>
      <w:r>
        <w:rPr>
          <w:rFonts w:ascii="Times New Roman"/>
          <w:b w:val="false"/>
          <w:i w:val="false"/>
          <w:color w:val="000000"/>
          <w:sz w:val="28"/>
        </w:rPr>
        <w:t>Экологического</w:t>
      </w:r>
      <w:r>
        <w:rPr>
          <w:rFonts w:ascii="Times New Roman"/>
          <w:b w:val="false"/>
          <w:i w:val="false"/>
          <w:color w:val="000000"/>
          <w:sz w:val="28"/>
        </w:rPr>
        <w:t xml:space="preserve"> и </w:t>
      </w:r>
      <w:r>
        <w:rPr>
          <w:rFonts w:ascii="Times New Roman"/>
          <w:b w:val="false"/>
          <w:i w:val="false"/>
          <w:color w:val="000000"/>
          <w:sz w:val="28"/>
        </w:rPr>
        <w:t>Строительного кодексов</w:t>
      </w:r>
      <w:r>
        <w:rPr>
          <w:rFonts w:ascii="Times New Roman"/>
          <w:b w:val="false"/>
          <w:i w:val="false"/>
          <w:color w:val="000000"/>
          <w:sz w:val="28"/>
        </w:rPr>
        <w:t xml:space="preserve"> Республики Казахстан, Закона Республики Казахстан "О местном государственном управлении и самоуправлении в Республике Казахстан", Конституционного закона Республики Казахстан "О статусе столицы Республики Казахстан", других законодательных актов и нормативных документов Республики Казахстан, относящихся к сфере градостроительного проектирования.</w:t>
      </w:r>
    </w:p>
    <w:bookmarkEnd w:id="8"/>
    <w:bookmarkStart w:name="z19" w:id="9"/>
    <w:p>
      <w:pPr>
        <w:spacing w:after="0"/>
        <w:ind w:left="0"/>
        <w:jc w:val="both"/>
      </w:pPr>
      <w:r>
        <w:rPr>
          <w:rFonts w:ascii="Times New Roman"/>
          <w:b w:val="false"/>
          <w:i w:val="false"/>
          <w:color w:val="000000"/>
          <w:sz w:val="28"/>
        </w:rPr>
        <w:t>
      Генеральным планом приняты следующие проектные периоды:</w:t>
      </w:r>
    </w:p>
    <w:bookmarkEnd w:id="9"/>
    <w:bookmarkStart w:name="z20" w:id="10"/>
    <w:p>
      <w:pPr>
        <w:spacing w:after="0"/>
        <w:ind w:left="0"/>
        <w:jc w:val="both"/>
      </w:pPr>
      <w:r>
        <w:rPr>
          <w:rFonts w:ascii="Times New Roman"/>
          <w:b w:val="false"/>
          <w:i w:val="false"/>
          <w:color w:val="000000"/>
          <w:sz w:val="28"/>
        </w:rPr>
        <w:t>
      исходный год - на 1 января 2025 года;</w:t>
      </w:r>
    </w:p>
    <w:bookmarkEnd w:id="10"/>
    <w:bookmarkStart w:name="z21" w:id="11"/>
    <w:p>
      <w:pPr>
        <w:spacing w:after="0"/>
        <w:ind w:left="0"/>
        <w:jc w:val="both"/>
      </w:pPr>
      <w:r>
        <w:rPr>
          <w:rFonts w:ascii="Times New Roman"/>
          <w:b w:val="false"/>
          <w:i w:val="false"/>
          <w:color w:val="000000"/>
          <w:sz w:val="28"/>
        </w:rPr>
        <w:t>
      первая очередь строительства - 2030 год;</w:t>
      </w:r>
    </w:p>
    <w:bookmarkEnd w:id="11"/>
    <w:bookmarkStart w:name="z22" w:id="12"/>
    <w:p>
      <w:pPr>
        <w:spacing w:after="0"/>
        <w:ind w:left="0"/>
        <w:jc w:val="both"/>
      </w:pPr>
      <w:r>
        <w:rPr>
          <w:rFonts w:ascii="Times New Roman"/>
          <w:b w:val="false"/>
          <w:i w:val="false"/>
          <w:color w:val="000000"/>
          <w:sz w:val="28"/>
        </w:rPr>
        <w:t>
      расчетный срок - 2035 год.</w:t>
      </w:r>
    </w:p>
    <w:bookmarkEnd w:id="12"/>
    <w:bookmarkStart w:name="z23" w:id="13"/>
    <w:p>
      <w:pPr>
        <w:spacing w:after="0"/>
        <w:ind w:left="0"/>
        <w:jc w:val="both"/>
      </w:pPr>
      <w:r>
        <w:rPr>
          <w:rFonts w:ascii="Times New Roman"/>
          <w:b w:val="false"/>
          <w:i w:val="false"/>
          <w:color w:val="000000"/>
          <w:sz w:val="28"/>
        </w:rPr>
        <w:t>
      В корректировке Генерального плана учтен ранее выполненный аналитический блок с ретроспективным анализом социально-экономического развития города, использования городских территорий, инженерной и транспортной инфраструктуры.</w:t>
      </w:r>
    </w:p>
    <w:bookmarkEnd w:id="13"/>
    <w:bookmarkStart w:name="z24" w:id="14"/>
    <w:p>
      <w:pPr>
        <w:spacing w:after="0"/>
        <w:ind w:left="0"/>
        <w:jc w:val="left"/>
      </w:pPr>
      <w:r>
        <w:rPr>
          <w:rFonts w:ascii="Times New Roman"/>
          <w:b/>
          <w:i w:val="false"/>
          <w:color w:val="000000"/>
        </w:rPr>
        <w:t xml:space="preserve"> Глава 2. Назначение Генерального плана</w:t>
      </w:r>
    </w:p>
    <w:bookmarkEnd w:id="14"/>
    <w:bookmarkStart w:name="z25" w:id="15"/>
    <w:p>
      <w:pPr>
        <w:spacing w:after="0"/>
        <w:ind w:left="0"/>
        <w:jc w:val="both"/>
      </w:pPr>
      <w:r>
        <w:rPr>
          <w:rFonts w:ascii="Times New Roman"/>
          <w:b w:val="false"/>
          <w:i w:val="false"/>
          <w:color w:val="000000"/>
          <w:sz w:val="28"/>
        </w:rPr>
        <w:t>
      Генеральный план разработан с учетом статуса столицы, взаимосвязанности города Астаны и Астанинской агломерации. Схема Генерального плана (основной чертеж) выполнена в границах перспективного территориального развития согласно приложению к настоящему Генеральному плану.</w:t>
      </w:r>
    </w:p>
    <w:bookmarkEnd w:id="15"/>
    <w:bookmarkStart w:name="z26" w:id="16"/>
    <w:p>
      <w:pPr>
        <w:spacing w:after="0"/>
        <w:ind w:left="0"/>
        <w:jc w:val="both"/>
      </w:pPr>
      <w:r>
        <w:rPr>
          <w:rFonts w:ascii="Times New Roman"/>
          <w:b w:val="false"/>
          <w:i w:val="false"/>
          <w:color w:val="000000"/>
          <w:sz w:val="28"/>
        </w:rPr>
        <w:t>
      Генеральный план определяет:</w:t>
      </w:r>
    </w:p>
    <w:bookmarkEnd w:id="16"/>
    <w:bookmarkStart w:name="z27" w:id="17"/>
    <w:p>
      <w:pPr>
        <w:spacing w:after="0"/>
        <w:ind w:left="0"/>
        <w:jc w:val="both"/>
      </w:pPr>
      <w:r>
        <w:rPr>
          <w:rFonts w:ascii="Times New Roman"/>
          <w:b w:val="false"/>
          <w:i w:val="false"/>
          <w:color w:val="000000"/>
          <w:sz w:val="28"/>
        </w:rPr>
        <w:t>
      1) основные направления развития территории города Астаны (далее - город), включая социальную, рекреационную, производственную, транспортную и инженерную инфраструктуры, с учетом комплексной оценки территории, природно-климатических, экологических, сложившихся и прогнозируемых демографических и социально-экономических условий;</w:t>
      </w:r>
    </w:p>
    <w:bookmarkEnd w:id="17"/>
    <w:bookmarkStart w:name="z28" w:id="18"/>
    <w:p>
      <w:pPr>
        <w:spacing w:after="0"/>
        <w:ind w:left="0"/>
        <w:jc w:val="both"/>
      </w:pPr>
      <w:r>
        <w:rPr>
          <w:rFonts w:ascii="Times New Roman"/>
          <w:b w:val="false"/>
          <w:i w:val="false"/>
          <w:color w:val="000000"/>
          <w:sz w:val="28"/>
        </w:rPr>
        <w:t>
      2) функциональное зонирование и ограничение использования территорий;</w:t>
      </w:r>
    </w:p>
    <w:bookmarkEnd w:id="18"/>
    <w:bookmarkStart w:name="z29" w:id="19"/>
    <w:p>
      <w:pPr>
        <w:spacing w:after="0"/>
        <w:ind w:left="0"/>
        <w:jc w:val="both"/>
      </w:pPr>
      <w:r>
        <w:rPr>
          <w:rFonts w:ascii="Times New Roman"/>
          <w:b w:val="false"/>
          <w:i w:val="false"/>
          <w:color w:val="000000"/>
          <w:sz w:val="28"/>
        </w:rPr>
        <w:t>
      3) соотношение застроенной и незастроенной территорий населенного пункта;</w:t>
      </w:r>
    </w:p>
    <w:bookmarkEnd w:id="19"/>
    <w:bookmarkStart w:name="z30" w:id="20"/>
    <w:p>
      <w:pPr>
        <w:spacing w:after="0"/>
        <w:ind w:left="0"/>
        <w:jc w:val="both"/>
      </w:pPr>
      <w:r>
        <w:rPr>
          <w:rFonts w:ascii="Times New Roman"/>
          <w:b w:val="false"/>
          <w:i w:val="false"/>
          <w:color w:val="000000"/>
          <w:sz w:val="28"/>
        </w:rPr>
        <w:t>
      4) зоны преимущественного отчуждения и приобретения земельных участков, резервные территории;</w:t>
      </w:r>
    </w:p>
    <w:bookmarkEnd w:id="20"/>
    <w:bookmarkStart w:name="z31" w:id="21"/>
    <w:p>
      <w:pPr>
        <w:spacing w:after="0"/>
        <w:ind w:left="0"/>
        <w:jc w:val="both"/>
      </w:pPr>
      <w:r>
        <w:rPr>
          <w:rFonts w:ascii="Times New Roman"/>
          <w:b w:val="false"/>
          <w:i w:val="false"/>
          <w:color w:val="000000"/>
          <w:sz w:val="28"/>
        </w:rPr>
        <w:t>
      5) меры по защите территории от воздействия опасных (вредных) природных, техногенных и антропогенных явлений и процессов, улучшению экологической обстановки;</w:t>
      </w:r>
    </w:p>
    <w:bookmarkEnd w:id="21"/>
    <w:bookmarkStart w:name="z32" w:id="22"/>
    <w:p>
      <w:pPr>
        <w:spacing w:after="0"/>
        <w:ind w:left="0"/>
        <w:jc w:val="both"/>
      </w:pPr>
      <w:r>
        <w:rPr>
          <w:rFonts w:ascii="Times New Roman"/>
          <w:b w:val="false"/>
          <w:i w:val="false"/>
          <w:color w:val="000000"/>
          <w:sz w:val="28"/>
        </w:rPr>
        <w:t>
      6) основные направления по разработке транспортного раздела Генерального плана, включающего разделы (части) документов по территориально-транспортному планированию и организации дорожного движения;</w:t>
      </w:r>
    </w:p>
    <w:bookmarkEnd w:id="22"/>
    <w:bookmarkStart w:name="z33" w:id="23"/>
    <w:p>
      <w:pPr>
        <w:spacing w:after="0"/>
        <w:ind w:left="0"/>
        <w:jc w:val="both"/>
      </w:pPr>
      <w:r>
        <w:rPr>
          <w:rFonts w:ascii="Times New Roman"/>
          <w:b w:val="false"/>
          <w:i w:val="false"/>
          <w:color w:val="000000"/>
          <w:sz w:val="28"/>
        </w:rPr>
        <w:t>
      7) основные направления инженерно-технических мероприятий гражданской обороны;</w:t>
      </w:r>
    </w:p>
    <w:bookmarkEnd w:id="23"/>
    <w:bookmarkStart w:name="z34" w:id="24"/>
    <w:p>
      <w:pPr>
        <w:spacing w:after="0"/>
        <w:ind w:left="0"/>
        <w:jc w:val="both"/>
      </w:pPr>
      <w:r>
        <w:rPr>
          <w:rFonts w:ascii="Times New Roman"/>
          <w:b w:val="false"/>
          <w:i w:val="false"/>
          <w:color w:val="000000"/>
          <w:sz w:val="28"/>
        </w:rPr>
        <w:t>
      8) технико-экономические показатели развития населенного пункта;</w:t>
      </w:r>
    </w:p>
    <w:bookmarkEnd w:id="24"/>
    <w:bookmarkStart w:name="z35" w:id="25"/>
    <w:p>
      <w:pPr>
        <w:spacing w:after="0"/>
        <w:ind w:left="0"/>
        <w:jc w:val="both"/>
      </w:pPr>
      <w:r>
        <w:rPr>
          <w:rFonts w:ascii="Times New Roman"/>
          <w:b w:val="false"/>
          <w:i w:val="false"/>
          <w:color w:val="000000"/>
          <w:sz w:val="28"/>
        </w:rPr>
        <w:t>
      9) меры по охране водных объектов от загрязнения, засорения, истощения;</w:t>
      </w:r>
    </w:p>
    <w:bookmarkEnd w:id="25"/>
    <w:bookmarkStart w:name="z36" w:id="26"/>
    <w:p>
      <w:pPr>
        <w:spacing w:after="0"/>
        <w:ind w:left="0"/>
        <w:jc w:val="both"/>
      </w:pPr>
      <w:r>
        <w:rPr>
          <w:rFonts w:ascii="Times New Roman"/>
          <w:b w:val="false"/>
          <w:i w:val="false"/>
          <w:color w:val="000000"/>
          <w:sz w:val="28"/>
        </w:rPr>
        <w:t>
      10) иные меры по обеспечению устойчивого развития города.</w:t>
      </w:r>
    </w:p>
    <w:bookmarkEnd w:id="26"/>
    <w:bookmarkStart w:name="z37" w:id="27"/>
    <w:p>
      <w:pPr>
        <w:spacing w:after="0"/>
        <w:ind w:left="0"/>
        <w:jc w:val="both"/>
      </w:pPr>
      <w:r>
        <w:rPr>
          <w:rFonts w:ascii="Times New Roman"/>
          <w:b w:val="false"/>
          <w:i w:val="false"/>
          <w:color w:val="000000"/>
          <w:sz w:val="28"/>
        </w:rPr>
        <w:t>
      Генеральный план является основой для разработки:</w:t>
      </w:r>
    </w:p>
    <w:bookmarkEnd w:id="27"/>
    <w:bookmarkStart w:name="z38" w:id="28"/>
    <w:p>
      <w:pPr>
        <w:spacing w:after="0"/>
        <w:ind w:left="0"/>
        <w:jc w:val="both"/>
      </w:pPr>
      <w:r>
        <w:rPr>
          <w:rFonts w:ascii="Times New Roman"/>
          <w:b w:val="false"/>
          <w:i w:val="false"/>
          <w:color w:val="000000"/>
          <w:sz w:val="28"/>
        </w:rPr>
        <w:t>
      1) долгосрочных и краткосрочных программ социально-экономического развития города;</w:t>
      </w:r>
    </w:p>
    <w:bookmarkEnd w:id="28"/>
    <w:bookmarkStart w:name="z39" w:id="29"/>
    <w:p>
      <w:pPr>
        <w:spacing w:after="0"/>
        <w:ind w:left="0"/>
        <w:jc w:val="both"/>
      </w:pPr>
      <w:r>
        <w:rPr>
          <w:rFonts w:ascii="Times New Roman"/>
          <w:b w:val="false"/>
          <w:i w:val="false"/>
          <w:color w:val="000000"/>
          <w:sz w:val="28"/>
        </w:rPr>
        <w:t>
      2) комплексных схем развития электроснабжения, теплоснабжения, газоснабжения, водоснабжения, водоотведения, ливневой канализации и других инженерных систем;</w:t>
      </w:r>
    </w:p>
    <w:bookmarkEnd w:id="29"/>
    <w:bookmarkStart w:name="z40" w:id="30"/>
    <w:p>
      <w:pPr>
        <w:spacing w:after="0"/>
        <w:ind w:left="0"/>
        <w:jc w:val="both"/>
      </w:pPr>
      <w:r>
        <w:rPr>
          <w:rFonts w:ascii="Times New Roman"/>
          <w:b w:val="false"/>
          <w:i w:val="false"/>
          <w:color w:val="000000"/>
          <w:sz w:val="28"/>
        </w:rPr>
        <w:t>
      3) комплексной транспортной схемы города (далее - КТС);</w:t>
      </w:r>
    </w:p>
    <w:bookmarkEnd w:id="30"/>
    <w:bookmarkStart w:name="z41" w:id="31"/>
    <w:p>
      <w:pPr>
        <w:spacing w:after="0"/>
        <w:ind w:left="0"/>
        <w:jc w:val="both"/>
      </w:pPr>
      <w:r>
        <w:rPr>
          <w:rFonts w:ascii="Times New Roman"/>
          <w:b w:val="false"/>
          <w:i w:val="false"/>
          <w:color w:val="000000"/>
          <w:sz w:val="28"/>
        </w:rPr>
        <w:t>
      4) проектов детальной планировки и застройки территории города по реализации Генерального плана;</w:t>
      </w:r>
    </w:p>
    <w:bookmarkEnd w:id="31"/>
    <w:bookmarkStart w:name="z42" w:id="32"/>
    <w:p>
      <w:pPr>
        <w:spacing w:after="0"/>
        <w:ind w:left="0"/>
        <w:jc w:val="both"/>
      </w:pPr>
      <w:r>
        <w:rPr>
          <w:rFonts w:ascii="Times New Roman"/>
          <w:b w:val="false"/>
          <w:i w:val="false"/>
          <w:color w:val="000000"/>
          <w:sz w:val="28"/>
        </w:rPr>
        <w:t>
      5) комплексных планов застройки на краткосрочные периоды;</w:t>
      </w:r>
    </w:p>
    <w:bookmarkEnd w:id="32"/>
    <w:bookmarkStart w:name="z43" w:id="33"/>
    <w:p>
      <w:pPr>
        <w:spacing w:after="0"/>
        <w:ind w:left="0"/>
        <w:jc w:val="both"/>
      </w:pPr>
      <w:r>
        <w:rPr>
          <w:rFonts w:ascii="Times New Roman"/>
          <w:b w:val="false"/>
          <w:i w:val="false"/>
          <w:color w:val="000000"/>
          <w:sz w:val="28"/>
        </w:rPr>
        <w:t>
      6) программ реконструкции и развития жилых, производственных и коммунально-складских территорий;</w:t>
      </w:r>
    </w:p>
    <w:bookmarkEnd w:id="33"/>
    <w:bookmarkStart w:name="z44" w:id="34"/>
    <w:p>
      <w:pPr>
        <w:spacing w:after="0"/>
        <w:ind w:left="0"/>
        <w:jc w:val="both"/>
      </w:pPr>
      <w:r>
        <w:rPr>
          <w:rFonts w:ascii="Times New Roman"/>
          <w:b w:val="false"/>
          <w:i w:val="false"/>
          <w:color w:val="000000"/>
          <w:sz w:val="28"/>
        </w:rPr>
        <w:t>
      7) планов сохранения и реабилитации исторической застройки и объектов исторического и культурного наследия;</w:t>
      </w:r>
    </w:p>
    <w:bookmarkEnd w:id="34"/>
    <w:bookmarkStart w:name="z45" w:id="35"/>
    <w:p>
      <w:pPr>
        <w:spacing w:after="0"/>
        <w:ind w:left="0"/>
        <w:jc w:val="both"/>
      </w:pPr>
      <w:r>
        <w:rPr>
          <w:rFonts w:ascii="Times New Roman"/>
          <w:b w:val="false"/>
          <w:i w:val="false"/>
          <w:color w:val="000000"/>
          <w:sz w:val="28"/>
        </w:rPr>
        <w:t>
      8) программ развития территорий рекреационных зон и озеленения;</w:t>
      </w:r>
    </w:p>
    <w:bookmarkEnd w:id="35"/>
    <w:bookmarkStart w:name="z46" w:id="36"/>
    <w:p>
      <w:pPr>
        <w:spacing w:after="0"/>
        <w:ind w:left="0"/>
        <w:jc w:val="both"/>
      </w:pPr>
      <w:r>
        <w:rPr>
          <w:rFonts w:ascii="Times New Roman"/>
          <w:b w:val="false"/>
          <w:i w:val="false"/>
          <w:color w:val="000000"/>
          <w:sz w:val="28"/>
        </w:rPr>
        <w:t>
      9) градостроительных схем развития общественных пространств и озеленения;</w:t>
      </w:r>
    </w:p>
    <w:bookmarkEnd w:id="36"/>
    <w:bookmarkStart w:name="z47" w:id="37"/>
    <w:p>
      <w:pPr>
        <w:spacing w:after="0"/>
        <w:ind w:left="0"/>
        <w:jc w:val="both"/>
      </w:pPr>
      <w:r>
        <w:rPr>
          <w:rFonts w:ascii="Times New Roman"/>
          <w:b w:val="false"/>
          <w:i w:val="false"/>
          <w:color w:val="000000"/>
          <w:sz w:val="28"/>
        </w:rPr>
        <w:t>
      10) комплексных планов компактной застройки города Астаны и реновации территорий столицы;</w:t>
      </w:r>
    </w:p>
    <w:bookmarkEnd w:id="37"/>
    <w:bookmarkStart w:name="z48" w:id="38"/>
    <w:p>
      <w:pPr>
        <w:spacing w:after="0"/>
        <w:ind w:left="0"/>
        <w:jc w:val="both"/>
      </w:pPr>
      <w:r>
        <w:rPr>
          <w:rFonts w:ascii="Times New Roman"/>
          <w:b w:val="false"/>
          <w:i w:val="false"/>
          <w:color w:val="000000"/>
          <w:sz w:val="28"/>
        </w:rPr>
        <w:t>
      11) планов комплексного благоустройства и преобразования общественных пространств;</w:t>
      </w:r>
    </w:p>
    <w:bookmarkEnd w:id="38"/>
    <w:bookmarkStart w:name="z49" w:id="39"/>
    <w:p>
      <w:pPr>
        <w:spacing w:after="0"/>
        <w:ind w:left="0"/>
        <w:jc w:val="both"/>
      </w:pPr>
      <w:r>
        <w:rPr>
          <w:rFonts w:ascii="Times New Roman"/>
          <w:b w:val="false"/>
          <w:i w:val="false"/>
          <w:color w:val="000000"/>
          <w:sz w:val="28"/>
        </w:rPr>
        <w:t>
      12) правил застройки города.</w:t>
      </w:r>
    </w:p>
    <w:bookmarkEnd w:id="39"/>
    <w:bookmarkStart w:name="z50" w:id="40"/>
    <w:p>
      <w:pPr>
        <w:spacing w:after="0"/>
        <w:ind w:left="0"/>
        <w:jc w:val="left"/>
      </w:pPr>
      <w:r>
        <w:rPr>
          <w:rFonts w:ascii="Times New Roman"/>
          <w:b/>
          <w:i w:val="false"/>
          <w:color w:val="000000"/>
        </w:rPr>
        <w:t xml:space="preserve"> Глава 3. Социально-экономическое развитие</w:t>
      </w:r>
    </w:p>
    <w:bookmarkEnd w:id="40"/>
    <w:bookmarkStart w:name="z51" w:id="41"/>
    <w:p>
      <w:pPr>
        <w:spacing w:after="0"/>
        <w:ind w:left="0"/>
        <w:jc w:val="left"/>
      </w:pPr>
      <w:r>
        <w:rPr>
          <w:rFonts w:ascii="Times New Roman"/>
          <w:b/>
          <w:i w:val="false"/>
          <w:color w:val="000000"/>
        </w:rPr>
        <w:t xml:space="preserve"> Параграф 1. Демография</w:t>
      </w:r>
    </w:p>
    <w:bookmarkEnd w:id="41"/>
    <w:bookmarkStart w:name="z52" w:id="42"/>
    <w:p>
      <w:pPr>
        <w:spacing w:after="0"/>
        <w:ind w:left="0"/>
        <w:jc w:val="both"/>
      </w:pPr>
      <w:r>
        <w:rPr>
          <w:rFonts w:ascii="Times New Roman"/>
          <w:b w:val="false"/>
          <w:i w:val="false"/>
          <w:color w:val="000000"/>
          <w:sz w:val="28"/>
        </w:rPr>
        <w:t>
      Численность населения в пределах административных границ территории города составила в исходном году 1 528 тысяч человек.</w:t>
      </w:r>
    </w:p>
    <w:bookmarkEnd w:id="42"/>
    <w:bookmarkStart w:name="z53" w:id="43"/>
    <w:p>
      <w:pPr>
        <w:spacing w:after="0"/>
        <w:ind w:left="0"/>
        <w:jc w:val="both"/>
      </w:pPr>
      <w:r>
        <w:rPr>
          <w:rFonts w:ascii="Times New Roman"/>
          <w:b w:val="false"/>
          <w:i w:val="false"/>
          <w:color w:val="000000"/>
          <w:sz w:val="28"/>
        </w:rPr>
        <w:t>
      Прогноз перспективной численности населения города был выполнен с учетом объективно происходящих изменений в естественном и миграционном движении населения по методике Бюро национальной статистики Агентства по стратегическому планированию и реформам Республики Казахстан с использованием экономико-математических методов на основе корреляционно-регрессионного анализа, методов передвижки по возрастам, статистической экстраполяции.</w:t>
      </w:r>
    </w:p>
    <w:bookmarkEnd w:id="43"/>
    <w:bookmarkStart w:name="z54" w:id="44"/>
    <w:p>
      <w:pPr>
        <w:spacing w:after="0"/>
        <w:ind w:left="0"/>
        <w:jc w:val="both"/>
      </w:pPr>
      <w:r>
        <w:rPr>
          <w:rFonts w:ascii="Times New Roman"/>
          <w:b w:val="false"/>
          <w:i w:val="false"/>
          <w:color w:val="000000"/>
          <w:sz w:val="28"/>
        </w:rPr>
        <w:t>
      Перспективная численность населения определена методом статистической экстраполяции с учетом оптимального включения населения трудоспособного возраста в деятельность во всех сферах социально-экономической деятельности города.</w:t>
      </w:r>
    </w:p>
    <w:bookmarkEnd w:id="44"/>
    <w:bookmarkStart w:name="z55" w:id="45"/>
    <w:p>
      <w:pPr>
        <w:spacing w:after="0"/>
        <w:ind w:left="0"/>
        <w:jc w:val="both"/>
      </w:pPr>
      <w:r>
        <w:rPr>
          <w:rFonts w:ascii="Times New Roman"/>
          <w:b w:val="false"/>
          <w:i w:val="false"/>
          <w:color w:val="000000"/>
          <w:sz w:val="28"/>
        </w:rPr>
        <w:t>
      Проектная численность населения города составит:</w:t>
      </w:r>
    </w:p>
    <w:bookmarkEnd w:id="45"/>
    <w:bookmarkStart w:name="z56" w:id="46"/>
    <w:p>
      <w:pPr>
        <w:spacing w:after="0"/>
        <w:ind w:left="0"/>
        <w:jc w:val="both"/>
      </w:pPr>
      <w:r>
        <w:rPr>
          <w:rFonts w:ascii="Times New Roman"/>
          <w:b w:val="false"/>
          <w:i w:val="false"/>
          <w:color w:val="000000"/>
          <w:sz w:val="28"/>
        </w:rPr>
        <w:t>
      первая очередь строительства (2030 год) - 1965,5 тысяч человек;</w:t>
      </w:r>
    </w:p>
    <w:bookmarkEnd w:id="46"/>
    <w:bookmarkStart w:name="z57" w:id="47"/>
    <w:p>
      <w:pPr>
        <w:spacing w:after="0"/>
        <w:ind w:left="0"/>
        <w:jc w:val="both"/>
      </w:pPr>
      <w:r>
        <w:rPr>
          <w:rFonts w:ascii="Times New Roman"/>
          <w:b w:val="false"/>
          <w:i w:val="false"/>
          <w:color w:val="000000"/>
          <w:sz w:val="28"/>
        </w:rPr>
        <w:t>
      расчетный срок (2035 год) - 2275 тысяч человек.</w:t>
      </w:r>
    </w:p>
    <w:bookmarkEnd w:id="47"/>
    <w:bookmarkStart w:name="z58" w:id="48"/>
    <w:p>
      <w:pPr>
        <w:spacing w:after="0"/>
        <w:ind w:left="0"/>
        <w:jc w:val="both"/>
      </w:pPr>
      <w:r>
        <w:rPr>
          <w:rFonts w:ascii="Times New Roman"/>
          <w:b w:val="false"/>
          <w:i w:val="false"/>
          <w:color w:val="000000"/>
          <w:sz w:val="28"/>
        </w:rPr>
        <w:t>
      Общий прогнозный прирост населения составит по периодам проектирования:</w:t>
      </w:r>
    </w:p>
    <w:bookmarkEnd w:id="48"/>
    <w:bookmarkStart w:name="z59" w:id="49"/>
    <w:p>
      <w:pPr>
        <w:spacing w:after="0"/>
        <w:ind w:left="0"/>
        <w:jc w:val="both"/>
      </w:pPr>
      <w:r>
        <w:rPr>
          <w:rFonts w:ascii="Times New Roman"/>
          <w:b w:val="false"/>
          <w:i w:val="false"/>
          <w:color w:val="000000"/>
          <w:sz w:val="28"/>
        </w:rPr>
        <w:t>
      первая очередь строительства - 436 тысяч человек;</w:t>
      </w:r>
    </w:p>
    <w:bookmarkEnd w:id="49"/>
    <w:bookmarkStart w:name="z60" w:id="50"/>
    <w:p>
      <w:pPr>
        <w:spacing w:after="0"/>
        <w:ind w:left="0"/>
        <w:jc w:val="both"/>
      </w:pPr>
      <w:r>
        <w:rPr>
          <w:rFonts w:ascii="Times New Roman"/>
          <w:b w:val="false"/>
          <w:i w:val="false"/>
          <w:color w:val="000000"/>
          <w:sz w:val="28"/>
        </w:rPr>
        <w:t>
      расчетный срок - 745 тысяч человек.</w:t>
      </w:r>
    </w:p>
    <w:bookmarkEnd w:id="50"/>
    <w:bookmarkStart w:name="z61" w:id="51"/>
    <w:p>
      <w:pPr>
        <w:spacing w:after="0"/>
        <w:ind w:left="0"/>
        <w:jc w:val="both"/>
      </w:pPr>
      <w:r>
        <w:rPr>
          <w:rFonts w:ascii="Times New Roman"/>
          <w:b w:val="false"/>
          <w:i w:val="false"/>
          <w:color w:val="000000"/>
          <w:sz w:val="28"/>
        </w:rPr>
        <w:t>
      Население трудоспособного возраста к концу расчетного срока составит 59,5 % от численности населения города Астаны.</w:t>
      </w:r>
    </w:p>
    <w:bookmarkEnd w:id="51"/>
    <w:bookmarkStart w:name="z62" w:id="52"/>
    <w:p>
      <w:pPr>
        <w:spacing w:after="0"/>
        <w:ind w:left="0"/>
        <w:jc w:val="left"/>
      </w:pPr>
      <w:r>
        <w:rPr>
          <w:rFonts w:ascii="Times New Roman"/>
          <w:b/>
          <w:i w:val="false"/>
          <w:color w:val="000000"/>
        </w:rPr>
        <w:t xml:space="preserve"> Параграф 2. Жилищно-гражданское строительство</w:t>
      </w:r>
    </w:p>
    <w:bookmarkEnd w:id="52"/>
    <w:bookmarkStart w:name="z63" w:id="53"/>
    <w:p>
      <w:pPr>
        <w:spacing w:after="0"/>
        <w:ind w:left="0"/>
        <w:jc w:val="both"/>
      </w:pPr>
      <w:r>
        <w:rPr>
          <w:rFonts w:ascii="Times New Roman"/>
          <w:b w:val="false"/>
          <w:i w:val="false"/>
          <w:color w:val="000000"/>
          <w:sz w:val="28"/>
        </w:rPr>
        <w:t>
      Согласно данным Бюро национальной статистики на 1 января 2025 года площадь жилищного фонда составляет 36 685 тысяч м2. Основную долю жилищного фонда составляют многоквартирные жилые дома общей площадью - 32 052 тысяч м2 (87,3 %).</w:t>
      </w:r>
    </w:p>
    <w:bookmarkEnd w:id="53"/>
    <w:bookmarkStart w:name="z64" w:id="54"/>
    <w:p>
      <w:pPr>
        <w:spacing w:after="0"/>
        <w:ind w:left="0"/>
        <w:jc w:val="both"/>
      </w:pPr>
      <w:r>
        <w:rPr>
          <w:rFonts w:ascii="Times New Roman"/>
          <w:b w:val="false"/>
          <w:i w:val="false"/>
          <w:color w:val="000000"/>
          <w:sz w:val="28"/>
        </w:rPr>
        <w:t>
      Одним из показателей жилищного благосостояния города является обеспеченность жильем на одного человека. На сегодняшний день этот показатель варьируется на уровне 24 м2 на человека, при этом обеспеченность жилищным фондом по территории города распределена крайне неравномерно.</w:t>
      </w:r>
    </w:p>
    <w:bookmarkEnd w:id="54"/>
    <w:bookmarkStart w:name="z65" w:id="55"/>
    <w:p>
      <w:pPr>
        <w:spacing w:after="0"/>
        <w:ind w:left="0"/>
        <w:jc w:val="both"/>
      </w:pPr>
      <w:r>
        <w:rPr>
          <w:rFonts w:ascii="Times New Roman"/>
          <w:b w:val="false"/>
          <w:i w:val="false"/>
          <w:color w:val="000000"/>
          <w:sz w:val="28"/>
        </w:rPr>
        <w:t>
      На расчетный период в Генеральном плане для обеспечения комфортности проживания в городе принят показатель обеспеченности жилищным фондом 30 м2 на человека, и для достижения такого уровня комфортности проживания необходимо увеличить жилищный фонд до 68 284 тысяч м2. В первую очередь планируется увеличить обеспеченность жилищным фондом на человека до 26,2 м2, жилищный фонд при этом составит 51 466 тысяч м2.</w:t>
      </w:r>
    </w:p>
    <w:bookmarkEnd w:id="55"/>
    <w:bookmarkStart w:name="z66" w:id="56"/>
    <w:p>
      <w:pPr>
        <w:spacing w:after="0"/>
        <w:ind w:left="0"/>
        <w:jc w:val="both"/>
      </w:pPr>
      <w:r>
        <w:rPr>
          <w:rFonts w:ascii="Times New Roman"/>
          <w:b w:val="false"/>
          <w:i w:val="false"/>
          <w:color w:val="000000"/>
          <w:sz w:val="28"/>
        </w:rPr>
        <w:t xml:space="preserve">
      Новое жилищное строительство составит 33 311 тысяч м2, из них 15 265 тысяч м2 на первую очередь строительства. </w:t>
      </w:r>
    </w:p>
    <w:bookmarkEnd w:id="56"/>
    <w:bookmarkStart w:name="z67" w:id="57"/>
    <w:p>
      <w:pPr>
        <w:spacing w:after="0"/>
        <w:ind w:left="0"/>
        <w:jc w:val="both"/>
      </w:pPr>
      <w:r>
        <w:rPr>
          <w:rFonts w:ascii="Times New Roman"/>
          <w:b w:val="false"/>
          <w:i w:val="false"/>
          <w:color w:val="000000"/>
          <w:sz w:val="28"/>
        </w:rPr>
        <w:t>
      В целом по городу Астане для градостроительного освоения требуется произвести снос ветхого и аварийного жилья, в том числе дач, гаражей и малоэтажной застройки. Показатели выбытия жилищного фонда для реализации Генерального плана составляют 1713 тысяч м2, из них 484 тысяч м2 на первую очередь строительства. Основную долю сносимого жилья составляет усадебная застройка (95%).</w:t>
      </w:r>
    </w:p>
    <w:bookmarkEnd w:id="57"/>
    <w:bookmarkStart w:name="z68" w:id="58"/>
    <w:p>
      <w:pPr>
        <w:spacing w:after="0"/>
        <w:ind w:left="0"/>
        <w:jc w:val="both"/>
      </w:pPr>
      <w:r>
        <w:rPr>
          <w:rFonts w:ascii="Times New Roman"/>
          <w:b w:val="false"/>
          <w:i w:val="false"/>
          <w:color w:val="000000"/>
          <w:sz w:val="28"/>
        </w:rPr>
        <w:t>
      Соотношение площади существующей застроенной части к общей территории города на исходный год (1 января 2025 года) составило 14,2 %. На расчетный срок до 2035 года соотношение площади застроенной части города с учетом проектных предложений к общей территории города составит 37 %.</w:t>
      </w:r>
    </w:p>
    <w:bookmarkEnd w:id="58"/>
    <w:bookmarkStart w:name="z69" w:id="59"/>
    <w:p>
      <w:pPr>
        <w:spacing w:after="0"/>
        <w:ind w:left="0"/>
        <w:jc w:val="both"/>
      </w:pPr>
      <w:r>
        <w:rPr>
          <w:rFonts w:ascii="Times New Roman"/>
          <w:b w:val="false"/>
          <w:i w:val="false"/>
          <w:color w:val="000000"/>
          <w:sz w:val="28"/>
        </w:rPr>
        <w:t>
      Сфера общественного обслуживания</w:t>
      </w:r>
    </w:p>
    <w:bookmarkEnd w:id="59"/>
    <w:bookmarkStart w:name="z70" w:id="60"/>
    <w:p>
      <w:pPr>
        <w:spacing w:after="0"/>
        <w:ind w:left="0"/>
        <w:jc w:val="both"/>
      </w:pPr>
      <w:r>
        <w:rPr>
          <w:rFonts w:ascii="Times New Roman"/>
          <w:b w:val="false"/>
          <w:i w:val="false"/>
          <w:color w:val="000000"/>
          <w:sz w:val="28"/>
        </w:rPr>
        <w:t>
      Развитие социальной инфраструктуры должно быть ориентировано на удовлетворение разнообразных потребностей населения. Уровень развития системы культурно-бытового обслуживания определяет качество и уровень жизни всех слоев населения. Система обслуживания населения города должна быть направлена на создание равноценных социально-бытовых условий проживания во всех жилых районах города с учетом строительства необходимых объектов социальной инфраструктуры.</w:t>
      </w:r>
    </w:p>
    <w:bookmarkEnd w:id="60"/>
    <w:bookmarkStart w:name="z71" w:id="61"/>
    <w:p>
      <w:pPr>
        <w:spacing w:after="0"/>
        <w:ind w:left="0"/>
        <w:jc w:val="both"/>
      </w:pPr>
      <w:r>
        <w:rPr>
          <w:rFonts w:ascii="Times New Roman"/>
          <w:b w:val="false"/>
          <w:i w:val="false"/>
          <w:color w:val="000000"/>
          <w:sz w:val="28"/>
        </w:rPr>
        <w:t>
      Для определения объемов нового строительства объектов социальной сферы и резервов территорий для развития многофункциональных городских центров выполнен расчет потребности в культурно-бытовых объектах обслуживания населения.</w:t>
      </w:r>
    </w:p>
    <w:bookmarkEnd w:id="61"/>
    <w:bookmarkStart w:name="z72" w:id="62"/>
    <w:p>
      <w:pPr>
        <w:spacing w:after="0"/>
        <w:ind w:left="0"/>
        <w:jc w:val="both"/>
      </w:pPr>
      <w:r>
        <w:rPr>
          <w:rFonts w:ascii="Times New Roman"/>
          <w:b w:val="false"/>
          <w:i w:val="false"/>
          <w:color w:val="000000"/>
          <w:sz w:val="28"/>
        </w:rPr>
        <w:t>
      Для удовлетворения нормативной потребности расчета населения необходимо предусмотреть строительство дошкольных образовательных учреждений к концу расчетного срока суммарной мощностью 159 194 места или 206 детских садов, что позволит к расчетному сроку удовлетворить нормативную потребность планируемого населения в полном объеме.</w:t>
      </w:r>
    </w:p>
    <w:bookmarkEnd w:id="62"/>
    <w:bookmarkStart w:name="z73" w:id="63"/>
    <w:p>
      <w:pPr>
        <w:spacing w:after="0"/>
        <w:ind w:left="0"/>
        <w:jc w:val="both"/>
      </w:pPr>
      <w:r>
        <w:rPr>
          <w:rFonts w:ascii="Times New Roman"/>
          <w:b w:val="false"/>
          <w:i w:val="false"/>
          <w:color w:val="000000"/>
          <w:sz w:val="28"/>
        </w:rPr>
        <w:t>
      На расчетный срок развитие системы образования предусматривается за счет реконструкции и расширения существующего фонда и нового строительства учреждений образования. Чтобы удовлетворить нормативную потребность населения необходимо предусмотреть строительство общеобразовательных учреждений суммарной мощностью 256 170 мест, что позволит к расчетному сроку удовлетворить нормативную потребность планируемого населения в полном объеме. Согласно расчетам потребность в общеобразовательных школах к 2030 году составит 182 423 места, к 2035 году - 256 170 мест. Генеральным планом предусмотрено строительство 123 школ на первую очередь строительства и 55 школ на расчетный срок.</w:t>
      </w:r>
    </w:p>
    <w:bookmarkEnd w:id="63"/>
    <w:bookmarkStart w:name="z74" w:id="64"/>
    <w:p>
      <w:pPr>
        <w:spacing w:after="0"/>
        <w:ind w:left="0"/>
        <w:jc w:val="left"/>
      </w:pPr>
      <w:r>
        <w:rPr>
          <w:rFonts w:ascii="Times New Roman"/>
          <w:b/>
          <w:i w:val="false"/>
          <w:color w:val="000000"/>
        </w:rPr>
        <w:t xml:space="preserve"> Параграф 3. Экономическая деятельность</w:t>
      </w:r>
    </w:p>
    <w:bookmarkEnd w:id="64"/>
    <w:bookmarkStart w:name="z75" w:id="65"/>
    <w:p>
      <w:pPr>
        <w:spacing w:after="0"/>
        <w:ind w:left="0"/>
        <w:jc w:val="both"/>
      </w:pPr>
      <w:r>
        <w:rPr>
          <w:rFonts w:ascii="Times New Roman"/>
          <w:b w:val="false"/>
          <w:i w:val="false"/>
          <w:color w:val="000000"/>
          <w:sz w:val="28"/>
        </w:rPr>
        <w:t>
      Анализ опыта стратегического позиционирования столичных городов, в том числе являющихся "новыми (спроектированными) столицами" показывает, что одним из основных направлений стратегического позиционирования является преодоление функционального и репутационного перекоса, связанного с представлением о таких городах, как о "городах чиновников". Генеральным планом определены следующие приоритетные направления экономики города, которые ставят три основные задачи:</w:t>
      </w:r>
    </w:p>
    <w:bookmarkEnd w:id="65"/>
    <w:bookmarkStart w:name="z76" w:id="66"/>
    <w:p>
      <w:pPr>
        <w:spacing w:after="0"/>
        <w:ind w:left="0"/>
        <w:jc w:val="both"/>
      </w:pPr>
      <w:r>
        <w:rPr>
          <w:rFonts w:ascii="Times New Roman"/>
          <w:b w:val="false"/>
          <w:i w:val="false"/>
          <w:color w:val="000000"/>
          <w:sz w:val="28"/>
        </w:rPr>
        <w:t>
      позиционирование города как столицы Республики Казахстан, глобального центра, связанное с открытием города "во вне";</w:t>
      </w:r>
    </w:p>
    <w:bookmarkEnd w:id="66"/>
    <w:bookmarkStart w:name="z77" w:id="67"/>
    <w:p>
      <w:pPr>
        <w:spacing w:after="0"/>
        <w:ind w:left="0"/>
        <w:jc w:val="both"/>
      </w:pPr>
      <w:r>
        <w:rPr>
          <w:rFonts w:ascii="Times New Roman"/>
          <w:b w:val="false"/>
          <w:i w:val="false"/>
          <w:color w:val="000000"/>
          <w:sz w:val="28"/>
        </w:rPr>
        <w:t>
      превращение города в комфортный инклюзивный "город для жизни", привлекательный для жителей города, в том числе потенциальных мигрантов, связанное с открытием города "во внутрь".</w:t>
      </w:r>
    </w:p>
    <w:bookmarkEnd w:id="67"/>
    <w:bookmarkStart w:name="z78" w:id="68"/>
    <w:p>
      <w:pPr>
        <w:spacing w:after="0"/>
        <w:ind w:left="0"/>
        <w:jc w:val="both"/>
      </w:pPr>
      <w:r>
        <w:rPr>
          <w:rFonts w:ascii="Times New Roman"/>
          <w:b w:val="false"/>
          <w:i w:val="false"/>
          <w:color w:val="000000"/>
          <w:sz w:val="28"/>
        </w:rPr>
        <w:t xml:space="preserve">
      Экономическое развитие города Астаны в первую очередь ориентировано на продолжение формирования диверсифицированной конкурентоспособной городской экономики. </w:t>
      </w:r>
    </w:p>
    <w:bookmarkEnd w:id="68"/>
    <w:bookmarkStart w:name="z79" w:id="69"/>
    <w:p>
      <w:pPr>
        <w:spacing w:after="0"/>
        <w:ind w:left="0"/>
        <w:jc w:val="both"/>
      </w:pPr>
      <w:r>
        <w:rPr>
          <w:rFonts w:ascii="Times New Roman"/>
          <w:b w:val="false"/>
          <w:i w:val="false"/>
          <w:color w:val="000000"/>
          <w:sz w:val="28"/>
        </w:rPr>
        <w:t>
      Главным акцентом экономического развития на этот период станут опережающее развитие и диверсификация следующих многоотраслевых и кросс-отраслевых кластеров:</w:t>
      </w:r>
    </w:p>
    <w:bookmarkEnd w:id="69"/>
    <w:bookmarkStart w:name="z80" w:id="70"/>
    <w:p>
      <w:pPr>
        <w:spacing w:after="0"/>
        <w:ind w:left="0"/>
        <w:jc w:val="both"/>
      </w:pPr>
      <w:r>
        <w:rPr>
          <w:rFonts w:ascii="Times New Roman"/>
          <w:b w:val="false"/>
          <w:i w:val="false"/>
          <w:color w:val="000000"/>
          <w:sz w:val="28"/>
        </w:rPr>
        <w:t>
      промышленный кластер;</w:t>
      </w:r>
    </w:p>
    <w:bookmarkEnd w:id="70"/>
    <w:bookmarkStart w:name="z81" w:id="71"/>
    <w:p>
      <w:pPr>
        <w:spacing w:after="0"/>
        <w:ind w:left="0"/>
        <w:jc w:val="both"/>
      </w:pPr>
      <w:r>
        <w:rPr>
          <w:rFonts w:ascii="Times New Roman"/>
          <w:b w:val="false"/>
          <w:i w:val="false"/>
          <w:color w:val="000000"/>
          <w:sz w:val="28"/>
        </w:rPr>
        <w:t>
      медицинский кластер;</w:t>
      </w:r>
    </w:p>
    <w:bookmarkEnd w:id="71"/>
    <w:bookmarkStart w:name="z82" w:id="72"/>
    <w:p>
      <w:pPr>
        <w:spacing w:after="0"/>
        <w:ind w:left="0"/>
        <w:jc w:val="both"/>
      </w:pPr>
      <w:r>
        <w:rPr>
          <w:rFonts w:ascii="Times New Roman"/>
          <w:b w:val="false"/>
          <w:i w:val="false"/>
          <w:color w:val="000000"/>
          <w:sz w:val="28"/>
        </w:rPr>
        <w:t>
      кластер индустрии развлечений и туризма;</w:t>
      </w:r>
    </w:p>
    <w:bookmarkEnd w:id="72"/>
    <w:bookmarkStart w:name="z83" w:id="73"/>
    <w:p>
      <w:pPr>
        <w:spacing w:after="0"/>
        <w:ind w:left="0"/>
        <w:jc w:val="both"/>
      </w:pPr>
      <w:r>
        <w:rPr>
          <w:rFonts w:ascii="Times New Roman"/>
          <w:b w:val="false"/>
          <w:i w:val="false"/>
          <w:color w:val="000000"/>
          <w:sz w:val="28"/>
        </w:rPr>
        <w:t>
      финансово-технологический кластер.</w:t>
      </w:r>
    </w:p>
    <w:bookmarkEnd w:id="73"/>
    <w:bookmarkStart w:name="z84" w:id="74"/>
    <w:p>
      <w:pPr>
        <w:spacing w:after="0"/>
        <w:ind w:left="0"/>
        <w:jc w:val="both"/>
      </w:pPr>
      <w:r>
        <w:rPr>
          <w:rFonts w:ascii="Times New Roman"/>
          <w:b w:val="false"/>
          <w:i w:val="false"/>
          <w:color w:val="000000"/>
          <w:sz w:val="28"/>
        </w:rPr>
        <w:t>
      Промышленный кластер выступает ключевым драйвером индустриализации города и в целом Республики Казахстан. Его развитие будет осуществляться на базе реализации новых инвестиционных проектов действующего индустриального парка № 1 и планируемого индустриального парка № 2. На территории Индустриального парка № 1, входящего в специальную экономическую зону "Астана - новый город", в настоящее время реализуется 140 проектов общей стоимостью 341,95 млрд теңге, из которых введено в эксплуатацию 82 проекта с созданием более 7 тысяч рабочих мест.</w:t>
      </w:r>
    </w:p>
    <w:bookmarkEnd w:id="74"/>
    <w:bookmarkStart w:name="z85" w:id="75"/>
    <w:p>
      <w:pPr>
        <w:spacing w:after="0"/>
        <w:ind w:left="0"/>
        <w:jc w:val="both"/>
      </w:pPr>
      <w:r>
        <w:rPr>
          <w:rFonts w:ascii="Times New Roman"/>
          <w:b w:val="false"/>
          <w:i w:val="false"/>
          <w:color w:val="000000"/>
          <w:sz w:val="28"/>
        </w:rPr>
        <w:t>
      Индустриальный парк № 2 площадью 431,98 га, входящий в состав специальной экономической зоны (далее - СЭЗ) "Астана - Технополис", станет новой площадкой для размещения более 100 проектов стоимостью порядка 500 млдр теңге в сферах машиностроения, пищевой и строительной промышленности, производства мебели, медицинских изделий и других отраслей.</w:t>
      </w:r>
    </w:p>
    <w:bookmarkEnd w:id="75"/>
    <w:bookmarkStart w:name="z86" w:id="76"/>
    <w:p>
      <w:pPr>
        <w:spacing w:after="0"/>
        <w:ind w:left="0"/>
        <w:jc w:val="both"/>
      </w:pPr>
      <w:r>
        <w:rPr>
          <w:rFonts w:ascii="Times New Roman"/>
          <w:b w:val="false"/>
          <w:i w:val="false"/>
          <w:color w:val="000000"/>
          <w:sz w:val="28"/>
        </w:rPr>
        <w:t>
      Дальнейшая диверсификация структуры экономики столицы позволит укрепить общий уровень конкурентоспособности города и создать предпосылки для формирования производственных, научных, образовательных и логистических связей предприятий макрорегиона, внедрения новых технологий, разработки импортозамещающей продукции и создания инновационной инфраструктуры</w:t>
      </w:r>
    </w:p>
    <w:bookmarkEnd w:id="76"/>
    <w:bookmarkStart w:name="z87" w:id="77"/>
    <w:p>
      <w:pPr>
        <w:spacing w:after="0"/>
        <w:ind w:left="0"/>
        <w:jc w:val="both"/>
      </w:pPr>
      <w:r>
        <w:rPr>
          <w:rFonts w:ascii="Times New Roman"/>
          <w:b w:val="false"/>
          <w:i w:val="false"/>
          <w:color w:val="000000"/>
          <w:sz w:val="28"/>
        </w:rPr>
        <w:t>
      Ожидается, что в результате реализации стратегии развития промышленности доля промышленности в структуре валового регионального продукта столицы вырастет с 8,4 % в 2024 году до более 10 % к 2030 году и не менее 15 % к 2040 году.</w:t>
      </w:r>
    </w:p>
    <w:bookmarkEnd w:id="77"/>
    <w:bookmarkStart w:name="z88" w:id="78"/>
    <w:p>
      <w:pPr>
        <w:spacing w:after="0"/>
        <w:ind w:left="0"/>
        <w:jc w:val="both"/>
      </w:pPr>
      <w:r>
        <w:rPr>
          <w:rFonts w:ascii="Times New Roman"/>
          <w:b w:val="false"/>
          <w:i w:val="false"/>
          <w:color w:val="000000"/>
          <w:sz w:val="28"/>
        </w:rPr>
        <w:t>
      Медицинский кластер формируется как один из центров высокотехнологичной медицины и медицинского туризма Центральной Азии. В Астане расположены 7 из 9 казахстанских клиник, аккредитованных по международным стандартам JCI.</w:t>
      </w:r>
    </w:p>
    <w:bookmarkEnd w:id="78"/>
    <w:bookmarkStart w:name="z89" w:id="79"/>
    <w:p>
      <w:pPr>
        <w:spacing w:after="0"/>
        <w:ind w:left="0"/>
        <w:jc w:val="both"/>
      </w:pPr>
      <w:r>
        <w:rPr>
          <w:rFonts w:ascii="Times New Roman"/>
          <w:b w:val="false"/>
          <w:i w:val="false"/>
          <w:color w:val="000000"/>
          <w:sz w:val="28"/>
        </w:rPr>
        <w:t xml:space="preserve">
      Город специализируется на нейрохирургии, кардиохирургии, трансплантологии, онкологии, реабилитации и репродуктивной медицине. Конкурентным преимуществом является высокое качество услуг при относительно низкой стоимости лечения. </w:t>
      </w:r>
    </w:p>
    <w:bookmarkEnd w:id="79"/>
    <w:bookmarkStart w:name="z90" w:id="80"/>
    <w:p>
      <w:pPr>
        <w:spacing w:after="0"/>
        <w:ind w:left="0"/>
        <w:jc w:val="both"/>
      </w:pPr>
      <w:r>
        <w:rPr>
          <w:rFonts w:ascii="Times New Roman"/>
          <w:b w:val="false"/>
          <w:i w:val="false"/>
          <w:color w:val="000000"/>
          <w:sz w:val="28"/>
        </w:rPr>
        <w:t>
      Генеральным планом на расчетный срок планируется разместить стационары разного типа на 6 500 коек. Таким образом, на 2030 год обеспеченность местами в больницах города будет составлять 7 547 коек, а в 2035 году прогнозируется 12 047 коек. Также предусматриваются амбулаторно-поликлинические учреждения, мощность которых в 2035 году составит 48 458 посещений в смену.</w:t>
      </w:r>
    </w:p>
    <w:bookmarkEnd w:id="80"/>
    <w:bookmarkStart w:name="z91" w:id="81"/>
    <w:p>
      <w:pPr>
        <w:spacing w:after="0"/>
        <w:ind w:left="0"/>
        <w:jc w:val="both"/>
      </w:pPr>
      <w:r>
        <w:rPr>
          <w:rFonts w:ascii="Times New Roman"/>
          <w:b w:val="false"/>
          <w:i w:val="false"/>
          <w:color w:val="000000"/>
          <w:sz w:val="28"/>
        </w:rPr>
        <w:t>
      Развитие медицинского туризма поддерживается международным сотрудничеством и введением медицинской визы категории С12. Только за 2025 год количество медицинских туристов увеличилось почти в два раза и достигло около 5 тысяч человек.</w:t>
      </w:r>
    </w:p>
    <w:bookmarkEnd w:id="81"/>
    <w:bookmarkStart w:name="z92" w:id="82"/>
    <w:p>
      <w:pPr>
        <w:spacing w:after="0"/>
        <w:ind w:left="0"/>
        <w:jc w:val="both"/>
      </w:pPr>
      <w:r>
        <w:rPr>
          <w:rFonts w:ascii="Times New Roman"/>
          <w:b w:val="false"/>
          <w:i w:val="false"/>
          <w:color w:val="000000"/>
          <w:sz w:val="28"/>
        </w:rPr>
        <w:t>
      Для социального обслуживания в городе функционируют следующие учреждения: центр социального обслуживания "Шарапат", SOS детская деревня Астана, детский дом, областная специализированная школа-интернат № 2, коммунальное государственное учреждение "Кризисный центр "Үміт" акимата города Астаны", учебно-производственное предприятие города Астаны общественного объединения "Казахстанское общество глухих", благотворительное учреждение, а также 5 центров обслуживания населения и один специализированный центр обслуживания населения. Для дальнейшего предоставления поддержки социально уязвимому населению к 2035 году планируется увеличить вместимость учреждений социального обеспечения до 8 122 мест.</w:t>
      </w:r>
    </w:p>
    <w:bookmarkEnd w:id="82"/>
    <w:bookmarkStart w:name="z93" w:id="83"/>
    <w:p>
      <w:pPr>
        <w:spacing w:after="0"/>
        <w:ind w:left="0"/>
        <w:jc w:val="both"/>
      </w:pPr>
      <w:r>
        <w:rPr>
          <w:rFonts w:ascii="Times New Roman"/>
          <w:b w:val="false"/>
          <w:i w:val="false"/>
          <w:color w:val="000000"/>
          <w:sz w:val="28"/>
        </w:rPr>
        <w:t>
      С учетом увеличения численности населения на расчетный период предлагается дополнительное строительство спортивных объектов, таких как спортивные комплексы, спортивные школы, физкультурно-оздоровительный комплекс, теннисный центр, комплекс по спортивной гребле (триатлон), лыжная база, шахматная академия, центр инклюзивного спорта и другие. Для этих целей в Генеральном плане предусмотрено 1 593 га под физкультурно-спортивные сооружения на расчетный срок, в том числе 1 376 га на первую очередь.</w:t>
      </w:r>
    </w:p>
    <w:bookmarkEnd w:id="83"/>
    <w:bookmarkStart w:name="z94" w:id="84"/>
    <w:p>
      <w:pPr>
        <w:spacing w:after="0"/>
        <w:ind w:left="0"/>
        <w:jc w:val="both"/>
      </w:pPr>
      <w:r>
        <w:rPr>
          <w:rFonts w:ascii="Times New Roman"/>
          <w:b w:val="false"/>
          <w:i w:val="false"/>
          <w:color w:val="000000"/>
          <w:sz w:val="28"/>
        </w:rPr>
        <w:t xml:space="preserve">
      Кластер индустрии развлечений и туризма ориентирован на развитие делового, событийного, медицинского и гастрономического туризма. Астана укрепляет позиции как площадка для проведения международных форумов, конференций и саммитов. Развиваются гостиничная инфраструктура, общественное питание, культурные объекты и цифровые сервисы для туристов. </w:t>
      </w:r>
    </w:p>
    <w:bookmarkEnd w:id="84"/>
    <w:bookmarkStart w:name="z95" w:id="85"/>
    <w:p>
      <w:pPr>
        <w:spacing w:after="0"/>
        <w:ind w:left="0"/>
        <w:jc w:val="both"/>
      </w:pPr>
      <w:r>
        <w:rPr>
          <w:rFonts w:ascii="Times New Roman"/>
          <w:b w:val="false"/>
          <w:i w:val="false"/>
          <w:color w:val="000000"/>
          <w:sz w:val="28"/>
        </w:rPr>
        <w:t>
      В городе функционируют 309 объектов размещения, 2 750 объектов общественного питания, 35 музеев, театров и галерей. Развитие туризма поддерживается деятельностью центра "Astana Tourism" и программой "Visit Astana". Вместимость зрелищно-культурных учреждений (театры, клубы, кинотеатры, музеи, выставочные залы и т.п.) достигнет 145 065 мест в 2030 году, а в 2035 году прогнозируется 156 519 мест. Вместе с тем планируется рост мощности предприятий общественного питания к 2035 году с 111 682 до 159 454 посадочных мест.</w:t>
      </w:r>
    </w:p>
    <w:bookmarkEnd w:id="85"/>
    <w:bookmarkStart w:name="z96" w:id="86"/>
    <w:p>
      <w:pPr>
        <w:spacing w:after="0"/>
        <w:ind w:left="0"/>
        <w:jc w:val="both"/>
      </w:pPr>
      <w:r>
        <w:rPr>
          <w:rFonts w:ascii="Times New Roman"/>
          <w:b w:val="false"/>
          <w:i w:val="false"/>
          <w:color w:val="000000"/>
          <w:sz w:val="28"/>
        </w:rPr>
        <w:t>
      Транспортно-логистический кластер рассматр-ивается как важное направление реализации транзитного потенциала столицы. В рамках СЭЗ "Астана - Технополис" планируется создание логистического парка площадью 223 га с объемом инвестиций около 150 млрд теңге. Проект предусматривает размещение порядка 20 объектов, включая грузовые терминалы, складскую и инженерную инфраструктуру, а также офисные помещения.</w:t>
      </w:r>
    </w:p>
    <w:bookmarkEnd w:id="86"/>
    <w:bookmarkStart w:name="z97" w:id="87"/>
    <w:p>
      <w:pPr>
        <w:spacing w:after="0"/>
        <w:ind w:left="0"/>
        <w:jc w:val="both"/>
      </w:pPr>
      <w:r>
        <w:rPr>
          <w:rFonts w:ascii="Times New Roman"/>
          <w:b w:val="false"/>
          <w:i w:val="false"/>
          <w:color w:val="000000"/>
          <w:sz w:val="28"/>
        </w:rPr>
        <w:t xml:space="preserve">
      Развитие торговли в столице направлено на внедрение современных гибридных форматов, сочетающих традиционную торговлю, маркетплейсы и цифровые платформы. Планируются модернизация рынков, развитие фуд - холлов, фермерских площадок, мини-маркетов и интеллектуальных систем управления торговлей и логистикой. В 2035 году общая площадь предприятий торговли рассчитывается 1 664 604 м2.  </w:t>
      </w:r>
    </w:p>
    <w:bookmarkEnd w:id="87"/>
    <w:bookmarkStart w:name="z98" w:id="88"/>
    <w:p>
      <w:pPr>
        <w:spacing w:after="0"/>
        <w:ind w:left="0"/>
        <w:jc w:val="both"/>
      </w:pPr>
      <w:r>
        <w:rPr>
          <w:rFonts w:ascii="Times New Roman"/>
          <w:b w:val="false"/>
          <w:i w:val="false"/>
          <w:color w:val="000000"/>
          <w:sz w:val="28"/>
        </w:rPr>
        <w:t>
      Сфера бытового обслуживания столицы представлена широким спектром услуг. В городе имеется достаточное количество малых предприятий бытового профиля, оказывающих услуги населению по пошиву и ремонту одежды, бытовой техники и других. Согласно прогнозным моделям социально-экономического развития расчетная емкость рынка труда в данном секторе к 2030 году составит 17 682 рабочих места с последующим ростом показателя занятости до 20 475 единиц к 2035 году.</w:t>
      </w:r>
    </w:p>
    <w:bookmarkEnd w:id="88"/>
    <w:bookmarkStart w:name="z99" w:id="89"/>
    <w:p>
      <w:pPr>
        <w:spacing w:after="0"/>
        <w:ind w:left="0"/>
        <w:jc w:val="both"/>
      </w:pPr>
      <w:r>
        <w:rPr>
          <w:rFonts w:ascii="Times New Roman"/>
          <w:b w:val="false"/>
          <w:i w:val="false"/>
          <w:color w:val="000000"/>
          <w:sz w:val="28"/>
        </w:rPr>
        <w:t>
      Финансовые технологии и IT-кластер развиваются на базе Astana Hub - крупнейшего международного технопарка IT-стартапов Центральной Азии. Экосистема объединяет 1750 IT-компаний, включая 450 компаний с иностранным участием. Astana Hub способствует развитию цифровых технологий, внедрению инноваций и привлечению международных инвестиций.</w:t>
      </w:r>
    </w:p>
    <w:bookmarkEnd w:id="89"/>
    <w:bookmarkStart w:name="z100" w:id="90"/>
    <w:p>
      <w:pPr>
        <w:spacing w:after="0"/>
        <w:ind w:left="0"/>
        <w:jc w:val="both"/>
      </w:pPr>
      <w:r>
        <w:rPr>
          <w:rFonts w:ascii="Times New Roman"/>
          <w:b w:val="false"/>
          <w:i w:val="false"/>
          <w:color w:val="000000"/>
          <w:sz w:val="28"/>
        </w:rPr>
        <w:t>
      Дополнительным фактором инвестиционной привлекательности выступает Международный финансовый центр "Астана", в котором зарегистрировано более 4,6 тысяч компаний из 88 стран мира. Центр формирует современную финансовую экосистему, развивая традиционные финансовые услуги, исламское финансирование и финансовые технологии.</w:t>
      </w:r>
    </w:p>
    <w:bookmarkEnd w:id="90"/>
    <w:bookmarkStart w:name="z101" w:id="91"/>
    <w:p>
      <w:pPr>
        <w:spacing w:after="0"/>
        <w:ind w:left="0"/>
        <w:jc w:val="both"/>
      </w:pPr>
      <w:r>
        <w:rPr>
          <w:rFonts w:ascii="Times New Roman"/>
          <w:b w:val="false"/>
          <w:i w:val="false"/>
          <w:color w:val="000000"/>
          <w:sz w:val="28"/>
        </w:rPr>
        <w:t>
      В целом развитие Астаны ориентировано на формирование устойчивой и диверсифицированной экономики, основанной на высокотехнологичном производстве, инновациях, развитии человеческого капитала, логистики и международного сотрудничества, что позволит повысить конкурентоспособность столицы и обеспечить долгосрочный рост ее экономического потенциала</w:t>
      </w:r>
    </w:p>
    <w:bookmarkEnd w:id="91"/>
    <w:bookmarkStart w:name="z102" w:id="92"/>
    <w:p>
      <w:pPr>
        <w:spacing w:after="0"/>
        <w:ind w:left="0"/>
        <w:jc w:val="both"/>
      </w:pPr>
      <w:r>
        <w:rPr>
          <w:rFonts w:ascii="Times New Roman"/>
          <w:b w:val="false"/>
          <w:i w:val="false"/>
          <w:color w:val="000000"/>
          <w:sz w:val="28"/>
        </w:rPr>
        <w:t xml:space="preserve">
      В целях реализации стратегии экономического развития до 2030 года планируется реализация 297 инвестиционных проектов в различных отраслях экономики. </w:t>
      </w:r>
    </w:p>
    <w:bookmarkEnd w:id="92"/>
    <w:bookmarkStart w:name="z103" w:id="93"/>
    <w:p>
      <w:pPr>
        <w:spacing w:after="0"/>
        <w:ind w:left="0"/>
        <w:jc w:val="both"/>
      </w:pPr>
      <w:r>
        <w:rPr>
          <w:rFonts w:ascii="Times New Roman"/>
          <w:b w:val="false"/>
          <w:i w:val="false"/>
          <w:color w:val="000000"/>
          <w:sz w:val="28"/>
        </w:rPr>
        <w:t>
      Региональным фронт - офисом по привлечению инвестиций в город определены товарищеста с ограниченной ответственностью (далее - ТОО) "Городской центр развития инвестиций, "Центр развития Астаны", которые осуществляют мониторинг этих проектов. Также их сопровождением занимаются городской центр развития инвестиций "Astana Invest" при акимате города Астаны - акционерное общество (далее - АО) "Астана Инвест" и АО "Социально-предпринимательская корпорация "Астана"".</w:t>
      </w:r>
    </w:p>
    <w:bookmarkEnd w:id="93"/>
    <w:bookmarkStart w:name="z104" w:id="94"/>
    <w:p>
      <w:pPr>
        <w:spacing w:after="0"/>
        <w:ind w:left="0"/>
        <w:jc w:val="both"/>
      </w:pPr>
      <w:r>
        <w:rPr>
          <w:rFonts w:ascii="Times New Roman"/>
          <w:b w:val="false"/>
          <w:i w:val="false"/>
          <w:color w:val="000000"/>
          <w:sz w:val="28"/>
        </w:rPr>
        <w:t>
      Ориентировочно пакет инвестиций оценивается в 3,6 триллиона теңге, и его реализация позволит создать порядка 17 тысяч новых рабочих мест.</w:t>
      </w:r>
    </w:p>
    <w:bookmarkEnd w:id="94"/>
    <w:bookmarkStart w:name="z105" w:id="95"/>
    <w:p>
      <w:pPr>
        <w:spacing w:after="0"/>
        <w:ind w:left="0"/>
        <w:jc w:val="both"/>
      </w:pPr>
      <w:r>
        <w:rPr>
          <w:rFonts w:ascii="Times New Roman"/>
          <w:b w:val="false"/>
          <w:i w:val="false"/>
          <w:color w:val="000000"/>
          <w:sz w:val="28"/>
        </w:rPr>
        <w:t xml:space="preserve">
      Отраслевой набор портфеля инвестиционных проектов отражает основные стратегические направления развития экономики города. </w:t>
      </w:r>
    </w:p>
    <w:bookmarkEnd w:id="95"/>
    <w:bookmarkStart w:name="z106" w:id="96"/>
    <w:p>
      <w:pPr>
        <w:spacing w:after="0"/>
        <w:ind w:left="0"/>
        <w:jc w:val="both"/>
      </w:pPr>
      <w:r>
        <w:rPr>
          <w:rFonts w:ascii="Times New Roman"/>
          <w:b w:val="false"/>
          <w:i w:val="false"/>
          <w:color w:val="000000"/>
          <w:sz w:val="28"/>
        </w:rPr>
        <w:t xml:space="preserve">
      Так, в направлении индустриального развития до 2030 года планируется реализовать 40 проектов, в том числе следующие крупные: </w:t>
      </w:r>
    </w:p>
    <w:bookmarkEnd w:id="96"/>
    <w:bookmarkStart w:name="z107" w:id="97"/>
    <w:p>
      <w:pPr>
        <w:spacing w:after="0"/>
        <w:ind w:left="0"/>
        <w:jc w:val="both"/>
      </w:pPr>
      <w:r>
        <w:rPr>
          <w:rFonts w:ascii="Times New Roman"/>
          <w:b w:val="false"/>
          <w:i w:val="false"/>
          <w:color w:val="000000"/>
          <w:sz w:val="28"/>
        </w:rPr>
        <w:t>
      1) строительство и эксплуатация завода по глубокой переработке пшеницы, Tiryaki Agro (ТОО "Kazak Protein") на 163,9 млрд теңге;</w:t>
      </w:r>
    </w:p>
    <w:bookmarkEnd w:id="97"/>
    <w:bookmarkStart w:name="z108" w:id="98"/>
    <w:p>
      <w:pPr>
        <w:spacing w:after="0"/>
        <w:ind w:left="0"/>
        <w:jc w:val="both"/>
      </w:pPr>
      <w:r>
        <w:rPr>
          <w:rFonts w:ascii="Times New Roman"/>
          <w:b w:val="false"/>
          <w:i w:val="false"/>
          <w:color w:val="000000"/>
          <w:sz w:val="28"/>
        </w:rPr>
        <w:t>
      2) строительство Эко парка энергия Астаны (мусоросжигающий завод), ТОО "EAST HOPE" на 125 млрд теңге;</w:t>
      </w:r>
    </w:p>
    <w:bookmarkEnd w:id="98"/>
    <w:bookmarkStart w:name="z109" w:id="99"/>
    <w:p>
      <w:pPr>
        <w:spacing w:after="0"/>
        <w:ind w:left="0"/>
        <w:jc w:val="both"/>
      </w:pPr>
      <w:r>
        <w:rPr>
          <w:rFonts w:ascii="Times New Roman"/>
          <w:b w:val="false"/>
          <w:i w:val="false"/>
          <w:color w:val="000000"/>
          <w:sz w:val="28"/>
        </w:rPr>
        <w:t>
      3) агрохимический комплекс по производству удобрений и пестицидов, ТОО "KazAgroTech" - 125 млрд теңге;</w:t>
      </w:r>
    </w:p>
    <w:bookmarkEnd w:id="99"/>
    <w:bookmarkStart w:name="z110" w:id="100"/>
    <w:p>
      <w:pPr>
        <w:spacing w:after="0"/>
        <w:ind w:left="0"/>
        <w:jc w:val="both"/>
      </w:pPr>
      <w:r>
        <w:rPr>
          <w:rFonts w:ascii="Times New Roman"/>
          <w:b w:val="false"/>
          <w:i w:val="false"/>
          <w:color w:val="000000"/>
          <w:sz w:val="28"/>
        </w:rPr>
        <w:t>
      4) создание аграрной индустриальной зоны, АО "Астана Инвест" - 40 млрд теңге;</w:t>
      </w:r>
    </w:p>
    <w:bookmarkEnd w:id="100"/>
    <w:bookmarkStart w:name="z111" w:id="101"/>
    <w:p>
      <w:pPr>
        <w:spacing w:after="0"/>
        <w:ind w:left="0"/>
        <w:jc w:val="both"/>
      </w:pPr>
      <w:r>
        <w:rPr>
          <w:rFonts w:ascii="Times New Roman"/>
          <w:b w:val="false"/>
          <w:i w:val="false"/>
          <w:color w:val="000000"/>
          <w:sz w:val="28"/>
        </w:rPr>
        <w:t>
      5) строительство и эксплуатация головного сервисного центра по обслуживанию электровозов (ALSTOM), ТОО "Электровоз құрастыру зауыты" - 14,5 млрд теңге;</w:t>
      </w:r>
    </w:p>
    <w:bookmarkEnd w:id="101"/>
    <w:bookmarkStart w:name="z112" w:id="102"/>
    <w:p>
      <w:pPr>
        <w:spacing w:after="0"/>
        <w:ind w:left="0"/>
        <w:jc w:val="both"/>
      </w:pPr>
      <w:r>
        <w:rPr>
          <w:rFonts w:ascii="Times New Roman"/>
          <w:b w:val="false"/>
          <w:i w:val="false"/>
          <w:color w:val="000000"/>
          <w:sz w:val="28"/>
        </w:rPr>
        <w:t>
      6) строительство завода по производству хлебобулочных и кондитерских изделий, ТОО "ХБК "Аксай" - 1,7 млрд теңге;</w:t>
      </w:r>
    </w:p>
    <w:bookmarkEnd w:id="102"/>
    <w:bookmarkStart w:name="z113" w:id="103"/>
    <w:p>
      <w:pPr>
        <w:spacing w:after="0"/>
        <w:ind w:left="0"/>
        <w:jc w:val="both"/>
      </w:pPr>
      <w:r>
        <w:rPr>
          <w:rFonts w:ascii="Times New Roman"/>
          <w:b w:val="false"/>
          <w:i w:val="false"/>
          <w:color w:val="000000"/>
          <w:sz w:val="28"/>
        </w:rPr>
        <w:t>
      7) строительство завода по выпуску керамогранита из спеченного камня, ТОО "LASSELS - BERGER (ЛАССЕЛСБЕРГЕР)" - 8,2 млрд теңге;</w:t>
      </w:r>
    </w:p>
    <w:bookmarkEnd w:id="103"/>
    <w:bookmarkStart w:name="z114" w:id="104"/>
    <w:p>
      <w:pPr>
        <w:spacing w:after="0"/>
        <w:ind w:left="0"/>
        <w:jc w:val="both"/>
      </w:pPr>
      <w:r>
        <w:rPr>
          <w:rFonts w:ascii="Times New Roman"/>
          <w:b w:val="false"/>
          <w:i w:val="false"/>
          <w:color w:val="000000"/>
          <w:sz w:val="28"/>
        </w:rPr>
        <w:t>
      8) производство и техническое обслуживание бронированных колесных и гусеничных машин", ТОО "SP BKM" - 4,5 млрд теңге.</w:t>
      </w:r>
    </w:p>
    <w:bookmarkEnd w:id="104"/>
    <w:bookmarkStart w:name="z115" w:id="105"/>
    <w:p>
      <w:pPr>
        <w:spacing w:after="0"/>
        <w:ind w:left="0"/>
        <w:jc w:val="both"/>
      </w:pPr>
      <w:r>
        <w:rPr>
          <w:rFonts w:ascii="Times New Roman"/>
          <w:b w:val="false"/>
          <w:i w:val="false"/>
          <w:color w:val="000000"/>
          <w:sz w:val="28"/>
        </w:rPr>
        <w:t>
      В секторе "Транспорт и логистика" предусмотрена реализация 100 проектов, которые включают в себя создание крупного инфраструктурного проекта-логистического парка на 223 га, реконструкцию международного аэропорта - 250 млрд теңге, крупного многофункционального логистического распределительного комплекса ТОО "Свет Шелкового Пути" с участием акимата города Астаны и китайских партнеров.</w:t>
      </w:r>
    </w:p>
    <w:bookmarkEnd w:id="105"/>
    <w:bookmarkStart w:name="z116" w:id="106"/>
    <w:p>
      <w:pPr>
        <w:spacing w:after="0"/>
        <w:ind w:left="0"/>
        <w:jc w:val="both"/>
      </w:pPr>
      <w:r>
        <w:rPr>
          <w:rFonts w:ascii="Times New Roman"/>
          <w:b w:val="false"/>
          <w:i w:val="false"/>
          <w:color w:val="000000"/>
          <w:sz w:val="28"/>
        </w:rPr>
        <w:t>
      Также предполагаются значительное расширение сети мультимодальных транспортно-логистических центров, строительство логистических центров крупных ритейлинговых компаний - маркетплейсов и сетевых супермаркетов регионального и республиканского масштаба, а также строительство системы современных складских комплексов ряда крупных казахстанских и международных компаний, включая склады классов "А" и "B".</w:t>
      </w:r>
    </w:p>
    <w:bookmarkEnd w:id="106"/>
    <w:bookmarkStart w:name="z117" w:id="107"/>
    <w:p>
      <w:pPr>
        <w:spacing w:after="0"/>
        <w:ind w:left="0"/>
        <w:jc w:val="both"/>
      </w:pPr>
      <w:r>
        <w:rPr>
          <w:rFonts w:ascii="Times New Roman"/>
          <w:b w:val="false"/>
          <w:i w:val="false"/>
          <w:color w:val="000000"/>
          <w:sz w:val="28"/>
        </w:rPr>
        <w:t>
      В секторе "Туризм", который является мультиотраслевым и включает в себя несколько видов экономической деятельности, также имеется крупный портфель проектов, включающий:</w:t>
      </w:r>
    </w:p>
    <w:bookmarkEnd w:id="107"/>
    <w:bookmarkStart w:name="z118" w:id="108"/>
    <w:p>
      <w:pPr>
        <w:spacing w:after="0"/>
        <w:ind w:left="0"/>
        <w:jc w:val="both"/>
      </w:pPr>
      <w:r>
        <w:rPr>
          <w:rFonts w:ascii="Times New Roman"/>
          <w:b w:val="false"/>
          <w:i w:val="false"/>
          <w:color w:val="000000"/>
          <w:sz w:val="28"/>
        </w:rPr>
        <w:t>
      54 проекта в сфере экономической деятельности "Предоставление услуг по проживанию и питанию" - отели и гостиничные комплексы, кемпинги и объекты придорожного сервиса;</w:t>
      </w:r>
    </w:p>
    <w:bookmarkEnd w:id="108"/>
    <w:bookmarkStart w:name="z119" w:id="109"/>
    <w:p>
      <w:pPr>
        <w:spacing w:after="0"/>
        <w:ind w:left="0"/>
        <w:jc w:val="both"/>
      </w:pPr>
      <w:r>
        <w:rPr>
          <w:rFonts w:ascii="Times New Roman"/>
          <w:b w:val="false"/>
          <w:i w:val="false"/>
          <w:color w:val="000000"/>
          <w:sz w:val="28"/>
        </w:rPr>
        <w:t>
      28 проектов в сфере "Искусство, развлечения и отдых" культурно-зрелищные и спортивные объекты.</w:t>
      </w:r>
    </w:p>
    <w:bookmarkEnd w:id="109"/>
    <w:bookmarkStart w:name="z120" w:id="110"/>
    <w:p>
      <w:pPr>
        <w:spacing w:after="0"/>
        <w:ind w:left="0"/>
        <w:jc w:val="both"/>
      </w:pPr>
      <w:r>
        <w:rPr>
          <w:rFonts w:ascii="Times New Roman"/>
          <w:b w:val="false"/>
          <w:i w:val="false"/>
          <w:color w:val="000000"/>
          <w:sz w:val="28"/>
        </w:rPr>
        <w:t>
      В секторе "Образование" предусмотрено 38 проектов в сфере дошкольного, начального, среднего, специального и высшего образования.</w:t>
      </w:r>
    </w:p>
    <w:bookmarkEnd w:id="110"/>
    <w:bookmarkStart w:name="z121" w:id="111"/>
    <w:p>
      <w:pPr>
        <w:spacing w:after="0"/>
        <w:ind w:left="0"/>
        <w:jc w:val="left"/>
      </w:pPr>
      <w:r>
        <w:rPr>
          <w:rFonts w:ascii="Times New Roman"/>
          <w:b/>
          <w:i w:val="false"/>
          <w:color w:val="000000"/>
        </w:rPr>
        <w:t xml:space="preserve"> Глава 4. Планировочная структура города</w:t>
      </w:r>
    </w:p>
    <w:bookmarkEnd w:id="111"/>
    <w:bookmarkStart w:name="z122" w:id="112"/>
    <w:p>
      <w:pPr>
        <w:spacing w:after="0"/>
        <w:ind w:left="0"/>
        <w:jc w:val="both"/>
      </w:pPr>
      <w:r>
        <w:rPr>
          <w:rFonts w:ascii="Times New Roman"/>
          <w:b w:val="false"/>
          <w:i w:val="false"/>
          <w:color w:val="000000"/>
          <w:sz w:val="28"/>
        </w:rPr>
        <w:t>
      Важным фактором при проектировании города было создание комфортной городской среды для жителей и туристов, удобной для городского населения транспортной системы. Для этого использовались современные концепции градостроительства, такие как разделение транспорта и пешеходов, создание пешеходных зон и велодорожек, а также пространств для отдыха и культурных мероприятий.</w:t>
      </w:r>
    </w:p>
    <w:bookmarkEnd w:id="112"/>
    <w:bookmarkStart w:name="z123" w:id="113"/>
    <w:p>
      <w:pPr>
        <w:spacing w:after="0"/>
        <w:ind w:left="0"/>
        <w:jc w:val="both"/>
      </w:pPr>
      <w:r>
        <w:rPr>
          <w:rFonts w:ascii="Times New Roman"/>
          <w:b w:val="false"/>
          <w:i w:val="false"/>
          <w:color w:val="000000"/>
          <w:sz w:val="28"/>
        </w:rPr>
        <w:t xml:space="preserve">
      Планировочная структура города представлена 6 планировочными районами, границы которых совпадают с границами административных районов. Это удобно для оперативного управления территориальным развитием столицы. Город разделен на 148 планировочных секторов, в каждом из которых планируется создание общественных центров. </w:t>
      </w:r>
    </w:p>
    <w:bookmarkEnd w:id="113"/>
    <w:bookmarkStart w:name="z124" w:id="114"/>
    <w:p>
      <w:pPr>
        <w:spacing w:after="0"/>
        <w:ind w:left="0"/>
        <w:jc w:val="both"/>
      </w:pPr>
      <w:r>
        <w:rPr>
          <w:rFonts w:ascii="Times New Roman"/>
          <w:b w:val="false"/>
          <w:i w:val="false"/>
          <w:color w:val="000000"/>
          <w:sz w:val="28"/>
        </w:rPr>
        <w:t>
      В городе, который делится на районы с расположенными в них районными центрами, возникают дополнительные магистральные улицы, связывающие районные центры с деловым центром, промышленными предприятиями, парками, стадионами, вокзалами.</w:t>
      </w:r>
    </w:p>
    <w:bookmarkEnd w:id="114"/>
    <w:bookmarkStart w:name="z125" w:id="115"/>
    <w:p>
      <w:pPr>
        <w:spacing w:after="0"/>
        <w:ind w:left="0"/>
        <w:jc w:val="both"/>
      </w:pPr>
      <w:r>
        <w:rPr>
          <w:rFonts w:ascii="Times New Roman"/>
          <w:b w:val="false"/>
          <w:i w:val="false"/>
          <w:color w:val="000000"/>
          <w:sz w:val="28"/>
        </w:rPr>
        <w:t>
      Планировочная композиция комплексных общественных центров определяется градостроительным профилем и величиной города, местными природными условиями и уже сложившейся планировочной ситуацией.</w:t>
      </w:r>
    </w:p>
    <w:bookmarkEnd w:id="115"/>
    <w:bookmarkStart w:name="z126" w:id="116"/>
    <w:p>
      <w:pPr>
        <w:spacing w:after="0"/>
        <w:ind w:left="0"/>
        <w:jc w:val="both"/>
      </w:pPr>
      <w:r>
        <w:rPr>
          <w:rFonts w:ascii="Times New Roman"/>
          <w:b w:val="false"/>
          <w:i w:val="false"/>
          <w:color w:val="000000"/>
          <w:sz w:val="28"/>
        </w:rPr>
        <w:t>
      Развитие планировочных центров будет сбалансировано с обеспечением горожан объектами первичного обслуживания, развитием транспортных пересадочных узлов, общественных пространств с парковыми зонами, торговыми центрами и спортивными объектами, созданием гармоничной, комфортной среды.</w:t>
      </w:r>
    </w:p>
    <w:bookmarkEnd w:id="116"/>
    <w:bookmarkStart w:name="z127" w:id="117"/>
    <w:p>
      <w:pPr>
        <w:spacing w:after="0"/>
        <w:ind w:left="0"/>
        <w:jc w:val="both"/>
      </w:pPr>
      <w:r>
        <w:rPr>
          <w:rFonts w:ascii="Times New Roman"/>
          <w:b w:val="false"/>
          <w:i w:val="false"/>
          <w:color w:val="000000"/>
          <w:sz w:val="28"/>
        </w:rPr>
        <w:t>
      Для обеспечения населения объектами обслуживания и жизнедеятельности в 148 планировочных секторах предусмотрено население порядка 10 тысяч человек в каждом. Планировочный сектор - это крупная городская территория, состоящая из нескольких жилых кварталов.</w:t>
      </w:r>
    </w:p>
    <w:bookmarkEnd w:id="117"/>
    <w:bookmarkStart w:name="z128" w:id="118"/>
    <w:p>
      <w:pPr>
        <w:spacing w:after="0"/>
        <w:ind w:left="0"/>
        <w:jc w:val="both"/>
      </w:pPr>
      <w:r>
        <w:rPr>
          <w:rFonts w:ascii="Times New Roman"/>
          <w:b w:val="false"/>
          <w:i w:val="false"/>
          <w:color w:val="000000"/>
          <w:sz w:val="28"/>
        </w:rPr>
        <w:t xml:space="preserve">
      Принципы планировочного сектора: </w:t>
      </w:r>
    </w:p>
    <w:bookmarkEnd w:id="118"/>
    <w:bookmarkStart w:name="z129" w:id="119"/>
    <w:p>
      <w:pPr>
        <w:spacing w:after="0"/>
        <w:ind w:left="0"/>
        <w:jc w:val="both"/>
      </w:pPr>
      <w:r>
        <w:rPr>
          <w:rFonts w:ascii="Times New Roman"/>
          <w:b w:val="false"/>
          <w:i w:val="false"/>
          <w:color w:val="000000"/>
          <w:sz w:val="28"/>
        </w:rPr>
        <w:t>
      пешеходная доступность общеобразовательных школ, детских садов, предотвращение пересечения детьми общегородских магистралей с интенсивным движением транспорта;</w:t>
      </w:r>
    </w:p>
    <w:bookmarkEnd w:id="119"/>
    <w:bookmarkStart w:name="z130" w:id="120"/>
    <w:p>
      <w:pPr>
        <w:spacing w:after="0"/>
        <w:ind w:left="0"/>
        <w:jc w:val="both"/>
      </w:pPr>
      <w:r>
        <w:rPr>
          <w:rFonts w:ascii="Times New Roman"/>
          <w:b w:val="false"/>
          <w:i w:val="false"/>
          <w:color w:val="000000"/>
          <w:sz w:val="28"/>
        </w:rPr>
        <w:t>
      обеспечение населения города (в том числе детей, пожилых людей и маломобильных групп населения) учреждениями обслуживания в радиусе безопасной пешеходной доступности. Это знакомые всем микрорайоны, но укрупненные и адаптированные к современным условиям жизни.</w:t>
      </w:r>
    </w:p>
    <w:bookmarkEnd w:id="120"/>
    <w:bookmarkStart w:name="z131" w:id="121"/>
    <w:p>
      <w:pPr>
        <w:spacing w:after="0"/>
        <w:ind w:left="0"/>
        <w:jc w:val="both"/>
      </w:pPr>
      <w:r>
        <w:rPr>
          <w:rFonts w:ascii="Times New Roman"/>
          <w:b w:val="false"/>
          <w:i w:val="false"/>
          <w:color w:val="000000"/>
          <w:sz w:val="28"/>
        </w:rPr>
        <w:t>
      Данные мероприятия позволят сделать город комфортным для проживания во всех планировочных секторах.</w:t>
      </w:r>
    </w:p>
    <w:bookmarkEnd w:id="121"/>
    <w:bookmarkStart w:name="z132" w:id="122"/>
    <w:p>
      <w:pPr>
        <w:spacing w:after="0"/>
        <w:ind w:left="0"/>
        <w:jc w:val="both"/>
      </w:pPr>
      <w:r>
        <w:rPr>
          <w:rFonts w:ascii="Times New Roman"/>
          <w:b w:val="false"/>
          <w:i w:val="false"/>
          <w:color w:val="000000"/>
          <w:sz w:val="28"/>
        </w:rPr>
        <w:t xml:space="preserve">
      Таблица 1. Генеральным планом предусматриваются следующие центры планировочных районов: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Наименования планировочных районов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Территория планировочного района (га)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планировочных секторов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(восточный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8 518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"Байқоныр" (северный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 (южный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20 022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(западный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19 336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"Сарайшық" (юго-восточный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"Сарыарқа" (северо-западный район)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6 775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79 733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r>
    </w:tbl>
    <w:bookmarkStart w:name="z133" w:id="123"/>
    <w:p>
      <w:pPr>
        <w:spacing w:after="0"/>
        <w:ind w:left="0"/>
        <w:jc w:val="both"/>
      </w:pPr>
      <w:r>
        <w:rPr>
          <w:rFonts w:ascii="Times New Roman"/>
          <w:b w:val="false"/>
          <w:i w:val="false"/>
          <w:color w:val="000000"/>
          <w:sz w:val="28"/>
        </w:rPr>
        <w:t>
      Генеральным планом предусматриваются следующие центры планировочных районов:</w:t>
      </w:r>
    </w:p>
    <w:bookmarkEnd w:id="123"/>
    <w:bookmarkStart w:name="z134" w:id="124"/>
    <w:p>
      <w:pPr>
        <w:spacing w:after="0"/>
        <w:ind w:left="0"/>
        <w:jc w:val="both"/>
      </w:pPr>
      <w:r>
        <w:rPr>
          <w:rFonts w:ascii="Times New Roman"/>
          <w:b w:val="false"/>
          <w:i w:val="false"/>
          <w:color w:val="000000"/>
          <w:sz w:val="28"/>
        </w:rPr>
        <w:t>
      1) район "Алматы" - от слияния рек Есіл и Ақбұлақ в районе очистных сооружений ливневой канализации 1 - 5, на северо-восток по реке Ақбұлақ до пересечения улиц Маймекен и Кендірлі, далее на север по улице Маймекен до улицы Бұйрат, по улице Бұйрат до реки Ақбұлақ, на северо-восток по реке Ақбұлақ до границы города, по границе города до магистральной железной дороги, по магистральной железной дороге в западном направлении до проспекта Ракымжан Қошқарбаев, по нечетной стороне проспекта Ракымжан Қошқарбаев до улицы Сарайшық, вдоль моста Арқар до реки Есіл, по реке Есіл до ее слияния с рекой Ақбұлақ, в районе очистных сооружений ливневой канализации 1 - 5;</w:t>
      </w:r>
    </w:p>
    <w:bookmarkEnd w:id="124"/>
    <w:bookmarkStart w:name="z135" w:id="125"/>
    <w:p>
      <w:pPr>
        <w:spacing w:after="0"/>
        <w:ind w:left="0"/>
        <w:jc w:val="both"/>
      </w:pPr>
      <w:r>
        <w:rPr>
          <w:rFonts w:ascii="Times New Roman"/>
          <w:b w:val="false"/>
          <w:i w:val="false"/>
          <w:color w:val="000000"/>
          <w:sz w:val="28"/>
        </w:rPr>
        <w:t>
      2) район "Байқоңыр" - от железной дороги в направлении Астана - Қостанай на север по существующей границе города до реки Ақбұлақ, вдоль реки Ақбұлақ до проспекта Рақымжан Қошқарбаев, по четной стороне проспекта Рақымжан Қошқарбаев до улицы Сауда, вдоль улицы Сауда до улицы А184, далее по реке Ақбұлақ до слияния рек Есіл и Ақбұлақ, по реке Есіл до моста Қараөткел, по улице Александра Бараева до проспекта Республики, по четной стороне проспекта Республики до проспекта Бөгенбай батыр, вдоль проспекта Бөгенбай батыр и шоссе Алаш до железной дороги, по железной дороге до западной границы города. В границы района входит территория городского кладбища;</w:t>
      </w:r>
    </w:p>
    <w:bookmarkEnd w:id="125"/>
    <w:bookmarkStart w:name="z136" w:id="126"/>
    <w:p>
      <w:pPr>
        <w:spacing w:after="0"/>
        <w:ind w:left="0"/>
        <w:jc w:val="both"/>
      </w:pPr>
      <w:r>
        <w:rPr>
          <w:rFonts w:ascii="Times New Roman"/>
          <w:b w:val="false"/>
          <w:i w:val="false"/>
          <w:color w:val="000000"/>
          <w:sz w:val="28"/>
        </w:rPr>
        <w:t>
      3) район "Есиль" - от проспекта Қабанбай батыр по реке Есіл до восточной границы города, далее на юго-восток по границе города до шоссе Қарқаралы, далее по восточной стороне шоссе Қарқаралы и вдоль четной стороны проспекта Қабанбай батыр до реки Есіл. В границы района входит территория Национального пантеона. Национальный пантеон находится в 17 км от города Астаны, его возвели вокруг Мавзолея Кабанбай батыр, недалеко от села, которое тоже носит имя батыра;</w:t>
      </w:r>
    </w:p>
    <w:bookmarkEnd w:id="126"/>
    <w:bookmarkStart w:name="z137" w:id="127"/>
    <w:p>
      <w:pPr>
        <w:spacing w:after="0"/>
        <w:ind w:left="0"/>
        <w:jc w:val="both"/>
      </w:pPr>
      <w:r>
        <w:rPr>
          <w:rFonts w:ascii="Times New Roman"/>
          <w:b w:val="false"/>
          <w:i w:val="false"/>
          <w:color w:val="000000"/>
          <w:sz w:val="28"/>
        </w:rPr>
        <w:t>
      4) район "Нұра" - по реке Есіл в западной части города на восток до проспекта Қабанбай батыр, далее вдоль нечетной стороны проспекта Қабанбай батыр и западной стороне шоссе Қарқаралы до южных границ города;</w:t>
      </w:r>
    </w:p>
    <w:bookmarkEnd w:id="127"/>
    <w:bookmarkStart w:name="z138" w:id="128"/>
    <w:p>
      <w:pPr>
        <w:spacing w:after="0"/>
        <w:ind w:left="0"/>
        <w:jc w:val="both"/>
      </w:pPr>
      <w:r>
        <w:rPr>
          <w:rFonts w:ascii="Times New Roman"/>
          <w:b w:val="false"/>
          <w:i w:val="false"/>
          <w:color w:val="000000"/>
          <w:sz w:val="28"/>
        </w:rPr>
        <w:t>
      5) район Сарайшық - от реки Есіл вдоль моста Арқар по улице Сарайшық в направлении проспекта Рақымжан Қошқарбаев по четной стороне до магистральной железной дороги, по магистральной железной дороге в восточном направлении до границ города, по восточной границе города в южном направлении до реки Есіл, по реке Есіл в западном направлении до моста Аркар по улице Сарайшық;</w:t>
      </w:r>
    </w:p>
    <w:bookmarkEnd w:id="128"/>
    <w:bookmarkStart w:name="z139" w:id="129"/>
    <w:p>
      <w:pPr>
        <w:spacing w:after="0"/>
        <w:ind w:left="0"/>
        <w:jc w:val="both"/>
      </w:pPr>
      <w:r>
        <w:rPr>
          <w:rFonts w:ascii="Times New Roman"/>
          <w:b w:val="false"/>
          <w:i w:val="false"/>
          <w:color w:val="000000"/>
          <w:sz w:val="28"/>
        </w:rPr>
        <w:t>
      6) район "Сарыарқа" - от западной границы города вдоль железной дороги до шоссе Алаш, по нечетной стороне проспекта Бөгенбай батыр до проспекта Республики, далее на юг по нечетной стороне проспекта Республики до улицы Александра Бараева, по улице Александра Бараева до реки Есіл, по правому рукаву реки Есіл до западной границы города.    </w:t>
      </w:r>
    </w:p>
    <w:bookmarkEnd w:id="129"/>
    <w:bookmarkStart w:name="z140" w:id="130"/>
    <w:p>
      <w:pPr>
        <w:spacing w:after="0"/>
        <w:ind w:left="0"/>
        <w:jc w:val="both"/>
      </w:pPr>
      <w:r>
        <w:rPr>
          <w:rFonts w:ascii="Times New Roman"/>
          <w:b w:val="false"/>
          <w:i w:val="false"/>
          <w:color w:val="000000"/>
          <w:sz w:val="28"/>
        </w:rPr>
        <w:t>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 проводимым через установление регламентов.</w:t>
      </w:r>
    </w:p>
    <w:bookmarkEnd w:id="130"/>
    <w:bookmarkStart w:name="z141" w:id="131"/>
    <w:p>
      <w:pPr>
        <w:spacing w:after="0"/>
        <w:ind w:left="0"/>
        <w:jc w:val="both"/>
      </w:pPr>
      <w:r>
        <w:rPr>
          <w:rFonts w:ascii="Times New Roman"/>
          <w:b w:val="false"/>
          <w:i w:val="false"/>
          <w:color w:val="000000"/>
          <w:sz w:val="28"/>
        </w:rPr>
        <w:t xml:space="preserve">
      Материалы градостроительного зонирования Генерального плана развития территории города Астаны используются для: </w:t>
      </w:r>
    </w:p>
    <w:bookmarkEnd w:id="131"/>
    <w:bookmarkStart w:name="z142" w:id="132"/>
    <w:p>
      <w:pPr>
        <w:spacing w:after="0"/>
        <w:ind w:left="0"/>
        <w:jc w:val="both"/>
      </w:pPr>
      <w:r>
        <w:rPr>
          <w:rFonts w:ascii="Times New Roman"/>
          <w:b w:val="false"/>
          <w:i w:val="false"/>
          <w:color w:val="000000"/>
          <w:sz w:val="28"/>
        </w:rPr>
        <w:t xml:space="preserve">
      включения соответствующих показателей перспективного использования территории в состав исходно-разрешительной и градостроительной документации на разработку детализирующих проектных предложений; </w:t>
      </w:r>
    </w:p>
    <w:bookmarkEnd w:id="132"/>
    <w:bookmarkStart w:name="z143" w:id="133"/>
    <w:p>
      <w:pPr>
        <w:spacing w:after="0"/>
        <w:ind w:left="0"/>
        <w:jc w:val="both"/>
      </w:pPr>
      <w:r>
        <w:rPr>
          <w:rFonts w:ascii="Times New Roman"/>
          <w:b w:val="false"/>
          <w:i w:val="false"/>
          <w:color w:val="000000"/>
          <w:sz w:val="28"/>
        </w:rPr>
        <w:t xml:space="preserve">
      оценки эффективности существующего использования территории; </w:t>
      </w:r>
    </w:p>
    <w:bookmarkEnd w:id="133"/>
    <w:bookmarkStart w:name="z144" w:id="134"/>
    <w:p>
      <w:pPr>
        <w:spacing w:after="0"/>
        <w:ind w:left="0"/>
        <w:jc w:val="both"/>
      </w:pPr>
      <w:r>
        <w:rPr>
          <w:rFonts w:ascii="Times New Roman"/>
          <w:b w:val="false"/>
          <w:i w:val="false"/>
          <w:color w:val="000000"/>
          <w:sz w:val="28"/>
        </w:rPr>
        <w:t xml:space="preserve">
      включения и учета соответствующих показателей использования территории при установлении земельных и имущественных отношений; </w:t>
      </w:r>
    </w:p>
    <w:bookmarkEnd w:id="134"/>
    <w:bookmarkStart w:name="z145" w:id="135"/>
    <w:p>
      <w:pPr>
        <w:spacing w:after="0"/>
        <w:ind w:left="0"/>
        <w:jc w:val="both"/>
      </w:pPr>
      <w:r>
        <w:rPr>
          <w:rFonts w:ascii="Times New Roman"/>
          <w:b w:val="false"/>
          <w:i w:val="false"/>
          <w:color w:val="000000"/>
          <w:sz w:val="28"/>
        </w:rPr>
        <w:t xml:space="preserve">
      информирования жителей города Астаны и других участников градостроительной деятельности (инвесторы, застройщики, предприниматели) о перспективах градостроительного развития территории; </w:t>
      </w:r>
    </w:p>
    <w:bookmarkEnd w:id="135"/>
    <w:bookmarkStart w:name="z146" w:id="136"/>
    <w:p>
      <w:pPr>
        <w:spacing w:after="0"/>
        <w:ind w:left="0"/>
        <w:jc w:val="both"/>
      </w:pPr>
      <w:r>
        <w:rPr>
          <w:rFonts w:ascii="Times New Roman"/>
          <w:b w:val="false"/>
          <w:i w:val="false"/>
          <w:color w:val="000000"/>
          <w:sz w:val="28"/>
        </w:rPr>
        <w:t>
      проведения экспертизы, согласования и утверждения проектной и разрешительной документации по всем объектам и территориям в границах градостроительных зон.</w:t>
      </w:r>
    </w:p>
    <w:bookmarkEnd w:id="136"/>
    <w:bookmarkStart w:name="z147" w:id="137"/>
    <w:p>
      <w:pPr>
        <w:spacing w:after="0"/>
        <w:ind w:left="0"/>
        <w:jc w:val="both"/>
      </w:pPr>
      <w:r>
        <w:rPr>
          <w:rFonts w:ascii="Times New Roman"/>
          <w:b w:val="false"/>
          <w:i w:val="false"/>
          <w:color w:val="000000"/>
          <w:sz w:val="28"/>
        </w:rPr>
        <w:t xml:space="preserve">
      Функциональное назначение территории устанавливает для каждой планировочной единицы города определенные виды деятельности (жилая зона, социальная зона, коммерческая зона, иная зона). </w:t>
      </w:r>
    </w:p>
    <w:bookmarkEnd w:id="137"/>
    <w:bookmarkStart w:name="z148" w:id="138"/>
    <w:p>
      <w:pPr>
        <w:spacing w:after="0"/>
        <w:ind w:left="0"/>
        <w:jc w:val="both"/>
      </w:pPr>
      <w:r>
        <w:rPr>
          <w:rFonts w:ascii="Times New Roman"/>
          <w:b w:val="false"/>
          <w:i w:val="false"/>
          <w:color w:val="000000"/>
          <w:sz w:val="28"/>
        </w:rPr>
        <w:t xml:space="preserve">
      Строительное назначение территории устанавливает для застроенной части каждой планировочной единицы предельные параметры застройки. (минимальная и максимальная высота застройки, предельная плотность застройки, отступ от красных линий и другие). </w:t>
      </w:r>
    </w:p>
    <w:bookmarkEnd w:id="138"/>
    <w:bookmarkStart w:name="z149" w:id="139"/>
    <w:p>
      <w:pPr>
        <w:spacing w:after="0"/>
        <w:ind w:left="0"/>
        <w:jc w:val="both"/>
      </w:pPr>
      <w:r>
        <w:rPr>
          <w:rFonts w:ascii="Times New Roman"/>
          <w:b w:val="false"/>
          <w:i w:val="false"/>
          <w:color w:val="000000"/>
          <w:sz w:val="28"/>
        </w:rPr>
        <w:t>
      Градостроительный план индивидуально устанавливает правила землепользования и застройки для каждой территориальной зоны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(жилой, общественно-деловой, производственный, рекреационные и иные виды использования земельных участков).</w:t>
      </w:r>
    </w:p>
    <w:bookmarkEnd w:id="139"/>
    <w:bookmarkStart w:name="z150" w:id="140"/>
    <w:p>
      <w:pPr>
        <w:spacing w:after="0"/>
        <w:ind w:left="0"/>
        <w:jc w:val="both"/>
      </w:pPr>
      <w:r>
        <w:rPr>
          <w:rFonts w:ascii="Times New Roman"/>
          <w:b w:val="false"/>
          <w:i w:val="false"/>
          <w:color w:val="000000"/>
          <w:sz w:val="28"/>
        </w:rPr>
        <w:t xml:space="preserve">
      Проектом определены следующие функциональные зоны: </w:t>
      </w:r>
    </w:p>
    <w:bookmarkEnd w:id="140"/>
    <w:bookmarkStart w:name="z151" w:id="141"/>
    <w:p>
      <w:pPr>
        <w:spacing w:after="0"/>
        <w:ind w:left="0"/>
        <w:jc w:val="both"/>
      </w:pPr>
      <w:r>
        <w:rPr>
          <w:rFonts w:ascii="Times New Roman"/>
          <w:b w:val="false"/>
          <w:i w:val="false"/>
          <w:color w:val="000000"/>
          <w:sz w:val="28"/>
        </w:rPr>
        <w:t>
      жилые районы: они предназначены для постоянного проживания населения и с этой целью подлежат застройке многоквартирными и индивидуальными жилыми домами. В жилых домах в качестве вспомогательной функции допускается размещение отдельно стоящих, встроенных и пристроенных объектов социально-культурного и бытового обслуживания населения, в основном в виде вспомогательных зданий, автостоянок, промышленных и коммунальных складов, не требующих организации санитарно-защитных зон. В пределах населенных пунктов предусмотрены территории центров социального обслуживания населения, микрорайоны и кварталы жилых домов; территории, занятые объектами социально-культурного обслуживания, административными и другими гражданскими зданиями; территории зеленых насаждений; локальные точечные зоны территорий, занятые инженерными сетями, объектами и сооружениями инженерной и транспортной инфраструктуры, предприятиями малой пищевой промышленности и другие.</w:t>
      </w:r>
    </w:p>
    <w:bookmarkEnd w:id="141"/>
    <w:bookmarkStart w:name="z152" w:id="142"/>
    <w:p>
      <w:pPr>
        <w:spacing w:after="0"/>
        <w:ind w:left="0"/>
        <w:jc w:val="both"/>
      </w:pPr>
      <w:r>
        <w:rPr>
          <w:rFonts w:ascii="Times New Roman"/>
          <w:b w:val="false"/>
          <w:i w:val="false"/>
          <w:color w:val="000000"/>
          <w:sz w:val="28"/>
        </w:rPr>
        <w:t>
      Промышленная зона: промышленная зона включает в себя промышленные зоны и коммунальную зону с очистной станцией и отстойником сточных вод. В то же время промышленную зону образуют основные действующие предприятия города, такие как объекты генерации тепловой и электрической энергии, поставщики газа, воды, объекты ремонта подвижного состава железных дорог, ремонта радиаторов и котлов центрального отопления, генераторы, трансформаторы, оборудование для распределения и управления электроэнергией, медицинское оборудование, производство стройматериалов, пищевая промышленность и другие.</w:t>
      </w:r>
    </w:p>
    <w:bookmarkEnd w:id="142"/>
    <w:bookmarkStart w:name="z153" w:id="143"/>
    <w:p>
      <w:pPr>
        <w:spacing w:after="0"/>
        <w:ind w:left="0"/>
        <w:jc w:val="both"/>
      </w:pPr>
      <w:r>
        <w:rPr>
          <w:rFonts w:ascii="Times New Roman"/>
          <w:b w:val="false"/>
          <w:i w:val="false"/>
          <w:color w:val="000000"/>
          <w:sz w:val="28"/>
        </w:rPr>
        <w:t>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43"/>
    <w:bookmarkStart w:name="z154" w:id="144"/>
    <w:p>
      <w:pPr>
        <w:spacing w:after="0"/>
        <w:ind w:left="0"/>
        <w:jc w:val="both"/>
      </w:pPr>
      <w:r>
        <w:rPr>
          <w:rFonts w:ascii="Times New Roman"/>
          <w:b w:val="false"/>
          <w:i w:val="false"/>
          <w:color w:val="000000"/>
          <w:sz w:val="28"/>
        </w:rPr>
        <w:t>
      Генеральный план предусматривает организацию санитарно-защитных зон между производственными объектами и жилыми районами планировочных территорий, при этом санитарно-защитная зона будет формироваться с конкретным определением класса опасности промышленных предприятий.</w:t>
      </w:r>
    </w:p>
    <w:bookmarkEnd w:id="144"/>
    <w:bookmarkStart w:name="z155" w:id="145"/>
    <w:p>
      <w:pPr>
        <w:spacing w:after="0"/>
        <w:ind w:left="0"/>
        <w:jc w:val="both"/>
      </w:pPr>
      <w:r>
        <w:rPr>
          <w:rFonts w:ascii="Times New Roman"/>
          <w:b w:val="false"/>
          <w:i w:val="false"/>
          <w:color w:val="000000"/>
          <w:sz w:val="28"/>
        </w:rPr>
        <w:t>
      Зона отдыха: к ним относятся городские леса, лесопарки, лесные защитные зоны, водоемы, сельскохозяйственные угодья и другие земли, которые вместе с парками, садами, площадями и бульварами, расположенными в жилой зоне, образуют систему открытых пространств. Ландшафтно-рекреационная организация территории города Астаны заключается в сбалансированном развитии всех зеленых частей городской среды, обеспечении благоприятных природных и экологических условий для жителей столицы.</w:t>
      </w:r>
    </w:p>
    <w:bookmarkEnd w:id="145"/>
    <w:bookmarkStart w:name="z156" w:id="146"/>
    <w:p>
      <w:pPr>
        <w:spacing w:after="0"/>
        <w:ind w:left="0"/>
        <w:jc w:val="both"/>
      </w:pPr>
      <w:r>
        <w:rPr>
          <w:rFonts w:ascii="Times New Roman"/>
          <w:b w:val="false"/>
          <w:i w:val="false"/>
          <w:color w:val="000000"/>
          <w:sz w:val="28"/>
        </w:rPr>
        <w:t xml:space="preserve">
      Специальная зона: предназначена для размещения кладбищ, предприятий по переработке твердых бытовых отходов, очистных сооружений и других подобных структур городского хозяйства. </w:t>
      </w:r>
    </w:p>
    <w:bookmarkEnd w:id="146"/>
    <w:bookmarkStart w:name="z157" w:id="147"/>
    <w:p>
      <w:pPr>
        <w:spacing w:after="0"/>
        <w:ind w:left="0"/>
        <w:jc w:val="both"/>
      </w:pPr>
      <w:r>
        <w:rPr>
          <w:rFonts w:ascii="Times New Roman"/>
          <w:b w:val="false"/>
          <w:i w:val="false"/>
          <w:color w:val="000000"/>
          <w:sz w:val="28"/>
        </w:rPr>
        <w:t xml:space="preserve">
      Резервные территории: данные территории являются землями, которые будут использованы для перспективного развития города Астаны и дальнейшего развития жилой зоны города. </w:t>
      </w:r>
    </w:p>
    <w:bookmarkEnd w:id="147"/>
    <w:bookmarkStart w:name="z158" w:id="148"/>
    <w:p>
      <w:pPr>
        <w:spacing w:after="0"/>
        <w:ind w:left="0"/>
        <w:jc w:val="both"/>
      </w:pPr>
      <w:r>
        <w:rPr>
          <w:rFonts w:ascii="Times New Roman"/>
          <w:b w:val="false"/>
          <w:i w:val="false"/>
          <w:color w:val="000000"/>
          <w:sz w:val="28"/>
        </w:rPr>
        <w:t xml:space="preserve">
      Зоны ограниченного доступа: это специальные территории военных ведомств и воинских частей. В них размещаются как жилые здания, в том числе казармы или исправительные учреждения, так и объекты коммунального хозяйства, промышленности и другие военные объекты. </w:t>
      </w:r>
    </w:p>
    <w:bookmarkEnd w:id="148"/>
    <w:bookmarkStart w:name="z159" w:id="149"/>
    <w:p>
      <w:pPr>
        <w:spacing w:after="0"/>
        <w:ind w:left="0"/>
        <w:jc w:val="both"/>
      </w:pPr>
      <w:r>
        <w:rPr>
          <w:rFonts w:ascii="Times New Roman"/>
          <w:b w:val="false"/>
          <w:i w:val="false"/>
          <w:color w:val="000000"/>
          <w:sz w:val="28"/>
        </w:rPr>
        <w:t xml:space="preserve">
      Общественные места: предназначены для преимущественного размещения объектов здравоохранения, культуры, образования, связи, торговли, общественного питания, бытового обслуживания, коммерческой деятельности, а также учреждений среднего профессионального и высшего образования, научно-исследовательских, административных учреждений, культовых сооружений, центров деловой, финансовой и общественной деятельности, автостоянок, других зданий и сооружений общегородского значения. </w:t>
      </w:r>
    </w:p>
    <w:bookmarkEnd w:id="149"/>
    <w:bookmarkStart w:name="z160" w:id="150"/>
    <w:p>
      <w:pPr>
        <w:spacing w:after="0"/>
        <w:ind w:left="0"/>
        <w:jc w:val="both"/>
      </w:pPr>
      <w:r>
        <w:rPr>
          <w:rFonts w:ascii="Times New Roman"/>
          <w:b w:val="false"/>
          <w:i w:val="false"/>
          <w:color w:val="000000"/>
          <w:sz w:val="28"/>
        </w:rPr>
        <w:t>
      Зоны инженерной и транспортной инфраструктуры: предназначены для размещения и эксплуатации сооружений и коммуникаций железнодорожного, автомобильного, речного, воздушного и трубопроводного транспорта, коммуникаций, объектов электро- и теплоснабжения, водоснабжения и водоотведения, газоснабжения и инженерного оборудования. К ним относятся зоны инженерной и транспортной инфраструктуры: объекты автомобильного транспорта, объекты водного транспорта, объекты внешнего транспорта, объекты инженерной инфраструктуры (трубопроводный транспорт, связь, вещание, телевидение, информационные технологии и энергетика).</w:t>
      </w:r>
    </w:p>
    <w:bookmarkEnd w:id="150"/>
    <w:bookmarkStart w:name="z161" w:id="151"/>
    <w:p>
      <w:pPr>
        <w:spacing w:after="0"/>
        <w:ind w:left="0"/>
        <w:jc w:val="both"/>
      </w:pPr>
      <w:r>
        <w:rPr>
          <w:rFonts w:ascii="Times New Roman"/>
          <w:b w:val="false"/>
          <w:i w:val="false"/>
          <w:color w:val="000000"/>
          <w:sz w:val="28"/>
        </w:rPr>
        <w:t xml:space="preserve">
      Городское зонирование города Астаны - это установление обязательных требований к функциональному использованию территорий (функциональное зонирование), девелопменту (строительное зонирование), организации ландшафта (ландшафтное зонирование) и экологической безопасности (экологическое зонирование). </w:t>
      </w:r>
    </w:p>
    <w:bookmarkEnd w:id="151"/>
    <w:bookmarkStart w:name="z162" w:id="152"/>
    <w:p>
      <w:pPr>
        <w:spacing w:after="0"/>
        <w:ind w:left="0"/>
        <w:jc w:val="both"/>
      </w:pPr>
      <w:r>
        <w:rPr>
          <w:rFonts w:ascii="Times New Roman"/>
          <w:b w:val="false"/>
          <w:i w:val="false"/>
          <w:color w:val="000000"/>
          <w:sz w:val="28"/>
        </w:rPr>
        <w:t>
      Площадь жилой и общественной застройки составит 12,8 тысяч га. Промышленные территории составляют 7,2 тысяч га и расположены преимущественно на исторически сложившихся территориях севернее железной дороги. Существующие промышленные предприятия будут развиваться в основном в пределах сложившихся промышленных зон с ограниченным расширением. Остальную территорию города составляют территории общего пользования и "зеленые клинья", входящие с индивидуальной флорой и фауной со всех территорий Казахстана и наряду с парками, набережными вдоль рек Есіл, Ақбұлақ, Сарыбұлақ и канала "Нұра - Есіл", составляющими единый природно-ландшафтный комплекс, находящийся в пределах пешеходной доступности с любой территории города.</w:t>
      </w:r>
    </w:p>
    <w:bookmarkEnd w:id="152"/>
    <w:bookmarkStart w:name="z163" w:id="153"/>
    <w:p>
      <w:pPr>
        <w:spacing w:after="0"/>
        <w:ind w:left="0"/>
        <w:jc w:val="left"/>
      </w:pPr>
      <w:r>
        <w:rPr>
          <w:rFonts w:ascii="Times New Roman"/>
          <w:b/>
          <w:i w:val="false"/>
          <w:color w:val="000000"/>
        </w:rPr>
        <w:t xml:space="preserve"> Глава 5. Транспортная инфраструктура</w:t>
      </w:r>
    </w:p>
    <w:bookmarkEnd w:id="153"/>
    <w:bookmarkStart w:name="z164" w:id="154"/>
    <w:p>
      <w:pPr>
        <w:spacing w:after="0"/>
        <w:ind w:left="0"/>
        <w:jc w:val="both"/>
      </w:pPr>
      <w:r>
        <w:rPr>
          <w:rFonts w:ascii="Times New Roman"/>
          <w:b w:val="false"/>
          <w:i w:val="false"/>
          <w:color w:val="000000"/>
          <w:sz w:val="28"/>
        </w:rPr>
        <w:t>
      Транспортная инфраструктура должна обеспечить комфортную доступность территорий города, безопасность и надежность внутригородских, пригородных и внешних транспортных связей в условиях прогнозируемого роста демографических и социально-экономических показателей, подвижности населения, изменения объемов пассажирских и грузовых перевозок, бесконфликтного включения новых альтернативных видов транспорта, ужесточения экологических требований. Эти задачи требуют развития единой транспортной системы города, обеспечивающей взаимодействие и взаимодополняемость немоторизированных способов перемещения (пешеходное и велосипедное движение), общественного и индивидуального транспорта, городских, пригородных и внешних транспортных систем, а также предоставление возможности потребителям альтернативного выбора видов транспортного обслуживания.</w:t>
      </w:r>
    </w:p>
    <w:bookmarkEnd w:id="154"/>
    <w:bookmarkStart w:name="z165" w:id="155"/>
    <w:p>
      <w:pPr>
        <w:spacing w:after="0"/>
        <w:ind w:left="0"/>
        <w:jc w:val="both"/>
      </w:pPr>
      <w:r>
        <w:rPr>
          <w:rFonts w:ascii="Times New Roman"/>
          <w:b w:val="false"/>
          <w:i w:val="false"/>
          <w:color w:val="000000"/>
          <w:sz w:val="28"/>
        </w:rPr>
        <w:t>
      К ключевым аспектам дальнейшего совершенствования транспортной системы города Астаны отнесены:</w:t>
      </w:r>
    </w:p>
    <w:bookmarkEnd w:id="155"/>
    <w:bookmarkStart w:name="z166" w:id="156"/>
    <w:p>
      <w:pPr>
        <w:spacing w:after="0"/>
        <w:ind w:left="0"/>
        <w:jc w:val="both"/>
      </w:pPr>
      <w:r>
        <w:rPr>
          <w:rFonts w:ascii="Times New Roman"/>
          <w:b w:val="false"/>
          <w:i w:val="false"/>
          <w:color w:val="000000"/>
          <w:sz w:val="28"/>
        </w:rPr>
        <w:t>
      повышение безопасности дорожного движения;</w:t>
      </w:r>
    </w:p>
    <w:bookmarkEnd w:id="156"/>
    <w:bookmarkStart w:name="z167" w:id="157"/>
    <w:p>
      <w:pPr>
        <w:spacing w:after="0"/>
        <w:ind w:left="0"/>
        <w:jc w:val="both"/>
      </w:pPr>
      <w:r>
        <w:rPr>
          <w:rFonts w:ascii="Times New Roman"/>
          <w:b w:val="false"/>
          <w:i w:val="false"/>
          <w:color w:val="000000"/>
          <w:sz w:val="28"/>
        </w:rPr>
        <w:t>
      сокращение негативного воздействия транспорта на окружающую среду;</w:t>
      </w:r>
    </w:p>
    <w:bookmarkEnd w:id="157"/>
    <w:bookmarkStart w:name="z168" w:id="158"/>
    <w:p>
      <w:pPr>
        <w:spacing w:after="0"/>
        <w:ind w:left="0"/>
        <w:jc w:val="both"/>
      </w:pPr>
      <w:r>
        <w:rPr>
          <w:rFonts w:ascii="Times New Roman"/>
          <w:b w:val="false"/>
          <w:i w:val="false"/>
          <w:color w:val="000000"/>
          <w:sz w:val="28"/>
        </w:rPr>
        <w:t>
      использование потенциала информационных технологий;</w:t>
      </w:r>
    </w:p>
    <w:bookmarkEnd w:id="158"/>
    <w:bookmarkStart w:name="z169" w:id="159"/>
    <w:p>
      <w:pPr>
        <w:spacing w:after="0"/>
        <w:ind w:left="0"/>
        <w:jc w:val="both"/>
      </w:pPr>
      <w:r>
        <w:rPr>
          <w:rFonts w:ascii="Times New Roman"/>
          <w:b w:val="false"/>
          <w:i w:val="false"/>
          <w:color w:val="000000"/>
          <w:sz w:val="28"/>
        </w:rPr>
        <w:t>
      необходимость дальнейшего развития транспортных сетей города Астаны в соответствии с планируемым расселением, размещением мест приложения труда и прогнозной мобильностью населения.</w:t>
      </w:r>
    </w:p>
    <w:bookmarkEnd w:id="159"/>
    <w:bookmarkStart w:name="z170" w:id="160"/>
    <w:p>
      <w:pPr>
        <w:spacing w:after="0"/>
        <w:ind w:left="0"/>
        <w:jc w:val="both"/>
      </w:pPr>
      <w:r>
        <w:rPr>
          <w:rFonts w:ascii="Times New Roman"/>
          <w:b w:val="false"/>
          <w:i w:val="false"/>
          <w:color w:val="000000"/>
          <w:sz w:val="28"/>
        </w:rPr>
        <w:t xml:space="preserve">
      Увеличение потенциала городской транспортной инфраструктуры будет выполняться с учетом необходимости минимизации затрат времени населения на передвижения при установлении приоритета развития общественного пассажирского транспорта и повышении его доли в общем объеме пассажирских перевозок. </w:t>
      </w:r>
    </w:p>
    <w:bookmarkEnd w:id="160"/>
    <w:bookmarkStart w:name="z171" w:id="161"/>
    <w:p>
      <w:pPr>
        <w:spacing w:after="0"/>
        <w:ind w:left="0"/>
        <w:jc w:val="both"/>
      </w:pPr>
      <w:r>
        <w:rPr>
          <w:rFonts w:ascii="Times New Roman"/>
          <w:b w:val="false"/>
          <w:i w:val="false"/>
          <w:color w:val="000000"/>
          <w:sz w:val="28"/>
        </w:rPr>
        <w:t>
      Развитие магистральной улично-дорожной сети</w:t>
      </w:r>
    </w:p>
    <w:bookmarkEnd w:id="161"/>
    <w:bookmarkStart w:name="z172" w:id="162"/>
    <w:p>
      <w:pPr>
        <w:spacing w:after="0"/>
        <w:ind w:left="0"/>
        <w:jc w:val="both"/>
      </w:pPr>
      <w:r>
        <w:rPr>
          <w:rFonts w:ascii="Times New Roman"/>
          <w:b w:val="false"/>
          <w:i w:val="false"/>
          <w:color w:val="000000"/>
          <w:sz w:val="28"/>
        </w:rPr>
        <w:t>
      Генеральным планом предусмотрено увеличение протяженности магистральной улично-дорожной сети с существующих 528,0 км в 1,3 раза к 2030 году и в 1,7 раза к 2035 году с доведением суммарной протяженности к расчетному периоду до 923,5 км, увеличением к 2035 году плотности магистральной сети до 2,6 км/км2, общей сети - до 5,7 км/км2.</w:t>
      </w:r>
    </w:p>
    <w:bookmarkEnd w:id="162"/>
    <w:bookmarkStart w:name="z173" w:id="163"/>
    <w:p>
      <w:pPr>
        <w:spacing w:after="0"/>
        <w:ind w:left="0"/>
        <w:jc w:val="both"/>
      </w:pPr>
      <w:r>
        <w:rPr>
          <w:rFonts w:ascii="Times New Roman"/>
          <w:b w:val="false"/>
          <w:i w:val="false"/>
          <w:color w:val="000000"/>
          <w:sz w:val="28"/>
        </w:rPr>
        <w:t>
      Необходимо отметить, что очередность строительства участков улично-дорожной сети увязана с планами по освоению городской территории и должна обоснованно уточняться при их корректировке.</w:t>
      </w:r>
    </w:p>
    <w:bookmarkEnd w:id="163"/>
    <w:bookmarkStart w:name="z174" w:id="164"/>
    <w:p>
      <w:pPr>
        <w:spacing w:after="0"/>
        <w:ind w:left="0"/>
        <w:jc w:val="both"/>
      </w:pPr>
      <w:r>
        <w:rPr>
          <w:rFonts w:ascii="Times New Roman"/>
          <w:b w:val="false"/>
          <w:i w:val="false"/>
          <w:color w:val="000000"/>
          <w:sz w:val="28"/>
        </w:rPr>
        <w:t>
      Суммарное количество транспортных развязок на пересечении магистральных улиц и дорог составляет 23 сооружения, на долгосрочную перспективу запланировано еще 69 новых сооружений, из которых на 1-ю очередь до 2030 года предлагается реализовать 8 единиц, к расчетному сроку Генерального плана до 2035 года - еще 22 единицы. К транспортным развязкам добавятся и другие транспортные сооружения на пересечении железных дорог и водных преград. Размещение искусственных транспортных сооружений может обоснованно уточняться при реализации решений Генерального плана Астаны с учетом комплексного подхода при развитии транспортной системы города.</w:t>
      </w:r>
    </w:p>
    <w:bookmarkEnd w:id="164"/>
    <w:bookmarkStart w:name="z175" w:id="165"/>
    <w:p>
      <w:pPr>
        <w:spacing w:after="0"/>
        <w:ind w:left="0"/>
        <w:jc w:val="both"/>
      </w:pPr>
      <w:r>
        <w:rPr>
          <w:rFonts w:ascii="Times New Roman"/>
          <w:b w:val="false"/>
          <w:i w:val="false"/>
          <w:color w:val="000000"/>
          <w:sz w:val="28"/>
        </w:rPr>
        <w:t>
      Развитие городского общественного пассажирского транспорта</w:t>
      </w:r>
    </w:p>
    <w:bookmarkEnd w:id="165"/>
    <w:bookmarkStart w:name="z176" w:id="166"/>
    <w:p>
      <w:pPr>
        <w:spacing w:after="0"/>
        <w:ind w:left="0"/>
        <w:jc w:val="both"/>
      </w:pPr>
      <w:r>
        <w:rPr>
          <w:rFonts w:ascii="Times New Roman"/>
          <w:b w:val="false"/>
          <w:i w:val="false"/>
          <w:color w:val="000000"/>
          <w:sz w:val="28"/>
        </w:rPr>
        <w:t xml:space="preserve">
      В системе массового городского общественного пассажирского транспорта (далее - ОПТ) города на современном этапе основную нагрузку по освоению пассажироперевозок несет автобусный транспорт. По результатам прогнозирования пассажиропотоков Генеральным планом подтверждается необходимость существенного развития системы внутригородских пассажирских перевозок. </w:t>
      </w:r>
    </w:p>
    <w:bookmarkEnd w:id="166"/>
    <w:bookmarkStart w:name="z177" w:id="167"/>
    <w:p>
      <w:pPr>
        <w:spacing w:after="0"/>
        <w:ind w:left="0"/>
        <w:jc w:val="both"/>
      </w:pPr>
      <w:r>
        <w:rPr>
          <w:rFonts w:ascii="Times New Roman"/>
          <w:b w:val="false"/>
          <w:i w:val="false"/>
          <w:color w:val="000000"/>
          <w:sz w:val="28"/>
        </w:rPr>
        <w:t>
      Легкорельсовый транспорт (далее - Tarlan Astana). В Генеральном плане развитие сети Tarlan Astana рассчитывалось по 10 возможным вариантам с учетом долгосрочного развития города - на 2050 год. При выборе варианта учитывались критерии:</w:t>
      </w:r>
    </w:p>
    <w:bookmarkEnd w:id="167"/>
    <w:bookmarkStart w:name="z178" w:id="168"/>
    <w:p>
      <w:pPr>
        <w:spacing w:after="0"/>
        <w:ind w:left="0"/>
        <w:jc w:val="both"/>
      </w:pPr>
      <w:r>
        <w:rPr>
          <w:rFonts w:ascii="Times New Roman"/>
          <w:b w:val="false"/>
          <w:i w:val="false"/>
          <w:color w:val="000000"/>
          <w:sz w:val="28"/>
        </w:rPr>
        <w:t>
      количество линий и их общая протяженность;</w:t>
      </w:r>
    </w:p>
    <w:bookmarkEnd w:id="168"/>
    <w:bookmarkStart w:name="z179" w:id="169"/>
    <w:p>
      <w:pPr>
        <w:spacing w:after="0"/>
        <w:ind w:left="0"/>
        <w:jc w:val="both"/>
      </w:pPr>
      <w:r>
        <w:rPr>
          <w:rFonts w:ascii="Times New Roman"/>
          <w:b w:val="false"/>
          <w:i w:val="false"/>
          <w:color w:val="000000"/>
          <w:sz w:val="28"/>
        </w:rPr>
        <w:t>
      прогнозные пассажиропотоки на линиях на расчетные периоды;</w:t>
      </w:r>
    </w:p>
    <w:bookmarkEnd w:id="169"/>
    <w:bookmarkStart w:name="z180" w:id="170"/>
    <w:p>
      <w:pPr>
        <w:spacing w:after="0"/>
        <w:ind w:left="0"/>
        <w:jc w:val="both"/>
      </w:pPr>
      <w:r>
        <w:rPr>
          <w:rFonts w:ascii="Times New Roman"/>
          <w:b w:val="false"/>
          <w:i w:val="false"/>
          <w:color w:val="000000"/>
          <w:sz w:val="28"/>
        </w:rPr>
        <w:t>
      общий суточный объем перевозок и на 1 км линии по расчетным периодам;</w:t>
      </w:r>
    </w:p>
    <w:bookmarkEnd w:id="170"/>
    <w:bookmarkStart w:name="z181" w:id="171"/>
    <w:p>
      <w:pPr>
        <w:spacing w:after="0"/>
        <w:ind w:left="0"/>
        <w:jc w:val="both"/>
      </w:pPr>
      <w:r>
        <w:rPr>
          <w:rFonts w:ascii="Times New Roman"/>
          <w:b w:val="false"/>
          <w:i w:val="false"/>
          <w:color w:val="000000"/>
          <w:sz w:val="28"/>
        </w:rPr>
        <w:t>
      средневзвешенные затраты времени на 1 пассажира по всей системе ОПТ.</w:t>
      </w:r>
    </w:p>
    <w:bookmarkEnd w:id="171"/>
    <w:bookmarkStart w:name="z182" w:id="172"/>
    <w:p>
      <w:pPr>
        <w:spacing w:after="0"/>
        <w:ind w:left="0"/>
        <w:jc w:val="both"/>
      </w:pPr>
      <w:r>
        <w:rPr>
          <w:rFonts w:ascii="Times New Roman"/>
          <w:b w:val="false"/>
          <w:i w:val="false"/>
          <w:color w:val="000000"/>
          <w:sz w:val="28"/>
        </w:rPr>
        <w:t>
      Для целей долгосрочного развития скоростного пассажирского транспорта Генеральным планом принята перспективная крестообразная схема развития Tarlan Astana с трассировкой линий по ключевым пассажиро-образующим направлениям. Подвижной состав на линиях Tarlan Astana запланирован вместимостью 650 пассажиров. На 2035 год возможна организация 3 - х маршрутов по системе Tarlan Astana, для обслуживания которых достаточно 16 единиц подвижного состава.</w:t>
      </w:r>
    </w:p>
    <w:bookmarkEnd w:id="172"/>
    <w:bookmarkStart w:name="z183" w:id="173"/>
    <w:p>
      <w:pPr>
        <w:spacing w:after="0"/>
        <w:ind w:left="0"/>
        <w:jc w:val="both"/>
      </w:pPr>
      <w:r>
        <w:rPr>
          <w:rFonts w:ascii="Times New Roman"/>
          <w:b w:val="false"/>
          <w:i w:val="false"/>
          <w:color w:val="000000"/>
          <w:sz w:val="28"/>
        </w:rPr>
        <w:t>
      Наземный ОПТ. Прогнозные параметры развития города и, соответственно, значительное увеличение суммарного количества передвижений населения с использованием личного и массового пассажирского транспорта предполагают увеличение количества подвижного состава, обслуживающего население города.</w:t>
      </w:r>
    </w:p>
    <w:bookmarkEnd w:id="173"/>
    <w:bookmarkStart w:name="z184" w:id="174"/>
    <w:p>
      <w:pPr>
        <w:spacing w:after="0"/>
        <w:ind w:left="0"/>
        <w:jc w:val="both"/>
      </w:pPr>
      <w:r>
        <w:rPr>
          <w:rFonts w:ascii="Times New Roman"/>
          <w:b w:val="false"/>
          <w:i w:val="false"/>
          <w:color w:val="000000"/>
          <w:sz w:val="28"/>
        </w:rPr>
        <w:t xml:space="preserve">
      Увеличение к 2035 году суточного объема перевозок в 2,1 раза соразмерно с прогнозом роста численности населения города на этот период. </w:t>
      </w:r>
    </w:p>
    <w:bookmarkEnd w:id="174"/>
    <w:bookmarkStart w:name="z185" w:id="175"/>
    <w:p>
      <w:pPr>
        <w:spacing w:after="0"/>
        <w:ind w:left="0"/>
        <w:jc w:val="both"/>
      </w:pPr>
      <w:r>
        <w:rPr>
          <w:rFonts w:ascii="Times New Roman"/>
          <w:b w:val="false"/>
          <w:i w:val="false"/>
          <w:color w:val="000000"/>
          <w:sz w:val="28"/>
        </w:rPr>
        <w:t>
      Совершенствование маршрутной сети наземного ОПТ Астаны, а также развитие скоростных автобусных транспортных коридоров в краткосрочном периоде могут быть выполнены по результатам разработки и утверждения проекта Комплексной программы развития транспортной системы (далее - КПРТС).</w:t>
      </w:r>
    </w:p>
    <w:bookmarkEnd w:id="175"/>
    <w:bookmarkStart w:name="z186" w:id="176"/>
    <w:p>
      <w:pPr>
        <w:spacing w:after="0"/>
        <w:ind w:left="0"/>
        <w:jc w:val="both"/>
      </w:pPr>
      <w:r>
        <w:rPr>
          <w:rFonts w:ascii="Times New Roman"/>
          <w:b w:val="false"/>
          <w:i w:val="false"/>
          <w:color w:val="000000"/>
          <w:sz w:val="28"/>
        </w:rPr>
        <w:t>
      На 2035 год прогнозируются параметры работы наземного ОПТ:</w:t>
      </w:r>
    </w:p>
    <w:bookmarkEnd w:id="176"/>
    <w:bookmarkStart w:name="z187" w:id="177"/>
    <w:p>
      <w:pPr>
        <w:spacing w:after="0"/>
        <w:ind w:left="0"/>
        <w:jc w:val="both"/>
      </w:pPr>
      <w:r>
        <w:rPr>
          <w:rFonts w:ascii="Times New Roman"/>
          <w:b w:val="false"/>
          <w:i w:val="false"/>
          <w:color w:val="000000"/>
          <w:sz w:val="28"/>
        </w:rPr>
        <w:t>
      суточный объем перевозок - 1493,7 тысяч пассажиров;</w:t>
      </w:r>
    </w:p>
    <w:bookmarkEnd w:id="177"/>
    <w:bookmarkStart w:name="z188" w:id="178"/>
    <w:p>
      <w:pPr>
        <w:spacing w:after="0"/>
        <w:ind w:left="0"/>
        <w:jc w:val="both"/>
      </w:pPr>
      <w:r>
        <w:rPr>
          <w:rFonts w:ascii="Times New Roman"/>
          <w:b w:val="false"/>
          <w:i w:val="false"/>
          <w:color w:val="000000"/>
          <w:sz w:val="28"/>
        </w:rPr>
        <w:t>
      необходимая общая вместимость подвижного состава - 180 тысяч мест;</w:t>
      </w:r>
    </w:p>
    <w:bookmarkEnd w:id="178"/>
    <w:bookmarkStart w:name="z189" w:id="179"/>
    <w:p>
      <w:pPr>
        <w:spacing w:after="0"/>
        <w:ind w:left="0"/>
        <w:jc w:val="both"/>
      </w:pPr>
      <w:r>
        <w:rPr>
          <w:rFonts w:ascii="Times New Roman"/>
          <w:b w:val="false"/>
          <w:i w:val="false"/>
          <w:color w:val="000000"/>
          <w:sz w:val="28"/>
        </w:rPr>
        <w:t>
      прогнозное наполнение единицы подвижного состава - не более 4 баллов;</w:t>
      </w:r>
    </w:p>
    <w:bookmarkEnd w:id="179"/>
    <w:bookmarkStart w:name="z190" w:id="180"/>
    <w:p>
      <w:pPr>
        <w:spacing w:after="0"/>
        <w:ind w:left="0"/>
        <w:jc w:val="both"/>
      </w:pPr>
      <w:r>
        <w:rPr>
          <w:rFonts w:ascii="Times New Roman"/>
          <w:b w:val="false"/>
          <w:i w:val="false"/>
          <w:color w:val="000000"/>
          <w:sz w:val="28"/>
        </w:rPr>
        <w:t>
      количество подвижного состава - в зависимости от видов наземного городского ОПТ.</w:t>
      </w:r>
    </w:p>
    <w:bookmarkEnd w:id="180"/>
    <w:bookmarkStart w:name="z191" w:id="181"/>
    <w:p>
      <w:pPr>
        <w:spacing w:after="0"/>
        <w:ind w:left="0"/>
        <w:jc w:val="both"/>
      </w:pPr>
      <w:r>
        <w:rPr>
          <w:rFonts w:ascii="Times New Roman"/>
          <w:b w:val="false"/>
          <w:i w:val="false"/>
          <w:color w:val="000000"/>
          <w:sz w:val="28"/>
        </w:rPr>
        <w:t>
      Транспортно-обслуживающие устройства. В городах масштаба Астаны, имеющих значительный потенциал роста населения, необходимо планировать развитие рельсовых пассажирских систем большой провозной способности, которые по направлениям устойчивых пассажиропотоков в долгосрочном периоде будут более эффективными в сравнении с пневмоколесными системами. Наиболее полное отражение сравнения вариантов развития систем наземного ОПТ необходимо выполнять при разработке соответствующего технико-экономического обоснования. В Генеральном плане за основу принят вариант развития скоростного наземного транспорта в виде трамвайных систем, обеспечивающих скорость сообщения не менее 20 км/ч.</w:t>
      </w:r>
    </w:p>
    <w:bookmarkEnd w:id="181"/>
    <w:bookmarkStart w:name="z192" w:id="182"/>
    <w:p>
      <w:pPr>
        <w:spacing w:after="0"/>
        <w:ind w:left="0"/>
        <w:jc w:val="both"/>
      </w:pPr>
      <w:r>
        <w:rPr>
          <w:rFonts w:ascii="Times New Roman"/>
          <w:b w:val="false"/>
          <w:i w:val="false"/>
          <w:color w:val="000000"/>
          <w:sz w:val="28"/>
        </w:rPr>
        <w:t>
      На 2035 год в плане города резервируются 2 площадки по 11 га для организации новых автобусных парков на 250 единиц подвижного состава каждый, 1 площадка на 8 га для организации трамвайного парка с резервом на перспективное развитие до 200 единиц подвижного состава (на 2035 год - 65 единиц).</w:t>
      </w:r>
    </w:p>
    <w:bookmarkEnd w:id="182"/>
    <w:bookmarkStart w:name="z193" w:id="183"/>
    <w:p>
      <w:pPr>
        <w:spacing w:after="0"/>
        <w:ind w:left="0"/>
        <w:jc w:val="both"/>
      </w:pPr>
      <w:r>
        <w:rPr>
          <w:rFonts w:ascii="Times New Roman"/>
          <w:b w:val="false"/>
          <w:i w:val="false"/>
          <w:color w:val="000000"/>
          <w:sz w:val="28"/>
        </w:rPr>
        <w:t>
      Все новые транспортные парки предлагается размещать на левобережной территории.</w:t>
      </w:r>
    </w:p>
    <w:bookmarkEnd w:id="183"/>
    <w:bookmarkStart w:name="z194" w:id="184"/>
    <w:p>
      <w:pPr>
        <w:spacing w:after="0"/>
        <w:ind w:left="0"/>
        <w:jc w:val="both"/>
      </w:pPr>
      <w:r>
        <w:rPr>
          <w:rFonts w:ascii="Times New Roman"/>
          <w:b w:val="false"/>
          <w:i w:val="false"/>
          <w:color w:val="000000"/>
          <w:sz w:val="28"/>
        </w:rPr>
        <w:t>
      Железнодорожный транспорт. Перспективное развитие пассажирских перевозок на железнодорожном транспорте предполагает совершенствование инфраструктуры железной дороги с целью повышения привлекательности этого вида транспорта для внутригородских и пригородно-городских поездок населения - новые остановочные пункты, организация подвоза пассажиров наземными видами, организация пригородно-городского сообщения, обеспечение городского интервала движения поездов. Предложения по новым остановочным пунктам (далее - ОП) пролонгируются из действующего Генерального плана:</w:t>
      </w:r>
    </w:p>
    <w:bookmarkEnd w:id="184"/>
    <w:bookmarkStart w:name="z195" w:id="185"/>
    <w:p>
      <w:pPr>
        <w:spacing w:after="0"/>
        <w:ind w:left="0"/>
        <w:jc w:val="both"/>
      </w:pPr>
      <w:r>
        <w:rPr>
          <w:rFonts w:ascii="Times New Roman"/>
          <w:b w:val="false"/>
          <w:i w:val="false"/>
          <w:color w:val="000000"/>
          <w:sz w:val="28"/>
        </w:rPr>
        <w:t>
      ОП № 1 - на пересечении железной дороги с трассой Астана - Караганда, в ТПУ "Карагандинский";</w:t>
      </w:r>
    </w:p>
    <w:bookmarkEnd w:id="185"/>
    <w:bookmarkStart w:name="z196" w:id="186"/>
    <w:p>
      <w:pPr>
        <w:spacing w:after="0"/>
        <w:ind w:left="0"/>
        <w:jc w:val="both"/>
      </w:pPr>
      <w:r>
        <w:rPr>
          <w:rFonts w:ascii="Times New Roman"/>
          <w:b w:val="false"/>
          <w:i w:val="false"/>
          <w:color w:val="000000"/>
          <w:sz w:val="28"/>
        </w:rPr>
        <w:t>
      ОП № 2 - на пересечении железной дороги со створом улицы Габидена Мустафина;</w:t>
      </w:r>
    </w:p>
    <w:bookmarkEnd w:id="186"/>
    <w:bookmarkStart w:name="z197" w:id="187"/>
    <w:p>
      <w:pPr>
        <w:spacing w:after="0"/>
        <w:ind w:left="0"/>
        <w:jc w:val="both"/>
      </w:pPr>
      <w:r>
        <w:rPr>
          <w:rFonts w:ascii="Times New Roman"/>
          <w:b w:val="false"/>
          <w:i w:val="false"/>
          <w:color w:val="000000"/>
          <w:sz w:val="28"/>
        </w:rPr>
        <w:t>
      ОП № 3 - на пересечении железной дороги с улицой Пушкина;</w:t>
      </w:r>
    </w:p>
    <w:bookmarkEnd w:id="187"/>
    <w:bookmarkStart w:name="z198" w:id="188"/>
    <w:p>
      <w:pPr>
        <w:spacing w:after="0"/>
        <w:ind w:left="0"/>
        <w:jc w:val="both"/>
      </w:pPr>
      <w:r>
        <w:rPr>
          <w:rFonts w:ascii="Times New Roman"/>
          <w:b w:val="false"/>
          <w:i w:val="false"/>
          <w:color w:val="000000"/>
          <w:sz w:val="28"/>
        </w:rPr>
        <w:t>
      ОП № 4 - на пересечении железной дороги с проспектом Бөгенбай батыра.</w:t>
      </w:r>
    </w:p>
    <w:bookmarkEnd w:id="188"/>
    <w:bookmarkStart w:name="z199" w:id="189"/>
    <w:p>
      <w:pPr>
        <w:spacing w:after="0"/>
        <w:ind w:left="0"/>
        <w:jc w:val="both"/>
      </w:pPr>
      <w:r>
        <w:rPr>
          <w:rFonts w:ascii="Times New Roman"/>
          <w:b w:val="false"/>
          <w:i w:val="false"/>
          <w:color w:val="000000"/>
          <w:sz w:val="28"/>
        </w:rPr>
        <w:t>
      По результатам расчетов установлены прогнозные параметры пассажирских перевозок на внутригородском сообщении по железной дороге на 2035:</w:t>
      </w:r>
    </w:p>
    <w:bookmarkEnd w:id="189"/>
    <w:bookmarkStart w:name="z200" w:id="190"/>
    <w:p>
      <w:pPr>
        <w:spacing w:after="0"/>
        <w:ind w:left="0"/>
        <w:jc w:val="both"/>
      </w:pPr>
      <w:r>
        <w:rPr>
          <w:rFonts w:ascii="Times New Roman"/>
          <w:b w:val="false"/>
          <w:i w:val="false"/>
          <w:color w:val="000000"/>
          <w:sz w:val="28"/>
        </w:rPr>
        <w:t>
      суточный объем перевозок - 16,3 тысяч пассажиров;</w:t>
      </w:r>
    </w:p>
    <w:bookmarkEnd w:id="190"/>
    <w:bookmarkStart w:name="z201" w:id="191"/>
    <w:p>
      <w:pPr>
        <w:spacing w:after="0"/>
        <w:ind w:left="0"/>
        <w:jc w:val="both"/>
      </w:pPr>
      <w:r>
        <w:rPr>
          <w:rFonts w:ascii="Times New Roman"/>
          <w:b w:val="false"/>
          <w:i w:val="false"/>
          <w:color w:val="000000"/>
          <w:sz w:val="28"/>
        </w:rPr>
        <w:t>
      пассажиропотоки в час "пик" - 0,2 - 1,6 тысяч пассажиров в одном направлении;</w:t>
      </w:r>
    </w:p>
    <w:bookmarkEnd w:id="191"/>
    <w:bookmarkStart w:name="z202" w:id="192"/>
    <w:p>
      <w:pPr>
        <w:spacing w:after="0"/>
        <w:ind w:left="0"/>
        <w:jc w:val="both"/>
      </w:pPr>
      <w:r>
        <w:rPr>
          <w:rFonts w:ascii="Times New Roman"/>
          <w:b w:val="false"/>
          <w:i w:val="false"/>
          <w:color w:val="000000"/>
          <w:sz w:val="28"/>
        </w:rPr>
        <w:t>
      пассажирооборот станций/остановочных пунктов - 0,5 - 2,1 тысяч пассажиров в час "пик" (посадка + высадка).</w:t>
      </w:r>
    </w:p>
    <w:bookmarkEnd w:id="192"/>
    <w:bookmarkStart w:name="z203" w:id="193"/>
    <w:p>
      <w:pPr>
        <w:spacing w:after="0"/>
        <w:ind w:left="0"/>
        <w:jc w:val="both"/>
      </w:pPr>
      <w:r>
        <w:rPr>
          <w:rFonts w:ascii="Times New Roman"/>
          <w:b w:val="false"/>
          <w:i w:val="false"/>
          <w:color w:val="000000"/>
          <w:sz w:val="28"/>
        </w:rPr>
        <w:t>
      С учетом полученных расчетных данных сделаны принципиальные выводы:</w:t>
      </w:r>
    </w:p>
    <w:bookmarkEnd w:id="193"/>
    <w:bookmarkStart w:name="z204" w:id="194"/>
    <w:p>
      <w:pPr>
        <w:spacing w:after="0"/>
        <w:ind w:left="0"/>
        <w:jc w:val="both"/>
      </w:pPr>
      <w:r>
        <w:rPr>
          <w:rFonts w:ascii="Times New Roman"/>
          <w:b w:val="false"/>
          <w:i w:val="false"/>
          <w:color w:val="000000"/>
          <w:sz w:val="28"/>
        </w:rPr>
        <w:t>
      железнодорожный транспорт имеет потенциал развития внутригородских пассажирских перевозок;</w:t>
      </w:r>
    </w:p>
    <w:bookmarkEnd w:id="194"/>
    <w:bookmarkStart w:name="z205" w:id="195"/>
    <w:p>
      <w:pPr>
        <w:spacing w:after="0"/>
        <w:ind w:left="0"/>
        <w:jc w:val="both"/>
      </w:pPr>
      <w:r>
        <w:rPr>
          <w:rFonts w:ascii="Times New Roman"/>
          <w:b w:val="false"/>
          <w:i w:val="false"/>
          <w:color w:val="000000"/>
          <w:sz w:val="28"/>
        </w:rPr>
        <w:t xml:space="preserve">
      на полученную пиковую загрузку линии для организации внутригородских перевозок на долгосрочную перспективу необходимо планировать около 5 поездов вместимостью 500 пассажиров каждый; </w:t>
      </w:r>
    </w:p>
    <w:bookmarkEnd w:id="195"/>
    <w:bookmarkStart w:name="z206" w:id="196"/>
    <w:p>
      <w:pPr>
        <w:spacing w:after="0"/>
        <w:ind w:left="0"/>
        <w:jc w:val="both"/>
      </w:pPr>
      <w:r>
        <w:rPr>
          <w:rFonts w:ascii="Times New Roman"/>
          <w:b w:val="false"/>
          <w:i w:val="false"/>
          <w:color w:val="000000"/>
          <w:sz w:val="28"/>
        </w:rPr>
        <w:t>
      параметры объема перевозок могут многократно вырасти при организации подвоза пассажиров к внутригородским станциям/остановочным пунктам наземным городским ОПТ, городского интервала движения поездов, политики насыщения территорий в зоне 1,5 - 2 километровой доступности станций/остановочных пунктов объектами притяжения с плотной городской застройкой, повышения роли железнодорожного транспорта в пригородных пассажирских перевозках и организации в целом пригородно-городского железнодорожного сообщения.</w:t>
      </w:r>
    </w:p>
    <w:bookmarkEnd w:id="196"/>
    <w:bookmarkStart w:name="z207" w:id="197"/>
    <w:p>
      <w:pPr>
        <w:spacing w:after="0"/>
        <w:ind w:left="0"/>
        <w:jc w:val="both"/>
      </w:pPr>
      <w:r>
        <w:rPr>
          <w:rFonts w:ascii="Times New Roman"/>
          <w:b w:val="false"/>
          <w:i w:val="false"/>
          <w:color w:val="000000"/>
          <w:sz w:val="28"/>
        </w:rPr>
        <w:t>
      Развитие системы транспортно-пересадочных узлов. Транспортно-пересадочный узел (далее - ТПУ) - место пересечения, соприкосновения двух и более линий одного или разных видов ОПТ, где имеется возможность пересадки с одной линии на другую. ТПУ в общем понимании является элементом градостроительного образования с комплексом объектов общественного назначения, которое формируется на базе узлов взаимодействия внешнего и пригородного транспорта (аэропорт, железнодорожный и автобусные вокзалы) со скоростным городским рельсовым транспортом (Tarlan Astana, железная дорога, трамвай).</w:t>
      </w:r>
    </w:p>
    <w:bookmarkEnd w:id="197"/>
    <w:bookmarkStart w:name="z208" w:id="198"/>
    <w:p>
      <w:pPr>
        <w:spacing w:after="0"/>
        <w:ind w:left="0"/>
        <w:jc w:val="both"/>
      </w:pPr>
      <w:r>
        <w:rPr>
          <w:rFonts w:ascii="Times New Roman"/>
          <w:b w:val="false"/>
          <w:i w:val="false"/>
          <w:color w:val="000000"/>
          <w:sz w:val="28"/>
        </w:rPr>
        <w:t>
      Намеченные Генеральным планом в составе ТПУ объекты включают всю необходимую транспортную инфраструктуру:</w:t>
      </w:r>
    </w:p>
    <w:bookmarkEnd w:id="198"/>
    <w:bookmarkStart w:name="z209" w:id="199"/>
    <w:p>
      <w:pPr>
        <w:spacing w:after="0"/>
        <w:ind w:left="0"/>
        <w:jc w:val="both"/>
      </w:pPr>
      <w:r>
        <w:rPr>
          <w:rFonts w:ascii="Times New Roman"/>
          <w:b w:val="false"/>
          <w:i w:val="false"/>
          <w:color w:val="000000"/>
          <w:sz w:val="28"/>
        </w:rPr>
        <w:t>
      станции/остановочные пункты всех входящих в узел систем ОПТ;</w:t>
      </w:r>
    </w:p>
    <w:bookmarkEnd w:id="199"/>
    <w:bookmarkStart w:name="z210" w:id="200"/>
    <w:p>
      <w:pPr>
        <w:spacing w:after="0"/>
        <w:ind w:left="0"/>
        <w:jc w:val="both"/>
      </w:pPr>
      <w:r>
        <w:rPr>
          <w:rFonts w:ascii="Times New Roman"/>
          <w:b w:val="false"/>
          <w:i w:val="false"/>
          <w:color w:val="000000"/>
          <w:sz w:val="28"/>
        </w:rPr>
        <w:t>
      перехватывающие парковки, позволяющие совершать комбинированные поездки по системе P+R;</w:t>
      </w:r>
    </w:p>
    <w:bookmarkEnd w:id="200"/>
    <w:bookmarkStart w:name="z211" w:id="201"/>
    <w:p>
      <w:pPr>
        <w:spacing w:after="0"/>
        <w:ind w:left="0"/>
        <w:jc w:val="both"/>
      </w:pPr>
      <w:r>
        <w:rPr>
          <w:rFonts w:ascii="Times New Roman"/>
          <w:b w:val="false"/>
          <w:i w:val="false"/>
          <w:color w:val="000000"/>
          <w:sz w:val="28"/>
        </w:rPr>
        <w:t>
      велостанции;</w:t>
      </w:r>
    </w:p>
    <w:bookmarkEnd w:id="201"/>
    <w:bookmarkStart w:name="z212" w:id="202"/>
    <w:p>
      <w:pPr>
        <w:spacing w:after="0"/>
        <w:ind w:left="0"/>
        <w:jc w:val="both"/>
      </w:pPr>
      <w:r>
        <w:rPr>
          <w:rFonts w:ascii="Times New Roman"/>
          <w:b w:val="false"/>
          <w:i w:val="false"/>
          <w:color w:val="000000"/>
          <w:sz w:val="28"/>
        </w:rPr>
        <w:t>
      заправки для электромобилей.</w:t>
      </w:r>
    </w:p>
    <w:bookmarkEnd w:id="202"/>
    <w:bookmarkStart w:name="z213" w:id="203"/>
    <w:p>
      <w:pPr>
        <w:spacing w:after="0"/>
        <w:ind w:left="0"/>
        <w:jc w:val="both"/>
      </w:pPr>
      <w:r>
        <w:rPr>
          <w:rFonts w:ascii="Times New Roman"/>
          <w:b w:val="false"/>
          <w:i w:val="false"/>
          <w:color w:val="000000"/>
          <w:sz w:val="28"/>
        </w:rPr>
        <w:t xml:space="preserve">
      Генеральным планом определены 9 основных ТПУ по всем основным магистральным автодорожным входам в город с Карагандинского, Павлодарского, Кокшетауского, Костанайского, Коргалжынского и южного направлений, а также в международном аэропорту и двух существующих железнодорожных вокзалах "Астана" и "Нурлы Жол". </w:t>
      </w:r>
    </w:p>
    <w:bookmarkEnd w:id="203"/>
    <w:bookmarkStart w:name="z214" w:id="204"/>
    <w:p>
      <w:pPr>
        <w:spacing w:after="0"/>
        <w:ind w:left="0"/>
        <w:jc w:val="both"/>
      </w:pPr>
      <w:r>
        <w:rPr>
          <w:rFonts w:ascii="Times New Roman"/>
          <w:b w:val="false"/>
          <w:i w:val="false"/>
          <w:color w:val="000000"/>
          <w:sz w:val="28"/>
        </w:rPr>
        <w:t>
      Развитие системы ТПУ предполагает поэтапное появление в их зонах 2 автовокзалов (один из них "Астана" существующий), обслуживающих внешние и пригородные пассажирские сообщения, и 4 автостанций различной вместимости, направленных на обслуживание пригородных сообщений. Размещению и организации ТПУ в Астане способствуют исключительно благоприятные условия, которые формируются под воздействием радиальных линий скоростного общественного пассажирского транспорта - Tarlan Astana, железной дороги и трамвая на пересечениях с внешними автомобильными входами.</w:t>
      </w:r>
    </w:p>
    <w:bookmarkEnd w:id="204"/>
    <w:bookmarkStart w:name="z215" w:id="205"/>
    <w:p>
      <w:pPr>
        <w:spacing w:after="0"/>
        <w:ind w:left="0"/>
        <w:jc w:val="left"/>
      </w:pPr>
      <w:r>
        <w:rPr>
          <w:rFonts w:ascii="Times New Roman"/>
          <w:b/>
          <w:i w:val="false"/>
          <w:color w:val="000000"/>
        </w:rPr>
        <w:t xml:space="preserve"> Глава 6. Инженерная инфраструктура</w:t>
      </w:r>
    </w:p>
    <w:bookmarkEnd w:id="205"/>
    <w:bookmarkStart w:name="z216" w:id="206"/>
    <w:p>
      <w:pPr>
        <w:spacing w:after="0"/>
        <w:ind w:left="0"/>
        <w:jc w:val="left"/>
      </w:pPr>
      <w:r>
        <w:rPr>
          <w:rFonts w:ascii="Times New Roman"/>
          <w:b/>
          <w:i w:val="false"/>
          <w:color w:val="000000"/>
        </w:rPr>
        <w:t xml:space="preserve"> Параграф 1. Водоснабжение</w:t>
      </w:r>
    </w:p>
    <w:bookmarkEnd w:id="206"/>
    <w:bookmarkStart w:name="z217" w:id="207"/>
    <w:p>
      <w:pPr>
        <w:spacing w:after="0"/>
        <w:ind w:left="0"/>
        <w:jc w:val="both"/>
      </w:pPr>
      <w:r>
        <w:rPr>
          <w:rFonts w:ascii="Times New Roman"/>
          <w:b w:val="false"/>
          <w:i w:val="false"/>
          <w:color w:val="000000"/>
          <w:sz w:val="28"/>
        </w:rPr>
        <w:t>
      В настоящее время водопотребление города в среднем составляет 268,5 тысяч м³/сутки, которые обеспечивают существующие насосно-фильтровальные станции (далее - НФС) № 1 и № 2 производительностью 305 тысяч м³/сутки и НФС - 3 105 тысяч м³/сутки.</w:t>
      </w:r>
    </w:p>
    <w:bookmarkEnd w:id="207"/>
    <w:bookmarkStart w:name="z218" w:id="208"/>
    <w:p>
      <w:pPr>
        <w:spacing w:after="0"/>
        <w:ind w:left="0"/>
        <w:jc w:val="both"/>
      </w:pPr>
      <w:r>
        <w:rPr>
          <w:rFonts w:ascii="Times New Roman"/>
          <w:b w:val="false"/>
          <w:i w:val="false"/>
          <w:color w:val="000000"/>
          <w:sz w:val="28"/>
        </w:rPr>
        <w:t>
      К 2030 году при расчетном среднесуточном водопотреблении 535,76 тысяч м³/сутки предусмотрено строительство НФС - 4 производительностью 210 тысяч м³/сутки, водовода от Нуринского месторождения производительностью до 35 тысяч м³/сутки.</w:t>
      </w:r>
    </w:p>
    <w:bookmarkEnd w:id="208"/>
    <w:bookmarkStart w:name="z219" w:id="209"/>
    <w:p>
      <w:pPr>
        <w:spacing w:after="0"/>
        <w:ind w:left="0"/>
        <w:jc w:val="both"/>
      </w:pPr>
      <w:r>
        <w:rPr>
          <w:rFonts w:ascii="Times New Roman"/>
          <w:b w:val="false"/>
          <w:i w:val="false"/>
          <w:color w:val="000000"/>
          <w:sz w:val="28"/>
        </w:rPr>
        <w:t>
      К 2035 году при расчетном среднесуточном водопотреблении 607,56 тысяч м³/сутки предусмотрено расширение НФС - 3 на 35 тысяч м³/сутки.</w:t>
      </w:r>
    </w:p>
    <w:bookmarkEnd w:id="209"/>
    <w:bookmarkStart w:name="z220" w:id="210"/>
    <w:p>
      <w:pPr>
        <w:spacing w:after="0"/>
        <w:ind w:left="0"/>
        <w:jc w:val="left"/>
      </w:pPr>
      <w:r>
        <w:rPr>
          <w:rFonts w:ascii="Times New Roman"/>
          <w:b/>
          <w:i w:val="false"/>
          <w:color w:val="000000"/>
        </w:rPr>
        <w:t xml:space="preserve"> Параграф 2. Водоотведение</w:t>
      </w:r>
    </w:p>
    <w:bookmarkEnd w:id="210"/>
    <w:bookmarkStart w:name="z221" w:id="211"/>
    <w:p>
      <w:pPr>
        <w:spacing w:after="0"/>
        <w:ind w:left="0"/>
        <w:jc w:val="both"/>
      </w:pPr>
      <w:r>
        <w:rPr>
          <w:rFonts w:ascii="Times New Roman"/>
          <w:b w:val="false"/>
          <w:i w:val="false"/>
          <w:color w:val="000000"/>
          <w:sz w:val="28"/>
        </w:rPr>
        <w:t>
      Водоотведение в городе в среднем составляет 218,58 тысяч м3/сутки, а в паводковых периодах увеличивается до 330 тысяч м3/сутки. Действующие канализационные очистные сооружения (далее - КОС) КОС - 1 производительностью 254 тысяч м³/сутки обеспечивают очистку канализационных стоков.</w:t>
      </w:r>
    </w:p>
    <w:bookmarkEnd w:id="211"/>
    <w:bookmarkStart w:name="z222" w:id="212"/>
    <w:p>
      <w:pPr>
        <w:spacing w:after="0"/>
        <w:ind w:left="0"/>
        <w:jc w:val="both"/>
      </w:pPr>
      <w:r>
        <w:rPr>
          <w:rFonts w:ascii="Times New Roman"/>
          <w:b w:val="false"/>
          <w:i w:val="false"/>
          <w:color w:val="000000"/>
          <w:sz w:val="28"/>
        </w:rPr>
        <w:t>
      К 2030 году при расчетном среднесуточном водоотведении 404,76  тысяч м3/сутки предусмотрены строительство КОС - 2 производительностью 188 тысяч м3/сутки, локальных канализационных очистных сооружений (ЛКОС) ЛКОС - 6, ЛКОС - 4 общей производительностью 75 тысяч м³/сутки, модернизация КОС - 1 с увеличением мощности на 25 тысяч м³/сутки.</w:t>
      </w:r>
    </w:p>
    <w:bookmarkEnd w:id="212"/>
    <w:bookmarkStart w:name="z223" w:id="213"/>
    <w:p>
      <w:pPr>
        <w:spacing w:after="0"/>
        <w:ind w:left="0"/>
        <w:jc w:val="both"/>
      </w:pPr>
      <w:r>
        <w:rPr>
          <w:rFonts w:ascii="Times New Roman"/>
          <w:b w:val="false"/>
          <w:i w:val="false"/>
          <w:color w:val="000000"/>
          <w:sz w:val="28"/>
        </w:rPr>
        <w:t>
      К 2035 году при расчетном среднесуточном водоотведении 459,73 тысяч м³/сутки предусмотрено строительство КОС - 3 (1 очередь) на 50 тысяч м³/сутки, а также ЛКОС - 10 производительностью 10 тысяч м³/сутки.</w:t>
      </w:r>
    </w:p>
    <w:bookmarkEnd w:id="213"/>
    <w:bookmarkStart w:name="z224" w:id="214"/>
    <w:p>
      <w:pPr>
        <w:spacing w:after="0"/>
        <w:ind w:left="0"/>
        <w:jc w:val="left"/>
      </w:pPr>
      <w:r>
        <w:rPr>
          <w:rFonts w:ascii="Times New Roman"/>
          <w:b/>
          <w:i w:val="false"/>
          <w:color w:val="000000"/>
        </w:rPr>
        <w:t xml:space="preserve"> Параграф 3. Ливневая канализация</w:t>
      </w:r>
    </w:p>
    <w:bookmarkEnd w:id="214"/>
    <w:bookmarkStart w:name="z225" w:id="215"/>
    <w:p>
      <w:pPr>
        <w:spacing w:after="0"/>
        <w:ind w:left="0"/>
        <w:jc w:val="both"/>
      </w:pPr>
      <w:r>
        <w:rPr>
          <w:rFonts w:ascii="Times New Roman"/>
          <w:b w:val="false"/>
          <w:i w:val="false"/>
          <w:color w:val="000000"/>
          <w:sz w:val="28"/>
        </w:rPr>
        <w:t>
      Действующая система ливневой канализации города состоит из 20 комплексов очистных сооружений (далее - ОС), 118 насосных станций и представлена коллекторной сетью ливневой канализации протяженностью 720,4 км.</w:t>
      </w:r>
    </w:p>
    <w:bookmarkEnd w:id="215"/>
    <w:bookmarkStart w:name="z226" w:id="216"/>
    <w:p>
      <w:pPr>
        <w:spacing w:after="0"/>
        <w:ind w:left="0"/>
        <w:jc w:val="both"/>
      </w:pPr>
      <w:r>
        <w:rPr>
          <w:rFonts w:ascii="Times New Roman"/>
          <w:b w:val="false"/>
          <w:i w:val="false"/>
          <w:color w:val="000000"/>
          <w:sz w:val="28"/>
        </w:rPr>
        <w:t>
      К 2030 году предусмотрено строительство 6 очистных сооружений с коллекторной сетью, к 2035 году дополнительно 7 очистных сооружений.</w:t>
      </w:r>
    </w:p>
    <w:bookmarkEnd w:id="216"/>
    <w:bookmarkStart w:name="z227" w:id="217"/>
    <w:p>
      <w:pPr>
        <w:spacing w:after="0"/>
        <w:ind w:left="0"/>
        <w:jc w:val="left"/>
      </w:pPr>
      <w:r>
        <w:rPr>
          <w:rFonts w:ascii="Times New Roman"/>
          <w:b/>
          <w:i w:val="false"/>
          <w:color w:val="000000"/>
        </w:rPr>
        <w:t xml:space="preserve"> Параграф 4. Теплоснабжение</w:t>
      </w:r>
    </w:p>
    <w:bookmarkEnd w:id="217"/>
    <w:bookmarkStart w:name="z228" w:id="218"/>
    <w:p>
      <w:pPr>
        <w:spacing w:after="0"/>
        <w:ind w:left="0"/>
        <w:jc w:val="both"/>
      </w:pPr>
      <w:r>
        <w:rPr>
          <w:rFonts w:ascii="Times New Roman"/>
          <w:b w:val="false"/>
          <w:i w:val="false"/>
          <w:color w:val="000000"/>
          <w:sz w:val="28"/>
        </w:rPr>
        <w:t>
      Действующая система теплоснабжения города представлена системой централизованного теплоснабжения (далее - ЦТ) на базе теплоэлектроцентралей (далее - ТЭЦ) ТЭЦ - 1, ТЭЦ - 2, ТЭЦ - 3, газовая тепловая станция (далее - ГТС) ГТС "Туран", ГТС "Юго - Восток" суммарной располагаемой тепловой мощностью 3889 Гкал/час (4 522 МВт) и системой децентрализованного теплоснабжения (далее - ДЦТ) на базе малых районных котельных.</w:t>
      </w:r>
    </w:p>
    <w:bookmarkEnd w:id="218"/>
    <w:bookmarkStart w:name="z229" w:id="219"/>
    <w:p>
      <w:pPr>
        <w:spacing w:after="0"/>
        <w:ind w:left="0"/>
        <w:jc w:val="both"/>
      </w:pPr>
      <w:r>
        <w:rPr>
          <w:rFonts w:ascii="Times New Roman"/>
          <w:b w:val="false"/>
          <w:i w:val="false"/>
          <w:color w:val="000000"/>
          <w:sz w:val="28"/>
        </w:rPr>
        <w:t>
      К 2030 году при расчетной тепловой нагрузке 4 842 Гкал/час (5 602 МВт) в зоне централизованного теплоснабжения предусмотрены расширение ТЭЦ - 2, строительство ГТС "Тельмана".</w:t>
      </w:r>
    </w:p>
    <w:bookmarkEnd w:id="219"/>
    <w:bookmarkStart w:name="z230" w:id="220"/>
    <w:p>
      <w:pPr>
        <w:spacing w:after="0"/>
        <w:ind w:left="0"/>
        <w:jc w:val="both"/>
      </w:pPr>
      <w:r>
        <w:rPr>
          <w:rFonts w:ascii="Times New Roman"/>
          <w:b w:val="false"/>
          <w:i w:val="false"/>
          <w:color w:val="000000"/>
          <w:sz w:val="28"/>
        </w:rPr>
        <w:t>
      К 2035 году при расчетной тепловой нагрузке 5 820 Гкал/час (6 898,8 МВт) в зоне централизованного теплоснабжения предусмотрено строительство 2 - й очереди ТЭЦ - 3 и ГТС "Юго - Запад".</w:t>
      </w:r>
    </w:p>
    <w:bookmarkEnd w:id="220"/>
    <w:bookmarkStart w:name="z231" w:id="221"/>
    <w:p>
      <w:pPr>
        <w:spacing w:after="0"/>
        <w:ind w:left="0"/>
        <w:jc w:val="left"/>
      </w:pPr>
      <w:r>
        <w:rPr>
          <w:rFonts w:ascii="Times New Roman"/>
          <w:b/>
          <w:i w:val="false"/>
          <w:color w:val="000000"/>
        </w:rPr>
        <w:t xml:space="preserve"> Параграф 5. Электроснабжение</w:t>
      </w:r>
    </w:p>
    <w:bookmarkEnd w:id="221"/>
    <w:bookmarkStart w:name="z232" w:id="222"/>
    <w:p>
      <w:pPr>
        <w:spacing w:after="0"/>
        <w:ind w:left="0"/>
        <w:jc w:val="both"/>
      </w:pPr>
      <w:r>
        <w:rPr>
          <w:rFonts w:ascii="Times New Roman"/>
          <w:b w:val="false"/>
          <w:i w:val="false"/>
          <w:color w:val="000000"/>
          <w:sz w:val="28"/>
        </w:rPr>
        <w:t>
      Электроснабжение города с максимальной электрической нагрузкой 904 МВт осуществляется от ТЭЦ - 1, ТЭЦ - 2 и единой энергетической системы Республики Казахстан через подстанцию (далее - ПС) "Акмола 500" и кольца 220кВ.</w:t>
      </w:r>
    </w:p>
    <w:bookmarkEnd w:id="222"/>
    <w:bookmarkStart w:name="z233" w:id="223"/>
    <w:p>
      <w:pPr>
        <w:spacing w:after="0"/>
        <w:ind w:left="0"/>
        <w:jc w:val="both"/>
      </w:pPr>
      <w:r>
        <w:rPr>
          <w:rFonts w:ascii="Times New Roman"/>
          <w:b w:val="false"/>
          <w:i w:val="false"/>
          <w:color w:val="000000"/>
          <w:sz w:val="28"/>
        </w:rPr>
        <w:t>
      К 2030 году при расчетной электрической нагрузке 1 772 МВт предусмотрено строительство 8 подстанций 110/10(20)кВ (ПС "Багыстан", ПС "Батыгай", ПС "Кабанбай батыр", ПС "Карлыгаш", ПС "Казбек", ПС "Восточная - 2", ПС "Бектас", ПС "Ондирис").</w:t>
      </w:r>
    </w:p>
    <w:bookmarkEnd w:id="223"/>
    <w:bookmarkStart w:name="z234" w:id="224"/>
    <w:p>
      <w:pPr>
        <w:spacing w:after="0"/>
        <w:ind w:left="0"/>
        <w:jc w:val="both"/>
      </w:pPr>
      <w:r>
        <w:rPr>
          <w:rFonts w:ascii="Times New Roman"/>
          <w:b w:val="false"/>
          <w:i w:val="false"/>
          <w:color w:val="000000"/>
          <w:sz w:val="28"/>
        </w:rPr>
        <w:t>
      К 2035 году при расчетной электрической нагрузке 2 563 МВт предусмотрено строительство 6 подстанций 110/10(20)кВ (ПС "Наурыз", ПС "Майбалык", ПС Ансаган, ПС "Даулет", ПС "Сафи", ПС "Южная - 2").</w:t>
      </w:r>
    </w:p>
    <w:bookmarkEnd w:id="224"/>
    <w:bookmarkStart w:name="z235" w:id="225"/>
    <w:p>
      <w:pPr>
        <w:spacing w:after="0"/>
        <w:ind w:left="0"/>
        <w:jc w:val="left"/>
      </w:pPr>
      <w:r>
        <w:rPr>
          <w:rFonts w:ascii="Times New Roman"/>
          <w:b/>
          <w:i w:val="false"/>
          <w:color w:val="000000"/>
        </w:rPr>
        <w:t xml:space="preserve"> Параграф 6. Газоснабжение</w:t>
      </w:r>
    </w:p>
    <w:bookmarkEnd w:id="225"/>
    <w:bookmarkStart w:name="z236" w:id="226"/>
    <w:p>
      <w:pPr>
        <w:spacing w:after="0"/>
        <w:ind w:left="0"/>
        <w:jc w:val="both"/>
      </w:pPr>
      <w:r>
        <w:rPr>
          <w:rFonts w:ascii="Times New Roman"/>
          <w:b w:val="false"/>
          <w:i w:val="false"/>
          <w:color w:val="000000"/>
          <w:sz w:val="28"/>
        </w:rPr>
        <w:t>
      Газификация города осуществляется от магистрального газопровода (далее - МГ) "Сарыарка" через автоматические газораспределительные станции (далее - АГРС) АГРС - 1 и АГРС - 2 суммарной производительностью 460,0 тысяч м³/час.</w:t>
      </w:r>
    </w:p>
    <w:bookmarkEnd w:id="226"/>
    <w:bookmarkStart w:name="z237" w:id="227"/>
    <w:p>
      <w:pPr>
        <w:spacing w:after="0"/>
        <w:ind w:left="0"/>
        <w:jc w:val="both"/>
      </w:pPr>
      <w:r>
        <w:rPr>
          <w:rFonts w:ascii="Times New Roman"/>
          <w:b w:val="false"/>
          <w:i w:val="false"/>
          <w:color w:val="000000"/>
          <w:sz w:val="28"/>
        </w:rPr>
        <w:t>
      К 2030 году предусмотрено строительство АГРС - 3 производительностью 350 тысяч м3/час и газопровода - отвода от МГ "Сарыарка" до АГРС - 3, а также АГРС - 4 производительностью 120 тысяч м3/час. Таким образом, производительность источников к 2030 году будет составлять 930 тысяч м3/час.</w:t>
      </w:r>
    </w:p>
    <w:bookmarkEnd w:id="227"/>
    <w:bookmarkStart w:name="z238" w:id="228"/>
    <w:p>
      <w:pPr>
        <w:spacing w:after="0"/>
        <w:ind w:left="0"/>
        <w:jc w:val="both"/>
      </w:pPr>
      <w:r>
        <w:rPr>
          <w:rFonts w:ascii="Times New Roman"/>
          <w:b w:val="false"/>
          <w:i w:val="false"/>
          <w:color w:val="000000"/>
          <w:sz w:val="28"/>
        </w:rPr>
        <w:t>
      К 2035 году предусмотрена реконструкция АГРС - 1 и АГРС - 2 с увеличением производительности каждой из них с 230 до 350 тысяч м3/час, в связи с чем к 2035 году производительность источников рассчитывается 1 170 тысяч м3/час.</w:t>
      </w:r>
    </w:p>
    <w:bookmarkEnd w:id="228"/>
    <w:bookmarkStart w:name="z239" w:id="229"/>
    <w:p>
      <w:pPr>
        <w:spacing w:after="0"/>
        <w:ind w:left="0"/>
        <w:jc w:val="left"/>
      </w:pPr>
      <w:r>
        <w:rPr>
          <w:rFonts w:ascii="Times New Roman"/>
          <w:b/>
          <w:i w:val="false"/>
          <w:color w:val="000000"/>
        </w:rPr>
        <w:t xml:space="preserve"> Глава 7. Санитарная очистка территории</w:t>
      </w:r>
    </w:p>
    <w:bookmarkEnd w:id="229"/>
    <w:bookmarkStart w:name="z240" w:id="230"/>
    <w:p>
      <w:pPr>
        <w:spacing w:after="0"/>
        <w:ind w:left="0"/>
        <w:jc w:val="both"/>
      </w:pPr>
      <w:r>
        <w:rPr>
          <w:rFonts w:ascii="Times New Roman"/>
          <w:b w:val="false"/>
          <w:i w:val="false"/>
          <w:color w:val="000000"/>
          <w:sz w:val="28"/>
        </w:rPr>
        <w:t>
      Система обращения с отходами города Астаны включает сбор, транспортировку, сортировку, переработку, утилизацию и захоронение коммунальных отходов. На территории города функционирует более 5 тысяч контейнерных площадок и свыше 15 тысяч контейнеров для сбора отходов. Развивается инфраструктура раздельного сбора и вовлечения вторичных ресурсов в хозяйственный оборот, включая сеть фандоматов для приема пластиковой и алюминиевой тары, пункты приема макулатуры, полимерных материалов и иных видов вторичного сырья, а также пункты приема текстильных отходов.</w:t>
      </w:r>
    </w:p>
    <w:bookmarkEnd w:id="230"/>
    <w:bookmarkStart w:name="z241" w:id="231"/>
    <w:p>
      <w:pPr>
        <w:spacing w:after="0"/>
        <w:ind w:left="0"/>
        <w:jc w:val="both"/>
      </w:pPr>
      <w:r>
        <w:rPr>
          <w:rFonts w:ascii="Times New Roman"/>
          <w:b w:val="false"/>
          <w:i w:val="false"/>
          <w:color w:val="000000"/>
          <w:sz w:val="28"/>
        </w:rPr>
        <w:t>
      Фактический объем образования коммунальных отходов в 2025 году составил около 381 тысяч тонн. В связи с ростом численности населения прогнозируется увеличение объемов образования отходов до 849 тысяч тонн в 2030 году до 983 тысяч тонн в 2035 году.</w:t>
      </w:r>
    </w:p>
    <w:bookmarkEnd w:id="231"/>
    <w:bookmarkStart w:name="z242" w:id="232"/>
    <w:p>
      <w:pPr>
        <w:spacing w:after="0"/>
        <w:ind w:left="0"/>
        <w:jc w:val="both"/>
      </w:pPr>
      <w:r>
        <w:rPr>
          <w:rFonts w:ascii="Times New Roman"/>
          <w:b w:val="false"/>
          <w:i w:val="false"/>
          <w:color w:val="000000"/>
          <w:sz w:val="28"/>
        </w:rPr>
        <w:t>
      Единственным действующим объектом размещения коммунальных отходов является полигон ТБО, расположенный в районе шоссе Алаш. В связи с исчерпанием мощности действующей карты полигона предусматривается строительство третьей карты площадью 17,6 га и вместимостью более 2 миллионов тонн отходов. После 2030 года планируется строительство нового полигона коммунальных отходов на территории Целиноградского района Акмолинской области.</w:t>
      </w:r>
    </w:p>
    <w:bookmarkEnd w:id="232"/>
    <w:bookmarkStart w:name="z243" w:id="233"/>
    <w:p>
      <w:pPr>
        <w:spacing w:after="0"/>
        <w:ind w:left="0"/>
        <w:jc w:val="both"/>
      </w:pPr>
      <w:r>
        <w:rPr>
          <w:rFonts w:ascii="Times New Roman"/>
          <w:b w:val="false"/>
          <w:i w:val="false"/>
          <w:color w:val="000000"/>
          <w:sz w:val="28"/>
        </w:rPr>
        <w:t>
      Все отходы, образующиеся на территории города, направляются на мусороперерабатывающий комплекс, где осуществляется их сортировка с извлечением вторичных материальных ресурсов. По итогам 2025 года уровень сортировки коммунальных отходов составил около 23 % от общего объема их образования. Неизвлекаемые и непригодные для переработки фракции отходов после сортировки направляются для захоронения на полигон ТБО. В целях повышения эффективности системы обращения с отходами Генеральным планом предусматривается модернизация мусороперерабатывающего комплекса с увеличением его мощности до 450 тысяч тонн в год и внедрением современных технологий сортировки отходов.</w:t>
      </w:r>
    </w:p>
    <w:bookmarkEnd w:id="233"/>
    <w:bookmarkStart w:name="z244" w:id="234"/>
    <w:p>
      <w:pPr>
        <w:spacing w:after="0"/>
        <w:ind w:left="0"/>
        <w:jc w:val="both"/>
      </w:pPr>
      <w:r>
        <w:rPr>
          <w:rFonts w:ascii="Times New Roman"/>
          <w:b w:val="false"/>
          <w:i w:val="false"/>
          <w:color w:val="000000"/>
          <w:sz w:val="28"/>
        </w:rPr>
        <w:t>
      В целях развития комплексной системы обращения с отходами предусматриваются развитие инфраструктуры раздельного сбора и переработки отходов, внедрение цифрового мониторинга, увеличение доли утилизации и вовлечения вторичных ресурсов в хозяйственный оборот, а также реализация инвестиционных проектов, включая строительство объектов сортировки и переработки отходов, завода по производству санитарно-гигиенической продукции из макулатуры и завода по энергетической утилизации коммунальных отходов мощностью до 550 тысяч тонн в год.</w:t>
      </w:r>
    </w:p>
    <w:bookmarkEnd w:id="234"/>
    <w:bookmarkStart w:name="z245" w:id="235"/>
    <w:p>
      <w:pPr>
        <w:spacing w:after="0"/>
        <w:ind w:left="0"/>
        <w:jc w:val="both"/>
      </w:pPr>
      <w:r>
        <w:rPr>
          <w:rFonts w:ascii="Times New Roman"/>
          <w:b w:val="false"/>
          <w:i w:val="false"/>
          <w:color w:val="000000"/>
          <w:sz w:val="28"/>
        </w:rPr>
        <w:t>
      Реализация предусмотренных мероприятий позволит повысить уровень переработки и утилизации коммунальных отходов, снизить объемы их захоронения и обеспечить дальнейшее развитие экологически безопасной системы обращения с отходами.</w:t>
      </w:r>
    </w:p>
    <w:bookmarkEnd w:id="235"/>
    <w:bookmarkStart w:name="z246" w:id="236"/>
    <w:p>
      <w:pPr>
        <w:spacing w:after="0"/>
        <w:ind w:left="0"/>
        <w:jc w:val="left"/>
      </w:pPr>
      <w:r>
        <w:rPr>
          <w:rFonts w:ascii="Times New Roman"/>
          <w:b/>
          <w:i w:val="false"/>
          <w:color w:val="000000"/>
        </w:rPr>
        <w:t xml:space="preserve"> Глава 8. Стратегическая экологическая оценка</w:t>
      </w:r>
    </w:p>
    <w:bookmarkEnd w:id="236"/>
    <w:bookmarkStart w:name="z247" w:id="237"/>
    <w:p>
      <w:pPr>
        <w:spacing w:after="0"/>
        <w:ind w:left="0"/>
        <w:jc w:val="both"/>
      </w:pPr>
      <w:r>
        <w:rPr>
          <w:rFonts w:ascii="Times New Roman"/>
          <w:b w:val="false"/>
          <w:i w:val="false"/>
          <w:color w:val="000000"/>
          <w:sz w:val="28"/>
        </w:rPr>
        <w:t>
      В соответствии с требованиями Экологического кодекса Республики Казахстан при корректировке Генерального плана города Астаны проведена стратегическая экологическая оценка (далее - СЭО), в рамках которой рассмотрены возможные экологические последствия реализации проектных решений до 2035 года.</w:t>
      </w:r>
    </w:p>
    <w:bookmarkEnd w:id="237"/>
    <w:bookmarkStart w:name="z248" w:id="238"/>
    <w:p>
      <w:pPr>
        <w:spacing w:after="0"/>
        <w:ind w:left="0"/>
        <w:jc w:val="both"/>
      </w:pPr>
      <w:r>
        <w:rPr>
          <w:rFonts w:ascii="Times New Roman"/>
          <w:b w:val="false"/>
          <w:i w:val="false"/>
          <w:color w:val="000000"/>
          <w:sz w:val="28"/>
        </w:rPr>
        <w:t>
      Атмосферный воздух. Качество атмосферного воздуха города продолжает характеризоваться высоким уровнем антропогенной нагрузки. Основными источниками загрязнения являются автомобильный транспорт, теплоэнергетический комплекс, автономные источники теплоснабжения и коммунально-бытовой сектор. Реализация Генерального плана предусматривает дальнейшую газификацию жилого сектора и коммунальной инфраструктуры, модернизацию ТЭЦ - 2 и ТЭЦ - 3, развитие общественного транспорта и системы Tarlan Astana, а также расширение озелененных территорий. Указанные мероприятия направлены на снижение выбросов загрязняющих веществ и улучшение качества атмосферного воздуха.</w:t>
      </w:r>
    </w:p>
    <w:bookmarkEnd w:id="238"/>
    <w:bookmarkStart w:name="z249" w:id="239"/>
    <w:p>
      <w:pPr>
        <w:spacing w:after="0"/>
        <w:ind w:left="0"/>
        <w:jc w:val="both"/>
      </w:pPr>
      <w:r>
        <w:rPr>
          <w:rFonts w:ascii="Times New Roman"/>
          <w:b w:val="false"/>
          <w:i w:val="false"/>
          <w:color w:val="000000"/>
          <w:sz w:val="28"/>
        </w:rPr>
        <w:t>
      Водные ресурсы. Основными источниками водоснабжения города являются Астанинское водохранилище, канал имени Каныша Сатпаева и река Есиль. Развитие города сопровождается ростом водопотребления и увеличением объемов сточных вод. Для обеспечения водной безопасности предусматриваются строительство НФС - 4 производительностью 210 тысяч м³/сутки, освоение подземных вод Нуринского месторождения производительностью 35 тысяч м³/сутки, строительство КОС - 2, КОС - 3 и локальных очистных сооружений, а также развитие системы очистки ливневых стоков. Дополнительно предусматривается проведение санации водных объектов, включающей очистку русел и донных отложений, санитарную очистку прибрежных территорий и восстановление экологического состояния водных экосистем. Особое внимание уделяется очистке озера-накопителя Карабидаик и предотвращению подтопления территорий в междуречье Нура -Есиль. Площадь земель водного фонда, включая земли, занятые поверхностными водными объектами и водоохранными зонами, составляет 5,41 тысяч га.</w:t>
      </w:r>
    </w:p>
    <w:bookmarkEnd w:id="239"/>
    <w:bookmarkStart w:name="z250" w:id="240"/>
    <w:p>
      <w:pPr>
        <w:spacing w:after="0"/>
        <w:ind w:left="0"/>
        <w:jc w:val="both"/>
      </w:pPr>
      <w:r>
        <w:rPr>
          <w:rFonts w:ascii="Times New Roman"/>
          <w:b w:val="false"/>
          <w:i w:val="false"/>
          <w:color w:val="000000"/>
          <w:sz w:val="28"/>
        </w:rPr>
        <w:t>
      Шумовое воздействие. Основными источниками шума являются автомобильный транспорт, железнодорожная инфраструктура и международный аэропорт Астаны. Ввод второй взлетно-посадочной полосы и развитие транспортной сети могут привести к увеличению площади территорий, подверженных шумовому воздействию. Генеральным планом предусматриваются учет шумовых ограничений при размещении жилой и общественной застройки, развитие общественного транспорта, применение шумозащитных мероприятий и проведение регулярного мониторинга акустической обстановки.</w:t>
      </w:r>
    </w:p>
    <w:bookmarkEnd w:id="240"/>
    <w:bookmarkStart w:name="z251" w:id="241"/>
    <w:p>
      <w:pPr>
        <w:spacing w:after="0"/>
        <w:ind w:left="0"/>
        <w:jc w:val="both"/>
      </w:pPr>
      <w:r>
        <w:rPr>
          <w:rFonts w:ascii="Times New Roman"/>
          <w:b w:val="false"/>
          <w:i w:val="false"/>
          <w:color w:val="000000"/>
          <w:sz w:val="28"/>
        </w:rPr>
        <w:t>
      Биоразнообразие. Наиболее ценными природными территориями города являются пойма реки Есиль, озерные системы Талдыколь и Майбалык, водно-болотные угодья и "зеленый пояс" Астаны. Генеральным планом предусматриваются сохранение участков № 5, № 7 и № 9 озер Малого Талдыколя, развитие экологического каркаса города, расширение озелененных территорий и реализация компенсационных мероприятий в случаях изъятия природных территорий под застройку.</w:t>
      </w:r>
    </w:p>
    <w:bookmarkEnd w:id="241"/>
    <w:bookmarkStart w:name="z252" w:id="242"/>
    <w:p>
      <w:pPr>
        <w:spacing w:after="0"/>
        <w:ind w:left="0"/>
        <w:jc w:val="both"/>
      </w:pPr>
      <w:r>
        <w:rPr>
          <w:rFonts w:ascii="Times New Roman"/>
          <w:b w:val="false"/>
          <w:i w:val="false"/>
          <w:color w:val="000000"/>
          <w:sz w:val="28"/>
        </w:rPr>
        <w:t>
      Почвы и земельные ресурсы. Основными экологическими рисками являются изъятие земель под строительство, локальное загрязнение почв, подтопление отдельных участков и деградация почвенного покрова в условиях урбанизации. Генеральным планом предусматриваются мероприятия по рекультивации нарушенных земель, развитию системы озеленения, предотвращению подтопления территорий и обеспечению экологической безопасности объектов обращения с отходами.</w:t>
      </w:r>
    </w:p>
    <w:bookmarkEnd w:id="242"/>
    <w:bookmarkStart w:name="z253" w:id="243"/>
    <w:p>
      <w:pPr>
        <w:spacing w:after="0"/>
        <w:ind w:left="0"/>
        <w:jc w:val="both"/>
      </w:pPr>
      <w:r>
        <w:rPr>
          <w:rFonts w:ascii="Times New Roman"/>
          <w:b w:val="false"/>
          <w:i w:val="false"/>
          <w:color w:val="000000"/>
          <w:sz w:val="28"/>
        </w:rPr>
        <w:t>
      Изменение климата. Развитие города осуществляется с учетом необходимости адаптации к изменению климата и сокращения выбросов парниковых газов. Ключевыми направлениями являются газификация, повышение энергоэффективности, развитие общественного транспорта, включая Tarlan Astana, расширение "зеленого пояса" Астаны, сохранение водно-болотных угодий и совершенствование системы управления ливневыми и талыми водами.</w:t>
      </w:r>
    </w:p>
    <w:bookmarkEnd w:id="243"/>
    <w:bookmarkStart w:name="z254" w:id="244"/>
    <w:p>
      <w:pPr>
        <w:spacing w:after="0"/>
        <w:ind w:left="0"/>
        <w:jc w:val="both"/>
      </w:pPr>
      <w:r>
        <w:rPr>
          <w:rFonts w:ascii="Times New Roman"/>
          <w:b w:val="false"/>
          <w:i w:val="false"/>
          <w:color w:val="000000"/>
          <w:sz w:val="28"/>
        </w:rPr>
        <w:t>
      Проведенная стратегическая экологическая оценка показала, что реализация Генерального плана города Астаны при условии выполнения предусмотренных природоохранных мероприятий не приведет к возникновению недопустимых экологических последствий и обеспечит достижение целей устойчивого развития, повышение качества городской среды и экологической безопасности населения.  </w:t>
      </w:r>
    </w:p>
    <w:bookmarkEnd w:id="244"/>
    <w:bookmarkStart w:name="z255" w:id="245"/>
    <w:p>
      <w:pPr>
        <w:spacing w:after="0"/>
        <w:ind w:left="0"/>
        <w:jc w:val="left"/>
      </w:pPr>
      <w:r>
        <w:rPr>
          <w:rFonts w:ascii="Times New Roman"/>
          <w:b/>
          <w:i w:val="false"/>
          <w:color w:val="000000"/>
        </w:rPr>
        <w:t xml:space="preserve"> Основные технико-экономические показатели Генерального плана</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2030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срок 2035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 населенного пункта в пределах городской, поселковой черты и черты сельского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населенного пункта,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жилой и общественной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6"/>
          <w:p>
            <w:pPr>
              <w:spacing w:after="20"/>
              <w:ind w:left="20"/>
              <w:jc w:val="both"/>
            </w:pPr>
            <w:r>
              <w:rPr>
                <w:rFonts w:ascii="Times New Roman"/>
                <w:b w:val="false"/>
                <w:i w:val="false"/>
                <w:color w:val="000000"/>
                <w:sz w:val="20"/>
              </w:rPr>
              <w:t>
усадебной и</w:t>
            </w:r>
          </w:p>
          <w:bookmarkEnd w:id="246"/>
          <w:p>
            <w:pPr>
              <w:spacing w:after="20"/>
              <w:ind w:left="20"/>
              <w:jc w:val="both"/>
            </w:pPr>
            <w:r>
              <w:rPr>
                <w:rFonts w:ascii="Times New Roman"/>
                <w:b w:val="false"/>
                <w:i w:val="false"/>
                <w:color w:val="000000"/>
                <w:sz w:val="20"/>
              </w:rPr>
              <w:t xml:space="preserve">
блокированной застройки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застройки малоэтажными многоквартирными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застройки многоэтажными многоквартиртыми жилыми домами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общественной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7"/>
          <w:p>
            <w:pPr>
              <w:spacing w:after="20"/>
              <w:ind w:left="20"/>
              <w:jc w:val="both"/>
            </w:pPr>
            <w:r>
              <w:rPr>
                <w:rFonts w:ascii="Times New Roman"/>
                <w:b w:val="false"/>
                <w:i w:val="false"/>
                <w:color w:val="000000"/>
                <w:sz w:val="20"/>
              </w:rPr>
              <w:t xml:space="preserve">
Промышленной и </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w:t>
            </w:r>
          </w:p>
          <w:p>
            <w:pPr>
              <w:spacing w:after="20"/>
              <w:ind w:left="20"/>
              <w:jc w:val="both"/>
            </w:pPr>
            <w:r>
              <w:rPr>
                <w:rFonts w:ascii="Times New Roman"/>
                <w:b w:val="false"/>
                <w:i w:val="false"/>
                <w:color w:val="000000"/>
                <w:sz w:val="20"/>
              </w:rPr>
              <w:t xml:space="preserve">
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Транспорта, связи, инженерных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внешнего транспорта (железнодорожного, автомобильного, речного, морского, воздушного и трубопроводного)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магистральных инженерных сетей и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сооружений связи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охраняемых природных территорий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заповедников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заказников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памятников природы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лесов и лесопарков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Водоемов и акваторий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8"/>
          <w:p>
            <w:pPr>
              <w:spacing w:after="20"/>
              <w:ind w:left="20"/>
              <w:jc w:val="both"/>
            </w:pPr>
            <w:r>
              <w:rPr>
                <w:rFonts w:ascii="Times New Roman"/>
                <w:b w:val="false"/>
                <w:i w:val="false"/>
                <w:color w:val="000000"/>
                <w:sz w:val="20"/>
              </w:rPr>
              <w:t>
рек, естественных и</w:t>
            </w:r>
          </w:p>
          <w:bookmarkEnd w:id="248"/>
          <w:p>
            <w:pPr>
              <w:spacing w:after="20"/>
              <w:ind w:left="20"/>
              <w:jc w:val="both"/>
            </w:pPr>
            <w:r>
              <w:rPr>
                <w:rFonts w:ascii="Times New Roman"/>
                <w:b w:val="false"/>
                <w:i w:val="false"/>
                <w:color w:val="000000"/>
                <w:sz w:val="20"/>
              </w:rPr>
              <w:t xml:space="preserve">
искусственных водоемов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водоохранных 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гидротехнических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водохозяйственных сооружений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пахотных земель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 и виноградников (дачи)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сенокосов,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теплиц, цветочных хозяйств и питомников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 дорог, проездов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водоемов, пляжей, набережных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парков, скверов, бульваров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территориальные объекты общего пользования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развития селитебных территорий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развития промышленно-производственных и коммунальных территорий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рекреационных и иных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с учетом подчиненных населенных пунктов,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собственно города (поселок, сельский населенный пункт)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населенные пункты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естественного движения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9"/>
          <w:p>
            <w:pPr>
              <w:spacing w:after="20"/>
              <w:ind w:left="20"/>
              <w:jc w:val="both"/>
            </w:pPr>
            <w:r>
              <w:rPr>
                <w:rFonts w:ascii="Times New Roman"/>
                <w:b w:val="false"/>
                <w:i w:val="false"/>
                <w:color w:val="000000"/>
                <w:sz w:val="20"/>
              </w:rPr>
              <w:t xml:space="preserve">
Показатели миграции населения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прирост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селитебной территории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территории городской, поселковой и сельской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структура населения: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Моложе трудоспособного возраста - 0 - 15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население в трудоспособном возрасте (мужчины 16 - 62 года, женщины 16 - 57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0"/>
          <w:p>
            <w:pPr>
              <w:spacing w:after="20"/>
              <w:ind w:left="20"/>
              <w:jc w:val="both"/>
            </w:pPr>
            <w:r>
              <w:rPr>
                <w:rFonts w:ascii="Times New Roman"/>
                <w:b w:val="false"/>
                <w:i w:val="false"/>
                <w:color w:val="000000"/>
                <w:sz w:val="20"/>
              </w:rPr>
              <w:t>
929,6/</w:t>
            </w:r>
          </w:p>
          <w:bookmarkEnd w:id="250"/>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1"/>
          <w:p>
            <w:pPr>
              <w:spacing w:after="20"/>
              <w:ind w:left="20"/>
              <w:jc w:val="both"/>
            </w:pPr>
            <w:r>
              <w:rPr>
                <w:rFonts w:ascii="Times New Roman"/>
                <w:b w:val="false"/>
                <w:i w:val="false"/>
                <w:color w:val="000000"/>
                <w:sz w:val="20"/>
              </w:rPr>
              <w:t>
1201,2/</w:t>
            </w:r>
          </w:p>
          <w:bookmarkEnd w:id="251"/>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2"/>
          <w:p>
            <w:pPr>
              <w:spacing w:after="20"/>
              <w:ind w:left="20"/>
              <w:jc w:val="both"/>
            </w:pPr>
            <w:r>
              <w:rPr>
                <w:rFonts w:ascii="Times New Roman"/>
                <w:b w:val="false"/>
                <w:i w:val="false"/>
                <w:color w:val="000000"/>
                <w:sz w:val="20"/>
              </w:rPr>
              <w:t>
1 353,1/</w:t>
            </w:r>
          </w:p>
          <w:bookmarkEnd w:id="252"/>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3"/>
          <w:p>
            <w:pPr>
              <w:spacing w:after="20"/>
              <w:ind w:left="20"/>
              <w:jc w:val="both"/>
            </w:pPr>
            <w:r>
              <w:rPr>
                <w:rFonts w:ascii="Times New Roman"/>
                <w:b w:val="false"/>
                <w:i w:val="false"/>
                <w:color w:val="000000"/>
                <w:sz w:val="20"/>
              </w:rPr>
              <w:t>
население старше</w:t>
            </w:r>
          </w:p>
          <w:bookmarkEnd w:id="253"/>
          <w:p>
            <w:pPr>
              <w:spacing w:after="20"/>
              <w:ind w:left="20"/>
              <w:jc w:val="both"/>
            </w:pPr>
            <w:r>
              <w:rPr>
                <w:rFonts w:ascii="Times New Roman"/>
                <w:b w:val="false"/>
                <w:i w:val="false"/>
                <w:color w:val="000000"/>
                <w:sz w:val="20"/>
              </w:rPr>
              <w:t xml:space="preserve">
трудоспособного возраста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4"/>
          <w:p>
            <w:pPr>
              <w:spacing w:after="20"/>
              <w:ind w:left="20"/>
              <w:jc w:val="both"/>
            </w:pPr>
            <w:r>
              <w:rPr>
                <w:rFonts w:ascii="Times New Roman"/>
                <w:b w:val="false"/>
                <w:i w:val="false"/>
                <w:color w:val="000000"/>
                <w:sz w:val="20"/>
              </w:rPr>
              <w:t>
134,7/</w:t>
            </w:r>
          </w:p>
          <w:bookmarkEnd w:id="254"/>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5"/>
          <w:p>
            <w:pPr>
              <w:spacing w:after="20"/>
              <w:ind w:left="20"/>
              <w:jc w:val="both"/>
            </w:pPr>
            <w:r>
              <w:rPr>
                <w:rFonts w:ascii="Times New Roman"/>
                <w:b w:val="false"/>
                <w:i w:val="false"/>
                <w:color w:val="000000"/>
                <w:sz w:val="20"/>
              </w:rPr>
              <w:t>
198,5/</w:t>
            </w:r>
          </w:p>
          <w:bookmarkEnd w:id="255"/>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6"/>
          <w:p>
            <w:pPr>
              <w:spacing w:after="20"/>
              <w:ind w:left="20"/>
              <w:jc w:val="both"/>
            </w:pPr>
            <w:r>
              <w:rPr>
                <w:rFonts w:ascii="Times New Roman"/>
                <w:b w:val="false"/>
                <w:i w:val="false"/>
                <w:color w:val="000000"/>
                <w:sz w:val="20"/>
              </w:rPr>
              <w:t>
227,5/</w:t>
            </w:r>
          </w:p>
          <w:bookmarkEnd w:id="256"/>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7"/>
          <w:p>
            <w:pPr>
              <w:spacing w:after="20"/>
              <w:ind w:left="20"/>
              <w:jc w:val="both"/>
            </w:pPr>
            <w:r>
              <w:rPr>
                <w:rFonts w:ascii="Times New Roman"/>
                <w:b w:val="false"/>
                <w:i w:val="false"/>
                <w:color w:val="000000"/>
                <w:sz w:val="20"/>
              </w:rPr>
              <w:t xml:space="preserve">
Трудовые ресурсы, </w:t>
            </w:r>
          </w:p>
          <w:bookmarkEnd w:id="257"/>
          <w:p>
            <w:pPr>
              <w:spacing w:after="20"/>
              <w:ind w:left="20"/>
              <w:jc w:val="both"/>
            </w:pPr>
            <w:r>
              <w:rPr>
                <w:rFonts w:ascii="Times New Roman"/>
                <w:b w:val="false"/>
                <w:i w:val="false"/>
                <w:color w:val="000000"/>
                <w:sz w:val="20"/>
              </w:rPr>
              <w:t xml:space="preserve">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 население,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в отраслях экономики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1 180,6/95,4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градообразующей группе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самостоятельно занятое: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обслуживающей группе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самостоятельно занятое: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безработные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Экономически неактивное население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учащиеся в трудоспособном возрасте, обучающиеся с отрывом от производства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трудоспособное население в трудоспособном возрасте, не занятое экономической деятельностью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8"/>
          <w:p>
            <w:pPr>
              <w:spacing w:after="20"/>
              <w:ind w:left="20"/>
              <w:jc w:val="both"/>
            </w:pPr>
            <w:r>
              <w:rPr>
                <w:rFonts w:ascii="Times New Roman"/>
                <w:b w:val="false"/>
                <w:i w:val="false"/>
                <w:color w:val="000000"/>
                <w:sz w:val="20"/>
              </w:rPr>
              <w:t>
тысяч м2 общей площади /</w:t>
            </w:r>
          </w:p>
          <w:bookmarkEnd w:id="258"/>
          <w:p>
            <w:pPr>
              <w:spacing w:after="20"/>
              <w:ind w:left="20"/>
              <w:jc w:val="both"/>
            </w:pPr>
            <w:r>
              <w:rPr>
                <w:rFonts w:ascii="Times New Roman"/>
                <w:b w:val="false"/>
                <w:i w:val="false"/>
                <w:color w:val="000000"/>
                <w:sz w:val="20"/>
              </w:rPr>
              <w:t>
% / единица домов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9"/>
          <w:p>
            <w:pPr>
              <w:spacing w:after="20"/>
              <w:ind w:left="20"/>
              <w:jc w:val="both"/>
            </w:pPr>
            <w:r>
              <w:rPr>
                <w:rFonts w:ascii="Times New Roman"/>
                <w:b w:val="false"/>
                <w:i w:val="false"/>
                <w:color w:val="000000"/>
                <w:sz w:val="20"/>
              </w:rPr>
              <w:t>
36 685/100/</w:t>
            </w:r>
          </w:p>
          <w:bookmarkEnd w:id="259"/>
          <w:p>
            <w:pPr>
              <w:spacing w:after="20"/>
              <w:ind w:left="20"/>
              <w:jc w:val="both"/>
            </w:pPr>
            <w:r>
              <w:rPr>
                <w:rFonts w:ascii="Times New Roman"/>
                <w:b w:val="false"/>
                <w:i w:val="false"/>
                <w:color w:val="000000"/>
                <w:sz w:val="20"/>
              </w:rPr>
              <w:t>
30 273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68 284/100/-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многоквартирных домах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32 052/87,3/5 734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46 541/90,2/-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63 606/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домах усадебного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0"/>
          <w:p>
            <w:pPr>
              <w:spacing w:after="20"/>
              <w:ind w:left="20"/>
              <w:jc w:val="both"/>
            </w:pPr>
            <w:r>
              <w:rPr>
                <w:rFonts w:ascii="Times New Roman"/>
                <w:b w:val="false"/>
                <w:i w:val="false"/>
                <w:color w:val="000000"/>
                <w:sz w:val="20"/>
              </w:rPr>
              <w:t>
4 633/12,7/</w:t>
            </w:r>
          </w:p>
          <w:bookmarkEnd w:id="260"/>
          <w:p>
            <w:pPr>
              <w:spacing w:after="20"/>
              <w:ind w:left="20"/>
              <w:jc w:val="both"/>
            </w:pPr>
            <w:r>
              <w:rPr>
                <w:rFonts w:ascii="Times New Roman"/>
                <w:b w:val="false"/>
                <w:i w:val="false"/>
                <w:color w:val="000000"/>
                <w:sz w:val="20"/>
              </w:rPr>
              <w:t>
24 539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Жилищный фонд с износом более 70 %,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государственный фонд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Сохраняемый жилищный фонд,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жилищного фонда по этажности: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 застройке: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1"/>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w:t>
            </w:r>
          </w:p>
          <w:bookmarkEnd w:id="261"/>
          <w:p>
            <w:pPr>
              <w:spacing w:after="20"/>
              <w:ind w:left="20"/>
              <w:jc w:val="both"/>
            </w:pPr>
            <w:r>
              <w:rPr>
                <w:rFonts w:ascii="Times New Roman"/>
                <w:b w:val="false"/>
                <w:i w:val="false"/>
                <w:color w:val="000000"/>
                <w:sz w:val="20"/>
              </w:rPr>
              <w:t xml:space="preserve">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блокированной с земельным участком при квартире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среднеэтажный (4 - 5 -этажный) многоквартирный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фонда,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техническому состоянию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реконструкции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м2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 (переоборудование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Убыль жилищного фонда по отношению: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существующему жилому фонду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новому строительству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жилищное строительство, всего, в том числе за счет: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нового жилищного строительства по этажности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малоэтажный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усадебной (коттеджного типа) с земельным участком при доме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блокированной с земельным участком при квартире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этажный без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2"/>
          <w:p>
            <w:pPr>
              <w:spacing w:after="20"/>
              <w:ind w:left="20"/>
              <w:jc w:val="both"/>
            </w:pPr>
            <w:r>
              <w:rPr>
                <w:rFonts w:ascii="Times New Roman"/>
                <w:b w:val="false"/>
                <w:i w:val="false"/>
                <w:color w:val="000000"/>
                <w:sz w:val="20"/>
              </w:rPr>
              <w:t>
среднеэтажный</w:t>
            </w:r>
          </w:p>
          <w:bookmarkEnd w:id="262"/>
          <w:p>
            <w:pPr>
              <w:spacing w:after="20"/>
              <w:ind w:left="20"/>
              <w:jc w:val="both"/>
            </w:pPr>
            <w:r>
              <w:rPr>
                <w:rFonts w:ascii="Times New Roman"/>
                <w:b w:val="false"/>
                <w:i w:val="false"/>
                <w:color w:val="000000"/>
                <w:sz w:val="20"/>
              </w:rPr>
              <w:t xml:space="preserve">
(4-5 -этажный)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многоэтажный многоквартирный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общего объема нового жилищного строительства размещается: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свободных территориях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реконструкции существующей застройки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 м общей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 общей площади нового жилищного фонда в среднем за год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3"/>
          <w:p>
            <w:pPr>
              <w:spacing w:after="20"/>
              <w:ind w:left="20"/>
              <w:jc w:val="both"/>
            </w:pPr>
            <w:r>
              <w:rPr>
                <w:rFonts w:ascii="Times New Roman"/>
                <w:b w:val="false"/>
                <w:i w:val="false"/>
                <w:color w:val="000000"/>
                <w:sz w:val="20"/>
              </w:rPr>
              <w:t>
тысяч кв.</w:t>
            </w:r>
          </w:p>
          <w:bookmarkEnd w:id="263"/>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жилищного фонда: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электроплитами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газовыми плитами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теплом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горячей водой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обеспеченность населения общей площадью квартир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социального и культурно-бытового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Детские дошкольные учреждения,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 жителей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Общеобразовательные учреждения,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обеспеченности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строительство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Больницы,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Поликлиники,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Посещений в смену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9 332/6.1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4"/>
          <w:p>
            <w:pPr>
              <w:spacing w:after="20"/>
              <w:ind w:left="20"/>
              <w:jc w:val="both"/>
            </w:pPr>
            <w:r>
              <w:rPr>
                <w:rFonts w:ascii="Times New Roman"/>
                <w:b w:val="false"/>
                <w:i w:val="false"/>
                <w:color w:val="000000"/>
                <w:sz w:val="20"/>
              </w:rPr>
              <w:t>
41 864/</w:t>
            </w:r>
          </w:p>
          <w:bookmarkEnd w:id="264"/>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48 458/</w:t>
            </w:r>
          </w:p>
          <w:bookmarkEnd w:id="265"/>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социального обеспечения (дома интернаты),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длительного отдыха, (дома отдыха, пансионаты и прочее) всего/на 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Физкультурно-спортивные сооружения - всего/1000 человек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Зрелищно-культурные учреждения (театры, клубы, кинотеатры, музеи, выставочные залы и т. п.),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6"/>
          <w:p>
            <w:pPr>
              <w:spacing w:after="20"/>
              <w:ind w:left="20"/>
              <w:jc w:val="both"/>
            </w:pPr>
            <w:r>
              <w:rPr>
                <w:rFonts w:ascii="Times New Roman"/>
                <w:b w:val="false"/>
                <w:i w:val="false"/>
                <w:color w:val="000000"/>
                <w:sz w:val="20"/>
              </w:rPr>
              <w:t>
 </w:t>
            </w:r>
          </w:p>
          <w:bookmarkEnd w:id="266"/>
          <w:p>
            <w:pPr>
              <w:spacing w:after="20"/>
              <w:ind w:left="20"/>
              <w:jc w:val="both"/>
            </w:pPr>
            <w:r>
              <w:rPr>
                <w:rFonts w:ascii="Times New Roman"/>
                <w:b w:val="false"/>
                <w:i w:val="false"/>
                <w:color w:val="000000"/>
                <w:sz w:val="20"/>
              </w:rPr>
              <w:t>
93 347/</w:t>
            </w:r>
          </w:p>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w:t>
            </w:r>
          </w:p>
          <w:bookmarkEnd w:id="267"/>
          <w:p>
            <w:pPr>
              <w:spacing w:after="20"/>
              <w:ind w:left="20"/>
              <w:jc w:val="both"/>
            </w:pPr>
            <w:r>
              <w:rPr>
                <w:rFonts w:ascii="Times New Roman"/>
                <w:b w:val="false"/>
                <w:i w:val="false"/>
                <w:color w:val="000000"/>
                <w:sz w:val="20"/>
              </w:rPr>
              <w:t>
145 065/</w:t>
            </w:r>
          </w:p>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156 519/</w:t>
            </w:r>
          </w:p>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9"/>
          <w:p>
            <w:pPr>
              <w:spacing w:after="20"/>
              <w:ind w:left="20"/>
              <w:jc w:val="both"/>
            </w:pPr>
            <w:r>
              <w:rPr>
                <w:rFonts w:ascii="Times New Roman"/>
                <w:b w:val="false"/>
                <w:i w:val="false"/>
                <w:color w:val="000000"/>
                <w:sz w:val="20"/>
              </w:rPr>
              <w:t xml:space="preserve">
Предприятия торговли </w:t>
            </w:r>
          </w:p>
          <w:bookmarkEnd w:id="269"/>
          <w:p>
            <w:pPr>
              <w:spacing w:after="20"/>
              <w:ind w:left="20"/>
              <w:jc w:val="both"/>
            </w:pPr>
            <w:r>
              <w:rPr>
                <w:rFonts w:ascii="Times New Roman"/>
                <w:b w:val="false"/>
                <w:i w:val="false"/>
                <w:color w:val="000000"/>
                <w:sz w:val="20"/>
              </w:rPr>
              <w:t xml:space="preserve">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0"/>
          <w:p>
            <w:pPr>
              <w:spacing w:after="20"/>
              <w:ind w:left="20"/>
              <w:jc w:val="both"/>
            </w:pPr>
            <w:r>
              <w:rPr>
                <w:rFonts w:ascii="Times New Roman"/>
                <w:b w:val="false"/>
                <w:i w:val="false"/>
                <w:color w:val="000000"/>
                <w:sz w:val="20"/>
              </w:rPr>
              <w:t>
м2торговой</w:t>
            </w:r>
          </w:p>
          <w:bookmarkEnd w:id="270"/>
          <w:p>
            <w:pPr>
              <w:spacing w:after="20"/>
              <w:ind w:left="20"/>
              <w:jc w:val="both"/>
            </w:pPr>
            <w:r>
              <w:rPr>
                <w:rFonts w:ascii="Times New Roman"/>
                <w:b w:val="false"/>
                <w:i w:val="false"/>
                <w:color w:val="000000"/>
                <w:sz w:val="20"/>
              </w:rPr>
              <w:t>
площади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1 455 640/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1 577 944/802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1 664 604/732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Предприятия общественного питания, всего/на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 ное место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111 682/73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159 454 /71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1"/>
          <w:p>
            <w:pPr>
              <w:spacing w:after="20"/>
              <w:ind w:left="20"/>
              <w:jc w:val="both"/>
            </w:pPr>
            <w:r>
              <w:rPr>
                <w:rFonts w:ascii="Times New Roman"/>
                <w:b w:val="false"/>
                <w:i w:val="false"/>
                <w:color w:val="000000"/>
                <w:sz w:val="20"/>
              </w:rPr>
              <w:t xml:space="preserve">
Предприятия бытового обслуживания, всего/на </w:t>
            </w:r>
          </w:p>
          <w:bookmarkEnd w:id="271"/>
          <w:p>
            <w:pPr>
              <w:spacing w:after="20"/>
              <w:ind w:left="20"/>
              <w:jc w:val="both"/>
            </w:pPr>
            <w:r>
              <w:rPr>
                <w:rFonts w:ascii="Times New Roman"/>
                <w:b w:val="false"/>
                <w:i w:val="false"/>
                <w:color w:val="000000"/>
                <w:sz w:val="20"/>
              </w:rPr>
              <w:t xml:space="preserve">
1000 человек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Пожарное депо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2"/>
          <w:p>
            <w:pPr>
              <w:spacing w:after="20"/>
              <w:ind w:left="20"/>
              <w:jc w:val="both"/>
            </w:pPr>
            <w:r>
              <w:rPr>
                <w:rFonts w:ascii="Times New Roman"/>
                <w:b w:val="false"/>
                <w:i w:val="false"/>
                <w:color w:val="000000"/>
                <w:sz w:val="20"/>
              </w:rPr>
              <w:t>
количество автомобилей/</w:t>
            </w:r>
          </w:p>
          <w:bookmarkEnd w:id="272"/>
          <w:p>
            <w:pPr>
              <w:spacing w:after="20"/>
              <w:ind w:left="20"/>
              <w:jc w:val="both"/>
            </w:pPr>
            <w:r>
              <w:rPr>
                <w:rFonts w:ascii="Times New Roman"/>
                <w:b w:val="false"/>
                <w:i w:val="false"/>
                <w:color w:val="000000"/>
                <w:sz w:val="20"/>
              </w:rPr>
              <w:t>
постов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объекты социального и культурно-бытового обслуживания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Транспортное обеспечение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линий пассажирского общественного транспорта,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электрифицированная железная дорога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судоходный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двойного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магистральных улиц и дорог,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 скоростного и регулируемого 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общегородского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магистралей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улицы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поселковые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 (массовый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улично - дорожной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городской; поселковой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границ пригородной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головных сооружений водопровода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источники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водозаборы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из поверхностных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децентрализованные водоисточники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запасы подземных вод ГКЗ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3"/>
          <w:p>
            <w:pPr>
              <w:spacing w:after="20"/>
              <w:ind w:left="20"/>
              <w:jc w:val="both"/>
            </w:pPr>
            <w:r>
              <w:rPr>
                <w:rFonts w:ascii="Times New Roman"/>
                <w:b w:val="false"/>
                <w:i w:val="false"/>
                <w:color w:val="000000"/>
                <w:sz w:val="20"/>
              </w:rPr>
              <w:t>
(дата утверждения,</w:t>
            </w:r>
          </w:p>
          <w:bookmarkEnd w:id="273"/>
          <w:p>
            <w:pPr>
              <w:spacing w:after="20"/>
              <w:ind w:left="20"/>
              <w:jc w:val="both"/>
            </w:pPr>
            <w:r>
              <w:rPr>
                <w:rFonts w:ascii="Times New Roman"/>
                <w:b w:val="false"/>
                <w:i w:val="false"/>
                <w:color w:val="000000"/>
                <w:sz w:val="20"/>
              </w:rPr>
              <w:t>
расчетный срок)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ГКЗ РК № 260-03-У от 16.10.2010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Водопотребление в среднем на 1 человека в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хозяйственно -питьевые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литров/сутки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поступление сточных вод,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канализационных очистных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/сутки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Суммарное потребление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4"/>
          <w:p>
            <w:pPr>
              <w:spacing w:after="20"/>
              <w:ind w:left="20"/>
              <w:jc w:val="both"/>
            </w:pPr>
            <w:r>
              <w:rPr>
                <w:rFonts w:ascii="Times New Roman"/>
                <w:b w:val="false"/>
                <w:i w:val="false"/>
                <w:color w:val="000000"/>
                <w:sz w:val="20"/>
              </w:rPr>
              <w:t>
кВт.</w:t>
            </w:r>
          </w:p>
          <w:bookmarkEnd w:id="274"/>
          <w:p>
            <w:pPr>
              <w:spacing w:after="20"/>
              <w:ind w:left="20"/>
              <w:jc w:val="both"/>
            </w:pPr>
            <w:r>
              <w:rPr>
                <w:rFonts w:ascii="Times New Roman"/>
                <w:b w:val="false"/>
                <w:i w:val="false"/>
                <w:color w:val="000000"/>
                <w:sz w:val="20"/>
              </w:rPr>
              <w:t>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2610,17х106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3475,04х106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4629,44х106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коммунально -бытовые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1854,87х106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2446,67х106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3227,84х106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370,97х106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489,33х106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645,57х106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Электропотребление в среднем на 1 человека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покрытия нагрузок,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ТЭЦ, ГРЭС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энергосеть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централизованных источников,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ТЭЦ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квартальные котельные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локальных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на отопление,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Потребления горячего водоснабжение,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локальных источников теплоснабжения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сжиженного газа,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коммунально-бытовые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производственные нужды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подачи природного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газа в топливном балансе города, другого населенного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сетей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телевизионным вещанием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населения телефонной сетью общего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5"/>
          <w:p>
            <w:pPr>
              <w:spacing w:after="20"/>
              <w:ind w:left="20"/>
              <w:jc w:val="both"/>
            </w:pPr>
            <w:r>
              <w:rPr>
                <w:rFonts w:ascii="Times New Roman"/>
                <w:b w:val="false"/>
                <w:i w:val="false"/>
                <w:color w:val="000000"/>
                <w:sz w:val="20"/>
              </w:rPr>
              <w:t>
номеров на 100</w:t>
            </w:r>
          </w:p>
          <w:bookmarkEnd w:id="275"/>
          <w:p>
            <w:pPr>
              <w:spacing w:after="20"/>
              <w:ind w:left="20"/>
              <w:jc w:val="both"/>
            </w:pPr>
            <w:r>
              <w:rPr>
                <w:rFonts w:ascii="Times New Roman"/>
                <w:b w:val="false"/>
                <w:i w:val="false"/>
                <w:color w:val="000000"/>
                <w:sz w:val="20"/>
              </w:rPr>
              <w:t>
семей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Инженерная подготовка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ливневой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территории от затопления: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защитных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Намыв и подсыпка, всего объем и площадь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Берегоукрепление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Понижение уровня грунтовых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специальные мероприятия по инженерной подготовке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единицы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6"/>
          <w:p>
            <w:pPr>
              <w:spacing w:after="20"/>
              <w:ind w:left="20"/>
              <w:jc w:val="both"/>
            </w:pPr>
            <w:r>
              <w:rPr>
                <w:rFonts w:ascii="Times New Roman"/>
                <w:b w:val="false"/>
                <w:i w:val="false"/>
                <w:color w:val="000000"/>
                <w:sz w:val="20"/>
              </w:rPr>
              <w:t>
 Ритуальное обслуживание</w:t>
            </w:r>
          </w:p>
          <w:bookmarkEnd w:id="276"/>
          <w:p>
            <w:pPr>
              <w:spacing w:after="20"/>
              <w:ind w:left="20"/>
              <w:jc w:val="both"/>
            </w:pPr>
            <w:r>
              <w:rPr>
                <w:rFonts w:ascii="Times New Roman"/>
                <w:b w:val="false"/>
                <w:i w:val="false"/>
                <w:color w:val="000000"/>
                <w:sz w:val="20"/>
              </w:rPr>
              <w:t>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кладбищ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крематориев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выбросов вредных веществ в атмосферный воздух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сброса загрязненных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метров/год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нарушенных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с уровнем шума свыше 65 Дб. Средний уровень шума (дневное время суток)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7"/>
          <w:p>
            <w:pPr>
              <w:spacing w:after="20"/>
              <w:ind w:left="20"/>
              <w:jc w:val="both"/>
            </w:pPr>
            <w:r>
              <w:rPr>
                <w:rFonts w:ascii="Times New Roman"/>
                <w:b w:val="false"/>
                <w:i w:val="false"/>
                <w:color w:val="000000"/>
                <w:sz w:val="20"/>
              </w:rPr>
              <w:t xml:space="preserve">
 Территории, неблагополучные в экологическом отношении (территории, загрязненные </w:t>
            </w:r>
          </w:p>
          <w:bookmarkEnd w:id="277"/>
          <w:p>
            <w:pPr>
              <w:spacing w:after="20"/>
              <w:ind w:left="20"/>
              <w:jc w:val="both"/>
            </w:pPr>
            <w:r>
              <w:rPr>
                <w:rFonts w:ascii="Times New Roman"/>
                <w:b w:val="false"/>
                <w:i w:val="false"/>
                <w:color w:val="000000"/>
                <w:sz w:val="20"/>
              </w:rPr>
              <w:t>
 химическими и биологическими веществами, вредными микроорганизмами свыше предельно допустимых концентраций, радиоактивными веществами, в количествах свыше предельно допустимых уровней)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 проживающее в санитарно-защитных зонах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Озеленение санитарнозащитных и водоохранных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почв и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очистка территорий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бытовых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дифференцированного сбора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Мусороперерабатывающие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тысяч тонн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Мусоросжигательные заводы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 тысяч тонн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Мусороперегрузочные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Усовершенствованные свалки (полигоны)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свалок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стихийных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 объем инвестиций всех форм собственности по реализации первоочередных проектных решений генерального плана до 2030 г.,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9 496 829,13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78"/>
    <w:p>
      <w:pPr>
        <w:spacing w:after="0"/>
        <w:ind w:left="0"/>
        <w:jc w:val="both"/>
      </w:pPr>
      <w:r>
        <w:rPr>
          <w:rFonts w:ascii="Times New Roman"/>
          <w:b w:val="false"/>
          <w:i w:val="false"/>
          <w:color w:val="000000"/>
          <w:sz w:val="28"/>
        </w:rPr>
        <w:t>
      ______________________________</w:t>
      </w:r>
    </w:p>
    <w:bookmarkEnd w:id="278"/>
    <w:bookmarkStart w:name="z290"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0"/>
    <w:p>
      <w:pPr>
        <w:spacing w:after="0"/>
        <w:ind w:left="0"/>
        <w:jc w:val="both"/>
      </w:pPr>
      <w:r>
        <w:rPr>
          <w:rFonts w:ascii="Times New Roman"/>
          <w:b w:val="false"/>
          <w:i w:val="false"/>
          <w:color w:val="000000"/>
          <w:sz w:val="28"/>
        </w:rPr>
        <w:t>
      ________________________</w:t>
      </w:r>
    </w:p>
    <w:bookmarkEnd w:id="2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