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0604" w14:textId="1310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мероприятий по противодействию теневой экономике на 2026 – 2028 годы</w:t>
      </w:r>
    </w:p>
    <w:p>
      <w:pPr>
        <w:spacing w:after="0"/>
        <w:ind w:left="0"/>
        <w:jc w:val="both"/>
      </w:pPr>
      <w:r>
        <w:rPr>
          <w:rFonts w:ascii="Times New Roman"/>
          <w:b w:val="false"/>
          <w:i w:val="false"/>
          <w:color w:val="000000"/>
          <w:sz w:val="28"/>
        </w:rPr>
        <w:t>Постановление Правительства Республики Казахстан от 1 июля 2026 года № 568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мероприятий по противодействию теневой экономике на 2026 – 2028 годы (далее – Комплексный план).</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июля 2023 года № 589 "Об утверждении Комплексного плана мероприятий по противодействию теневой экономике на 2023 – 2025 годы и признании утратившими силу некоторых решений Правительства Республики Казахстан".</w:t>
      </w:r>
    </w:p>
    <w:bookmarkEnd w:id="2"/>
    <w:bookmarkStart w:name="z6" w:id="3"/>
    <w:p>
      <w:pPr>
        <w:spacing w:after="0"/>
        <w:ind w:left="0"/>
        <w:jc w:val="both"/>
      </w:pPr>
      <w:r>
        <w:rPr>
          <w:rFonts w:ascii="Times New Roman"/>
          <w:b w:val="false"/>
          <w:i w:val="false"/>
          <w:color w:val="000000"/>
          <w:sz w:val="28"/>
        </w:rPr>
        <w:t>
      3. Центральным и местным исполнительным органам, государственным органам, непосредственно подчиненным и подотчетным Президенту Республики Казахстан (по согласованию), а также организациям (по согласованию), ответственным за исполнение Комплексного плана:</w:t>
      </w:r>
    </w:p>
    <w:bookmarkEnd w:id="3"/>
    <w:bookmarkStart w:name="z7" w:id="4"/>
    <w:p>
      <w:pPr>
        <w:spacing w:after="0"/>
        <w:ind w:left="0"/>
        <w:jc w:val="both"/>
      </w:pPr>
      <w:r>
        <w:rPr>
          <w:rFonts w:ascii="Times New Roman"/>
          <w:b w:val="false"/>
          <w:i w:val="false"/>
          <w:color w:val="000000"/>
          <w:sz w:val="28"/>
        </w:rPr>
        <w:t>
      1) обеспечить своевременную реализацию мероприятий и достижение показателей, предусмотренных в Комплексном плане;</w:t>
      </w:r>
    </w:p>
    <w:bookmarkEnd w:id="4"/>
    <w:bookmarkStart w:name="z8" w:id="5"/>
    <w:p>
      <w:pPr>
        <w:spacing w:after="0"/>
        <w:ind w:left="0"/>
        <w:jc w:val="both"/>
      </w:pPr>
      <w:r>
        <w:rPr>
          <w:rFonts w:ascii="Times New Roman"/>
          <w:b w:val="false"/>
          <w:i w:val="false"/>
          <w:color w:val="000000"/>
          <w:sz w:val="28"/>
        </w:rPr>
        <w:t>
      2) два раза в год, не позднее 15 января и 15 июля, следующего за отчетным полугодием, представлять информацию о ходе исполнения мероприятий Комплексного плана в Министерство финансов Республики Казахстан.</w:t>
      </w:r>
    </w:p>
    <w:bookmarkEnd w:id="5"/>
    <w:bookmarkStart w:name="z9" w:id="6"/>
    <w:p>
      <w:pPr>
        <w:spacing w:after="0"/>
        <w:ind w:left="0"/>
        <w:jc w:val="both"/>
      </w:pPr>
      <w:r>
        <w:rPr>
          <w:rFonts w:ascii="Times New Roman"/>
          <w:b w:val="false"/>
          <w:i w:val="false"/>
          <w:color w:val="000000"/>
          <w:sz w:val="28"/>
        </w:rPr>
        <w:t>
      4. Министерству финансов Республики Казахстан представлять в Аппарат Правительства Республики Казахстан сводную информацию о ходе:</w:t>
      </w:r>
    </w:p>
    <w:bookmarkEnd w:id="6"/>
    <w:bookmarkStart w:name="z10" w:id="7"/>
    <w:p>
      <w:pPr>
        <w:spacing w:after="0"/>
        <w:ind w:left="0"/>
        <w:jc w:val="both"/>
      </w:pPr>
      <w:r>
        <w:rPr>
          <w:rFonts w:ascii="Times New Roman"/>
          <w:b w:val="false"/>
          <w:i w:val="false"/>
          <w:color w:val="000000"/>
          <w:sz w:val="28"/>
        </w:rPr>
        <w:t>
      1) реализации мероприятий Комплексного плана не позднее 15 марта и 15 сентября, следующего за отчетным полугодием;</w:t>
      </w:r>
    </w:p>
    <w:bookmarkEnd w:id="7"/>
    <w:bookmarkStart w:name="z11" w:id="8"/>
    <w:p>
      <w:pPr>
        <w:spacing w:after="0"/>
        <w:ind w:left="0"/>
        <w:jc w:val="both"/>
      </w:pPr>
      <w:r>
        <w:rPr>
          <w:rFonts w:ascii="Times New Roman"/>
          <w:b w:val="false"/>
          <w:i w:val="false"/>
          <w:color w:val="000000"/>
          <w:sz w:val="28"/>
        </w:rPr>
        <w:t>
      2) достижения показателей Комплексного плана не позднее 30 сентября, следующего за отчетным годом.</w:t>
      </w:r>
    </w:p>
    <w:bookmarkEnd w:id="8"/>
    <w:bookmarkStart w:name="z12" w:id="9"/>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2026 года</w:t>
            </w:r>
          </w:p>
        </w:tc>
      </w:tr>
    </w:tbl>
    <w:bookmarkStart w:name="z15" w:id="10"/>
    <w:p>
      <w:pPr>
        <w:spacing w:after="0"/>
        <w:ind w:left="0"/>
        <w:jc w:val="both"/>
      </w:pPr>
      <w:r>
        <w:rPr>
          <w:rFonts w:ascii="Times New Roman"/>
          <w:b w:val="false"/>
          <w:i w:val="false"/>
          <w:color w:val="000000"/>
          <w:sz w:val="28"/>
        </w:rPr>
        <w:t xml:space="preserve">
       № </w:t>
      </w:r>
    </w:p>
    <w:bookmarkEnd w:id="10"/>
    <w:bookmarkStart w:name="z16" w:id="11"/>
    <w:p>
      <w:pPr>
        <w:spacing w:after="0"/>
        <w:ind w:left="0"/>
        <w:jc w:val="left"/>
      </w:pPr>
      <w:r>
        <w:rPr>
          <w:rFonts w:ascii="Times New Roman"/>
          <w:b/>
          <w:i w:val="false"/>
          <w:color w:val="000000"/>
        </w:rPr>
        <w:t xml:space="preserve"> Комплексный план</w:t>
      </w:r>
      <w:r>
        <w:br/>
      </w:r>
      <w:r>
        <w:rPr>
          <w:rFonts w:ascii="Times New Roman"/>
          <w:b/>
          <w:i w:val="false"/>
          <w:color w:val="000000"/>
        </w:rPr>
        <w:t>мероприятий по противодействию теневой экономике на 2026 – 2028 годы</w:t>
      </w:r>
    </w:p>
    <w:bookmarkEnd w:id="11"/>
    <w:bookmarkStart w:name="z17" w:id="12"/>
    <w:p>
      <w:pPr>
        <w:spacing w:after="0"/>
        <w:ind w:left="0"/>
        <w:jc w:val="both"/>
      </w:pPr>
      <w:r>
        <w:rPr>
          <w:rFonts w:ascii="Times New Roman"/>
          <w:b w:val="false"/>
          <w:i w:val="false"/>
          <w:color w:val="000000"/>
          <w:sz w:val="28"/>
        </w:rPr>
        <w:t xml:space="preserve">
      Введение </w:t>
      </w:r>
    </w:p>
    <w:bookmarkEnd w:id="12"/>
    <w:bookmarkStart w:name="z18" w:id="13"/>
    <w:p>
      <w:pPr>
        <w:spacing w:after="0"/>
        <w:ind w:left="0"/>
        <w:jc w:val="both"/>
      </w:pPr>
      <w:r>
        <w:rPr>
          <w:rFonts w:ascii="Times New Roman"/>
          <w:b w:val="false"/>
          <w:i w:val="false"/>
          <w:color w:val="000000"/>
          <w:sz w:val="28"/>
        </w:rPr>
        <w:t>
      В соответствии с Концепцией развития малого и среднего предпринимательства в Республике Казахстан до 2030 года уровень теневого оборота в экономике в процентах к валовому внутреннему продукту (далее – ВВП) в 2026 году составит не более 14,5 %, в 2027 году – не более 14 %, в 2028 году – не более 13,8 %.</w:t>
      </w:r>
    </w:p>
    <w:bookmarkEnd w:id="13"/>
    <w:bookmarkStart w:name="z19" w:id="14"/>
    <w:p>
      <w:pPr>
        <w:spacing w:after="0"/>
        <w:ind w:left="0"/>
        <w:jc w:val="both"/>
      </w:pPr>
      <w:r>
        <w:rPr>
          <w:rFonts w:ascii="Times New Roman"/>
          <w:b w:val="false"/>
          <w:i w:val="false"/>
          <w:color w:val="000000"/>
          <w:sz w:val="28"/>
        </w:rPr>
        <w:t>
      Несмотря на положительную динамику сокращения ненаблюдаемой экономики, Казахстан остаҰтся выше целевого уровня стран Организации экономического сотрудничества и развития (далее – ОЭСР), что требует новых инструментов и большей глубины анализа.</w:t>
      </w:r>
    </w:p>
    <w:bookmarkEnd w:id="14"/>
    <w:bookmarkStart w:name="z20" w:id="15"/>
    <w:p>
      <w:pPr>
        <w:spacing w:after="0"/>
        <w:ind w:left="0"/>
        <w:jc w:val="both"/>
      </w:pPr>
      <w:r>
        <w:rPr>
          <w:rFonts w:ascii="Times New Roman"/>
          <w:b w:val="false"/>
          <w:i w:val="false"/>
          <w:color w:val="000000"/>
          <w:sz w:val="28"/>
        </w:rPr>
        <w:t xml:space="preserve">
      По данным Бюро национальной статистики Агентства по стратегическому планированию и реформам доля ненаблюдаемой экономики в ВВП сократилась с 23,69 % в 2019 году до 16,71 % в 2024 году, что составляет снижение на 7 процентных пунктов или почти треть (29,5 %) к уровню 2019 года. </w:t>
      </w:r>
    </w:p>
    <w:bookmarkEnd w:id="15"/>
    <w:bookmarkStart w:name="z21" w:id="16"/>
    <w:p>
      <w:pPr>
        <w:spacing w:after="0"/>
        <w:ind w:left="0"/>
        <w:jc w:val="both"/>
      </w:pPr>
      <w:r>
        <w:rPr>
          <w:rFonts w:ascii="Times New Roman"/>
          <w:b w:val="false"/>
          <w:i w:val="false"/>
          <w:color w:val="000000"/>
          <w:sz w:val="28"/>
        </w:rPr>
        <w:t xml:space="preserve">
      Теневой сектор экономики является непосредственной угрозой экономической безопасности государства, подавляет легальное развитие среднего и малого бизнеса, препятствует развитию предпринимательства как ведущего института рыночной экономики, снижает уровень конкуренции, обостряет экономические проблемы, лишает государственный бюджет значительной части доходов. </w:t>
      </w:r>
    </w:p>
    <w:bookmarkEnd w:id="16"/>
    <w:bookmarkStart w:name="z22" w:id="17"/>
    <w:p>
      <w:pPr>
        <w:spacing w:after="0"/>
        <w:ind w:left="0"/>
        <w:jc w:val="both"/>
      </w:pPr>
      <w:r>
        <w:rPr>
          <w:rFonts w:ascii="Times New Roman"/>
          <w:b w:val="false"/>
          <w:i w:val="false"/>
          <w:color w:val="000000"/>
          <w:sz w:val="28"/>
        </w:rPr>
        <w:t>
      Формализация бизнеса и снижение теневого сектора позволят трансформировать экономику Казахстана, сделав ее чистой, ответственной и справедливой для всех участников.</w:t>
      </w:r>
    </w:p>
    <w:bookmarkEnd w:id="17"/>
    <w:bookmarkStart w:name="z23" w:id="18"/>
    <w:p>
      <w:pPr>
        <w:spacing w:after="0"/>
        <w:ind w:left="0"/>
        <w:jc w:val="both"/>
      </w:pPr>
      <w:r>
        <w:rPr>
          <w:rFonts w:ascii="Times New Roman"/>
          <w:b w:val="false"/>
          <w:i w:val="false"/>
          <w:color w:val="000000"/>
          <w:sz w:val="28"/>
        </w:rPr>
        <w:t xml:space="preserve">
      В этой связи в рамках Комплексного плана мероприятий по противодействию теневой экономике на 2026 – 2028 годы (далее – Комплексный план) будет создана цифровая платформа, которая позволит сопоставлять данные налоговых, таможенных, трудовых и отраслевых систем, выявлять наиболее уязвимые звенья, подверженные применению серых схем, а также отслеживать их миграцию между секторами экономики. </w:t>
      </w:r>
    </w:p>
    <w:bookmarkEnd w:id="18"/>
    <w:bookmarkStart w:name="z24" w:id="19"/>
    <w:p>
      <w:pPr>
        <w:spacing w:after="0"/>
        <w:ind w:left="0"/>
        <w:jc w:val="both"/>
      </w:pPr>
      <w:r>
        <w:rPr>
          <w:rFonts w:ascii="Times New Roman"/>
          <w:b w:val="false"/>
          <w:i w:val="false"/>
          <w:color w:val="000000"/>
          <w:sz w:val="28"/>
        </w:rPr>
        <w:t>
      Проект Комплексного плана охватывает пять ключевых отраслей (здравоохранение и социальные услуги, торговля, образование, строительство, сельское хозяйство), перечень отраслей не является закрытым и может корректироваться по мере выявления новых серых ниш в экономике.</w:t>
      </w:r>
    </w:p>
    <w:bookmarkEnd w:id="19"/>
    <w:bookmarkStart w:name="z25" w:id="20"/>
    <w:p>
      <w:pPr>
        <w:spacing w:after="0"/>
        <w:ind w:left="0"/>
        <w:jc w:val="both"/>
      </w:pPr>
      <w:r>
        <w:rPr>
          <w:rFonts w:ascii="Times New Roman"/>
          <w:b w:val="false"/>
          <w:i w:val="false"/>
          <w:color w:val="000000"/>
          <w:sz w:val="28"/>
        </w:rPr>
        <w:t xml:space="preserve">
      В производственном секторе ожидается сокращение теневого оборота за счет цифровой прослеживаемости в сельском хозяйстве, нефтегазовой отрасли и строительстве. Внедрение цифровых систем распределения ресурсов и интеграция с таможенными платформами обеспечат сквозной контроль движения продукции. </w:t>
      </w:r>
    </w:p>
    <w:bookmarkEnd w:id="20"/>
    <w:bookmarkStart w:name="z26" w:id="21"/>
    <w:p>
      <w:pPr>
        <w:spacing w:after="0"/>
        <w:ind w:left="0"/>
        <w:jc w:val="both"/>
      </w:pPr>
      <w:r>
        <w:rPr>
          <w:rFonts w:ascii="Times New Roman"/>
          <w:b w:val="false"/>
          <w:i w:val="false"/>
          <w:color w:val="000000"/>
          <w:sz w:val="28"/>
        </w:rPr>
        <w:t>
      В сфере торговли и услуг ключевыми результатами станут переход к цифровым форматам рынков (Digital bazaar), расширение маркировки товаров и автоматизация контроля за оборотом подакцизной и социально значимой продукции. Это позволит минимизировать неучтенный оборот и контрафакт.</w:t>
      </w:r>
    </w:p>
    <w:bookmarkEnd w:id="21"/>
    <w:bookmarkStart w:name="z27" w:id="22"/>
    <w:p>
      <w:pPr>
        <w:spacing w:after="0"/>
        <w:ind w:left="0"/>
        <w:jc w:val="both"/>
      </w:pPr>
      <w:r>
        <w:rPr>
          <w:rFonts w:ascii="Times New Roman"/>
          <w:b w:val="false"/>
          <w:i w:val="false"/>
          <w:color w:val="000000"/>
          <w:sz w:val="28"/>
        </w:rPr>
        <w:t>
      В социальной сфере (здравоохранение, образование) внедрение автоматизированных систем верификации услуг, ценового мониторинга и комплаенс-аудита снизит риски фиктивных операций и нецелевого использования бюджетных средств.</w:t>
      </w:r>
    </w:p>
    <w:bookmarkEnd w:id="22"/>
    <w:bookmarkStart w:name="z28" w:id="23"/>
    <w:p>
      <w:pPr>
        <w:spacing w:after="0"/>
        <w:ind w:left="0"/>
        <w:jc w:val="both"/>
      </w:pPr>
      <w:r>
        <w:rPr>
          <w:rFonts w:ascii="Times New Roman"/>
          <w:b w:val="false"/>
          <w:i w:val="false"/>
          <w:color w:val="000000"/>
          <w:sz w:val="28"/>
        </w:rPr>
        <w:t>
      Дополнительно ожидается сокращение коррупционных рисков за счет минимизации человеческого фактора и автоматизации процедур.</w:t>
      </w:r>
    </w:p>
    <w:bookmarkEnd w:id="23"/>
    <w:bookmarkStart w:name="z29" w:id="24"/>
    <w:p>
      <w:pPr>
        <w:spacing w:after="0"/>
        <w:ind w:left="0"/>
        <w:jc w:val="both"/>
      </w:pPr>
      <w:r>
        <w:rPr>
          <w:rFonts w:ascii="Times New Roman"/>
          <w:b w:val="false"/>
          <w:i w:val="false"/>
          <w:color w:val="000000"/>
          <w:sz w:val="28"/>
        </w:rPr>
        <w:t>
      Мероприятия отобраны по действующим принципам ОЭСР:</w:t>
      </w:r>
    </w:p>
    <w:bookmarkEnd w:id="24"/>
    <w:bookmarkStart w:name="z30" w:id="25"/>
    <w:p>
      <w:pPr>
        <w:spacing w:after="0"/>
        <w:ind w:left="0"/>
        <w:jc w:val="both"/>
      </w:pPr>
      <w:r>
        <w:rPr>
          <w:rFonts w:ascii="Times New Roman"/>
          <w:b w:val="false"/>
          <w:i w:val="false"/>
          <w:color w:val="000000"/>
          <w:sz w:val="28"/>
        </w:rPr>
        <w:t>
      данные в режиме, близком к реальному времени;</w:t>
      </w:r>
    </w:p>
    <w:bookmarkEnd w:id="25"/>
    <w:bookmarkStart w:name="z31" w:id="26"/>
    <w:p>
      <w:pPr>
        <w:spacing w:after="0"/>
        <w:ind w:left="0"/>
        <w:jc w:val="both"/>
      </w:pPr>
      <w:r>
        <w:rPr>
          <w:rFonts w:ascii="Times New Roman"/>
          <w:b w:val="false"/>
          <w:i w:val="false"/>
          <w:color w:val="000000"/>
          <w:sz w:val="28"/>
        </w:rPr>
        <w:t>
      ранее выявление рисков, не доводя до постфактум;</w:t>
      </w:r>
    </w:p>
    <w:bookmarkEnd w:id="26"/>
    <w:bookmarkStart w:name="z32" w:id="27"/>
    <w:p>
      <w:pPr>
        <w:spacing w:after="0"/>
        <w:ind w:left="0"/>
        <w:jc w:val="both"/>
      </w:pPr>
      <w:r>
        <w:rPr>
          <w:rFonts w:ascii="Times New Roman"/>
          <w:b w:val="false"/>
          <w:i w:val="false"/>
          <w:color w:val="000000"/>
          <w:sz w:val="28"/>
        </w:rPr>
        <w:t>
      добровольная легализация, а не давление на бизнес;</w:t>
      </w:r>
    </w:p>
    <w:bookmarkEnd w:id="27"/>
    <w:bookmarkStart w:name="z33" w:id="28"/>
    <w:p>
      <w:pPr>
        <w:spacing w:after="0"/>
        <w:ind w:left="0"/>
        <w:jc w:val="both"/>
      </w:pPr>
      <w:r>
        <w:rPr>
          <w:rFonts w:ascii="Times New Roman"/>
          <w:b w:val="false"/>
          <w:i w:val="false"/>
          <w:color w:val="000000"/>
          <w:sz w:val="28"/>
        </w:rPr>
        <w:t>
      управление по измеримым результатам.</w:t>
      </w:r>
    </w:p>
    <w:bookmarkEnd w:id="28"/>
    <w:bookmarkStart w:name="z34" w:id="29"/>
    <w:p>
      <w:pPr>
        <w:spacing w:after="0"/>
        <w:ind w:left="0"/>
        <w:jc w:val="both"/>
      </w:pPr>
      <w:r>
        <w:rPr>
          <w:rFonts w:ascii="Times New Roman"/>
          <w:b w:val="false"/>
          <w:i w:val="false"/>
          <w:color w:val="000000"/>
          <w:sz w:val="28"/>
        </w:rPr>
        <w:t xml:space="preserve">
      При этом уже на этапе формирования Комплексного плана исключены меры, предусматривающие введение новых обязательств для бизнеса или ужесточение регулирования. </w:t>
      </w:r>
    </w:p>
    <w:bookmarkEnd w:id="29"/>
    <w:bookmarkStart w:name="z35" w:id="30"/>
    <w:p>
      <w:pPr>
        <w:spacing w:after="0"/>
        <w:ind w:left="0"/>
        <w:jc w:val="both"/>
      </w:pPr>
      <w:r>
        <w:rPr>
          <w:rFonts w:ascii="Times New Roman"/>
          <w:b w:val="false"/>
          <w:i w:val="false"/>
          <w:color w:val="000000"/>
          <w:sz w:val="28"/>
        </w:rPr>
        <w:t>
      Повышение прозрачности оборотов создаст более предсказуемую и конкурентную экономическую среду.</w:t>
      </w:r>
    </w:p>
    <w:bookmarkEnd w:id="30"/>
    <w:bookmarkStart w:name="z36" w:id="31"/>
    <w:p>
      <w:pPr>
        <w:spacing w:after="0"/>
        <w:ind w:left="0"/>
        <w:jc w:val="both"/>
      </w:pPr>
      <w:r>
        <w:rPr>
          <w:rFonts w:ascii="Times New Roman"/>
          <w:b w:val="false"/>
          <w:i w:val="false"/>
          <w:color w:val="000000"/>
          <w:sz w:val="28"/>
        </w:rPr>
        <w:t xml:space="preserve">
      В Комплексном плане цифровизация станет базовой основой в противодействии теневой экономике, вместе с тем инструменты искусственного интеллекта будут использоваться для мониторинга исполнения Комплексного плана и оценки достижимости целевых показателей. </w:t>
      </w:r>
    </w:p>
    <w:bookmarkEnd w:id="31"/>
    <w:bookmarkStart w:name="z37" w:id="32"/>
    <w:p>
      <w:pPr>
        <w:spacing w:after="0"/>
        <w:ind w:left="0"/>
        <w:jc w:val="both"/>
      </w:pPr>
      <w:r>
        <w:rPr>
          <w:rFonts w:ascii="Times New Roman"/>
          <w:b w:val="false"/>
          <w:i w:val="false"/>
          <w:color w:val="000000"/>
          <w:sz w:val="28"/>
        </w:rPr>
        <w:t>
      Паспорт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Комплексный план мероприятий по противодействию теневой экономике на 2026 – 2028 годы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разработан в реализацию пункта 2.15 Плана мероприятий по реализации Программы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развитию финансового рынка по макроэкономической стабилизации и повышению благосостояния населения на 2026 – 2028 годы, утвержденного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19 ноября 2025 года №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государственного органа-разработчика и соисполнителей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 Агентство Республики Казахстан по защите и развитию конкуренции, Агентство Республики Казахстан по финансовому мониторингу, Агентство Республики Казахстан по стратегическому планированию и развитию, Национальный Банк Республики Казахстан, Верховный Суд Республики Казахстан, Генеральная прокуратура Республики Казахстан, Комитет национальной безопасности Республики Казахстан, Министерство сельского хозяйства Республики Казахстан, Министерство юстиции Республики Казахстан, Министерство здравоохранения Республики Казахстан, Министерство труда и социальной защиты населения Республики Казахстан,Министерство науки и высшего образования Республики Казахстан, Министерство внутренних дел Республики Казахстан, Министерство искусственного интеллекта и цифрового развития Республики Казахстан, Министерство транспорта Республики Казахстан, Министерство культуры и информации Республики Казахстан, Министерство просвещения Республики Казахстан, Министерство промышленности и строительства Республики Казахстан, Министерство обороны Республики Казахстан, Министерство торговли и интеграции Республики Казахстан, Министерство по чрезвычайным ситуациям Республики Казахстан, Министерство туризма и спорта Республики Казахстан, Министерство национальной экономики Республики Казахстан, Министерство энергетики Республики Казахстан, местные исполнительные органы, Национальная палата предпринимателей Республики Казахстан "Атамекен", некоммерческое акционерное общество "Государственная корпорация "Правительство для граждан", Институт космической техники и технологий, акционерное общество "Казахтелеком", акционерное общество "Национальная компания "Казмунайгаз", акционерное общество "Национальная компания "Қазақстан темір жолы", Аналитический центр экономической политики, акционерное общество "Центр электронных финансов"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информация о необходимости принятия Комплексного плана с указанием основных проблем и задач по их 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Несмотря на положительную динамику сокращения ненаблюдаемой экономики, Казахстан остается выше целевого уровня стран ОЭСР, что требует новых инструментов и большей глубины анализа. Принятие Комплексного плана обусловлено принятием действенных мер, направленных на формирование системного и комплексного подхода к снижению уровня теневой экономики. В рамках реализации Комплексного плана будет создана цифровая платформа, которая позволит сопоставлять данные налоговых, таможенных, трудовых и отраслевых систем, выявлять наиболее уязвимые звенья, подверженные применению серых схем, а также отслеживать их миграцию между секторами экономики. Реализация Комплексного плана позволит обеспечить рост налоговых и неналоговых поступлений, а также приведет к повышению прозрачности экономических процессов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 п/п</w:t>
            </w:r>
          </w:p>
          <w:bookmarkEnd w:id="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мероприятия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Целевой индикатор: Снижение доли ненаблюдаемой (теневой) экономики в валовом внутреннем продукте (% к ВВП) – до 13,8 % в 2028 году.</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2026 год – 14,5 %, 2027 год – 14 %, 2028 год – 13,8 %.</w:t>
            </w:r>
          </w:p>
          <w:p>
            <w:pPr>
              <w:spacing w:after="20"/>
              <w:ind w:left="20"/>
              <w:jc w:val="both"/>
            </w:pPr>
            <w:r>
              <w:rPr>
                <w:rFonts w:ascii="Times New Roman"/>
                <w:b w:val="false"/>
                <w:i w:val="false"/>
                <w:color w:val="000000"/>
                <w:sz w:val="20"/>
              </w:rPr>
              <w:t>
</w:t>
            </w:r>
            <w:r>
              <w:rPr>
                <w:rFonts w:ascii="Times New Roman"/>
                <w:b w:val="false"/>
                <w:i w:val="false"/>
                <w:color w:val="000000"/>
                <w:sz w:val="20"/>
              </w:rPr>
              <w:t>Ожидаемые результаты: Снижение доли ненаблюдаемой (теневой) экономики по отраслям, % в ВВП</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Производство товаров: 2026 год – 4,49 %; 2027 год – 4,34 %; 2028 год – 4,28 %,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1.1. Сельское, лесное и рыбное хозяйство: 2026 год – 1,62 %; 2027 год – 1,56 %; 2028 год – 1,54 %;</w:t>
            </w:r>
          </w:p>
          <w:p>
            <w:pPr>
              <w:spacing w:after="20"/>
              <w:ind w:left="20"/>
              <w:jc w:val="both"/>
            </w:pPr>
            <w:r>
              <w:rPr>
                <w:rFonts w:ascii="Times New Roman"/>
                <w:b w:val="false"/>
                <w:i w:val="false"/>
                <w:color w:val="000000"/>
                <w:sz w:val="20"/>
              </w:rPr>
              <w:t>
</w:t>
            </w:r>
            <w:r>
              <w:rPr>
                <w:rFonts w:ascii="Times New Roman"/>
                <w:b w:val="false"/>
                <w:i w:val="false"/>
                <w:color w:val="000000"/>
                <w:sz w:val="20"/>
              </w:rPr>
              <w:t>1.2. Обрабатывающая промышленность: 2026 год – 1,04 %; 2027 год – 1,00 %; 2028 год – 0,99 %;</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Строительство: 2026 год – 1,59 %; 2027 год – 1,54 %; 2028 год – 1,52 %;</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Прочее: 2026 год – 0,24 %; 2027 год – 0,24 %; 2028 год – 0,23 %.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Производство услуг: 2026 год – 10,01 %; 2027 год – 9,66 %; 2028 год – 9,52 %,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2.1. Оптовая и розничная торговля: 2026 год – 2,92 %; 2027 год – 2,82 %; 2028 год – 2,78 %;</w:t>
            </w:r>
          </w:p>
          <w:p>
            <w:pPr>
              <w:spacing w:after="20"/>
              <w:ind w:left="20"/>
              <w:jc w:val="both"/>
            </w:pPr>
            <w:r>
              <w:rPr>
                <w:rFonts w:ascii="Times New Roman"/>
                <w:b w:val="false"/>
                <w:i w:val="false"/>
                <w:color w:val="000000"/>
                <w:sz w:val="20"/>
              </w:rPr>
              <w:t>
</w:t>
            </w:r>
            <w:r>
              <w:rPr>
                <w:rFonts w:ascii="Times New Roman"/>
                <w:b w:val="false"/>
                <w:i w:val="false"/>
                <w:color w:val="000000"/>
                <w:sz w:val="20"/>
              </w:rPr>
              <w:t>2.2. Транспорт и складирование: 2026 год – 1,04 %; 2027 год – 1,0 %; 2028 год – 0,99 %;</w:t>
            </w:r>
          </w:p>
          <w:p>
            <w:pPr>
              <w:spacing w:after="20"/>
              <w:ind w:left="20"/>
              <w:jc w:val="both"/>
            </w:pPr>
            <w:r>
              <w:rPr>
                <w:rFonts w:ascii="Times New Roman"/>
                <w:b w:val="false"/>
                <w:i w:val="false"/>
                <w:color w:val="000000"/>
                <w:sz w:val="20"/>
              </w:rPr>
              <w:t>
</w:t>
            </w:r>
            <w:r>
              <w:rPr>
                <w:rFonts w:ascii="Times New Roman"/>
                <w:b w:val="false"/>
                <w:i w:val="false"/>
                <w:color w:val="000000"/>
                <w:sz w:val="20"/>
              </w:rPr>
              <w:t>2.3. Здравоохранение и социальные услуги: 2026 год – 1,68 %; 2027 год – 1,62 %; 2028 год – 1,60 %;</w:t>
            </w:r>
          </w:p>
          <w:p>
            <w:pPr>
              <w:spacing w:after="20"/>
              <w:ind w:left="20"/>
              <w:jc w:val="both"/>
            </w:pPr>
            <w:r>
              <w:rPr>
                <w:rFonts w:ascii="Times New Roman"/>
                <w:b w:val="false"/>
                <w:i w:val="false"/>
                <w:color w:val="000000"/>
                <w:sz w:val="20"/>
              </w:rPr>
              <w:t>
</w:t>
            </w:r>
            <w:r>
              <w:rPr>
                <w:rFonts w:ascii="Times New Roman"/>
                <w:b w:val="false"/>
                <w:i w:val="false"/>
                <w:color w:val="000000"/>
                <w:sz w:val="20"/>
              </w:rPr>
              <w:t>2.4. Образование: 2026 год – 1,23 %; 2027 год – 1,19 %; 2028 год – 1,17 %;</w:t>
            </w:r>
          </w:p>
          <w:p>
            <w:pPr>
              <w:spacing w:after="20"/>
              <w:ind w:left="20"/>
              <w:jc w:val="both"/>
            </w:pPr>
            <w:r>
              <w:rPr>
                <w:rFonts w:ascii="Times New Roman"/>
                <w:b w:val="false"/>
                <w:i w:val="false"/>
                <w:color w:val="000000"/>
                <w:sz w:val="20"/>
              </w:rPr>
              <w:t>
</w:t>
            </w:r>
            <w:r>
              <w:rPr>
                <w:rFonts w:ascii="Times New Roman"/>
                <w:b w:val="false"/>
                <w:i w:val="false"/>
                <w:color w:val="000000"/>
                <w:sz w:val="20"/>
              </w:rPr>
              <w:t>2.5. Профессиональная, научная и техническая деятельность: 2026 год – 0,45 %; 2027 год – 0,43 %; 2028 год – 0,42 %;</w:t>
            </w:r>
          </w:p>
          <w:p>
            <w:pPr>
              <w:spacing w:after="20"/>
              <w:ind w:left="20"/>
              <w:jc w:val="both"/>
            </w:pPr>
            <w:r>
              <w:rPr>
                <w:rFonts w:ascii="Times New Roman"/>
                <w:b w:val="false"/>
                <w:i w:val="false"/>
                <w:color w:val="000000"/>
                <w:sz w:val="20"/>
              </w:rPr>
              <w:t>
</w:t>
            </w:r>
            <w:r>
              <w:rPr>
                <w:rFonts w:ascii="Times New Roman"/>
                <w:b w:val="false"/>
                <w:i w:val="false"/>
                <w:color w:val="000000"/>
                <w:sz w:val="20"/>
              </w:rPr>
              <w:t>2.6 Операции с недвижимым имуществом: 2026 год – 0,41 %; 2027 год – 0,40 %; 2028 год – 0,39 %;</w:t>
            </w:r>
          </w:p>
          <w:p>
            <w:pPr>
              <w:spacing w:after="20"/>
              <w:ind w:left="20"/>
              <w:jc w:val="both"/>
            </w:pPr>
            <w:r>
              <w:rPr>
                <w:rFonts w:ascii="Times New Roman"/>
                <w:b w:val="false"/>
                <w:i w:val="false"/>
                <w:color w:val="000000"/>
                <w:sz w:val="20"/>
              </w:rPr>
              <w:t>
</w:t>
            </w:r>
            <w:r>
              <w:rPr>
                <w:rFonts w:ascii="Times New Roman"/>
                <w:b w:val="false"/>
                <w:i w:val="false"/>
                <w:color w:val="000000"/>
                <w:sz w:val="20"/>
              </w:rPr>
              <w:t>2.7. Прочие: 2026 год – 2,28 %; 2027 год – 2,2 %; 2028 год – 2,17 %.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Доля малого и среднего бизнеса в валовом внутреннем продукте (% к ВВП): 2026 год – 38,00 %; 2027 год – 38,5 %; </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39 %.</w:t>
            </w:r>
          </w:p>
          <w:p>
            <w:pPr>
              <w:spacing w:after="20"/>
              <w:ind w:left="20"/>
              <w:jc w:val="both"/>
            </w:pPr>
            <w:r>
              <w:rPr>
                <w:rFonts w:ascii="Times New Roman"/>
                <w:b w:val="false"/>
                <w:i w:val="false"/>
                <w:color w:val="000000"/>
                <w:sz w:val="20"/>
              </w:rPr>
              <w:t>
Достижение KPI по снижению доли теневой экономики в разрезе отраслей (приложение 1 к настоящему Комплексному плану)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товаров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Сельское, лесное и рыбное хозяйство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цифровой системы прослеживаемости в растениеводстве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АЦЭП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5"/>
          <w:p>
            <w:pPr>
              <w:spacing w:after="20"/>
              <w:ind w:left="20"/>
              <w:jc w:val="both"/>
            </w:pPr>
            <w:r>
              <w:rPr>
                <w:rFonts w:ascii="Times New Roman"/>
                <w:b w:val="false"/>
                <w:i w:val="false"/>
                <w:color w:val="000000"/>
                <w:sz w:val="20"/>
              </w:rPr>
              <w:t xml:space="preserve">
2026 год – 364 млн теңге (разработка); </w:t>
            </w:r>
          </w:p>
          <w:bookmarkEnd w:id="35"/>
          <w:p>
            <w:pPr>
              <w:spacing w:after="20"/>
              <w:ind w:left="20"/>
              <w:jc w:val="both"/>
            </w:pPr>
            <w:r>
              <w:rPr>
                <w:rFonts w:ascii="Times New Roman"/>
                <w:b w:val="false"/>
                <w:i w:val="false"/>
                <w:color w:val="000000"/>
                <w:sz w:val="20"/>
              </w:rPr>
              <w:t>
2027 год – 168 млн теңге (сопровождение); 2028 год – 168 млн теңге (сопровождение)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передачи данных о неиспользуемых и используемых с нарушением законодательства землях сельскохозяйственного назначения, в том числе по результатам космического мониторинга в цифровую систему КГД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МСХ,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процессов деятельности СПК на базе цифровой системы прослеживаемости товаров (определение порядка передачи данных/интеграции цифровой системы Smart Data Finance с цифровой системой прослеживаемости товаров)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 2028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МТИ, МСХ, МФ, АО "Казахтелеком" (по согласованию), АО "ЦЭФ"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сопроводительных накладных на товары при реализации сельскохозяйственной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цифровой системы прослеживаемости рыбы и рыбной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КРХ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РБ</w:t>
            </w:r>
          </w:p>
          <w:bookmarkEnd w:id="36"/>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модуля прослеживаемости продукции животноводства "Ветеринарно-санитарная экспертиза" на объекты убоя и торговли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 2028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данных цифровых систем МСХ и КГД для обеспечения контроля соблюдения квоты при вывозе КРС и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акт тестирования</w:t>
            </w:r>
          </w:p>
          <w:bookmarkEnd w:id="3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квартал 2026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МФ, МСХ</w:t>
            </w:r>
          </w:p>
          <w:bookmarkEnd w:id="3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цифровой прослеживаемости в сфере агропромышленного комплекса (совершенствование форматно-логического контроля при подаче заявок на предоставление субсидий; интеграция МСХ с базами ГО в рамках мониторинга СХТП)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2026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МСХ, МИИЦР, АФМ (по согласованию)</w:t>
            </w:r>
          </w:p>
          <w:bookmarkEnd w:id="3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стандартов расчета по весовым потерям при переработке рыбы (филе, копчҰно-вяленая и сушеная продукция) для указания соответствующих весовых значений в разрешительных документах при обороте рыбы и рыбной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приказ МСХ</w:t>
            </w:r>
          </w:p>
          <w:bookmarkEnd w:id="4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I квартал 2027 года</w:t>
            </w:r>
          </w:p>
          <w:bookmarkEnd w:id="4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МСХ, МТИ</w:t>
            </w:r>
          </w:p>
          <w:bookmarkEnd w:id="4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Обрабатывающая промышленность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автоматизированной системы расчета и ведения материально-сырьевого баланса в нефтеперерабатывающих заводах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МИИЦР, АО "НК "КМГ"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Строительство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Оцифровка строительной отрасли путем перевода проектной, строительной и разрешительной документации в цифровой машиночитаемый формат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МФ,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Производство услуг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Оптовая и розничная торговля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рынков и торговых центров в цифровой формат (Digital bazaar)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платформы "Е-сауда"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3"/>
          <w:p>
            <w:pPr>
              <w:spacing w:after="20"/>
              <w:ind w:left="20"/>
              <w:jc w:val="both"/>
            </w:pPr>
            <w:r>
              <w:rPr>
                <w:rFonts w:ascii="Times New Roman"/>
                <w:b w:val="false"/>
                <w:i w:val="false"/>
                <w:color w:val="000000"/>
                <w:sz w:val="20"/>
              </w:rPr>
              <w:t>
IV квартал 2026 – 2029</w:t>
            </w:r>
          </w:p>
          <w:bookmarkEnd w:id="43"/>
          <w:p>
            <w:pPr>
              <w:spacing w:after="20"/>
              <w:ind w:left="20"/>
              <w:jc w:val="both"/>
            </w:pPr>
            <w:r>
              <w:rPr>
                <w:rFonts w:ascii="Times New Roman"/>
                <w:b w:val="false"/>
                <w:i w:val="false"/>
                <w:color w:val="000000"/>
                <w:sz w:val="20"/>
              </w:rPr>
              <w:t xml:space="preserve">
 годов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МИИЦР,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обязательной установки контрольных приборов учета на резервуарах владельцев нефтебаз и (или) на автозаправочных станциях при хранении нефтепродуктов (за исключением дорожного битума) с онлайн-передачей данных в органы государственных доходов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МФ,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Поэтапный ввод требований по внедрению НКТ с установлением переходных сроков для импортеров, отечественных товаропроизводителей, торговых сетей, субъектов малого и микропредпринимательства, включая "магазины у дома"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xml:space="preserve">
МТИ, МФ, </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АО "Казахтелеком"</w:t>
            </w:r>
          </w:p>
          <w:p>
            <w:pPr>
              <w:spacing w:after="20"/>
              <w:ind w:left="20"/>
              <w:jc w:val="both"/>
            </w:pPr>
            <w:r>
              <w:rPr>
                <w:rFonts w:ascii="Times New Roman"/>
                <w:b w:val="false"/>
                <w:i w:val="false"/>
                <w:color w:val="000000"/>
                <w:sz w:val="20"/>
              </w:rPr>
              <w:t>
(по согласованию), НПП "Атамекен"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 цифровой системы технического регулирования "е-КТРМ" с порталом государственных закупок с цифровыми системами МНВО и МТСЗН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МФ, МНВО,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5"/>
          <w:p>
            <w:pPr>
              <w:spacing w:after="20"/>
              <w:ind w:left="20"/>
              <w:jc w:val="both"/>
            </w:pPr>
            <w:r>
              <w:rPr>
                <w:rFonts w:ascii="Times New Roman"/>
                <w:b w:val="false"/>
                <w:i w:val="false"/>
                <w:color w:val="000000"/>
                <w:sz w:val="20"/>
              </w:rPr>
              <w:t>
Расширение перечня товаров, подлежащих маркировке:</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2026 год – 4 товарные группы (ювелирные изделия, биологически активные добавки к пище, газовые баллоны, древесина);</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год – 5 товарных групп (изделия медицинского назначения, энергетические напитки, бытовая химия и косметика, молочная продукция, растительное масло и масложировая продукция);</w:t>
            </w:r>
          </w:p>
          <w:p>
            <w:pPr>
              <w:spacing w:after="20"/>
              <w:ind w:left="20"/>
              <w:jc w:val="both"/>
            </w:pPr>
            <w:r>
              <w:rPr>
                <w:rFonts w:ascii="Times New Roman"/>
                <w:b w:val="false"/>
                <w:i w:val="false"/>
                <w:color w:val="000000"/>
                <w:sz w:val="20"/>
              </w:rPr>
              <w:t>
2028 год – 6 товарных групп (полимерные трубы, нефть и нефтепродукты, бакалея, детские игрушки, детское питание, чай и кофе)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2026 – 2028 годов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6"/>
          <w:p>
            <w:pPr>
              <w:spacing w:after="20"/>
              <w:ind w:left="20"/>
              <w:jc w:val="both"/>
            </w:pPr>
            <w:r>
              <w:rPr>
                <w:rFonts w:ascii="Times New Roman"/>
                <w:b w:val="false"/>
                <w:i w:val="false"/>
                <w:color w:val="000000"/>
                <w:sz w:val="20"/>
              </w:rPr>
              <w:t xml:space="preserve">
МТИ, </w:t>
            </w:r>
          </w:p>
          <w:bookmarkEnd w:id="46"/>
          <w:p>
            <w:pPr>
              <w:spacing w:after="20"/>
              <w:ind w:left="20"/>
              <w:jc w:val="both"/>
            </w:pPr>
            <w:r>
              <w:rPr>
                <w:rFonts w:ascii="Times New Roman"/>
                <w:b w:val="false"/>
                <w:i w:val="false"/>
                <w:color w:val="000000"/>
                <w:sz w:val="20"/>
              </w:rPr>
              <w:t>
отраслевые 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цифровой системы "KEDEN" с цифровой системой маркировки и прослеживаемости товаров в целях обеспечения сквозного контроля за ввозом и оборотом товаров, подлежащих маркировке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МТИ, АО "Казахтелеком"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цифрового реестра основных потребителей нефтепродуктов (СХТП, ТСО, ТЭЦ, АЗС, нефтебаза, НПЗ, миниНПЗ, АГЗС, ГНС, ДК, ГМК, НДО)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МСХ, МФ, МЧС, МТ, МПС, МИО, АО "НК "КМГ"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перечня данных по действующим субъектам (СХТП, ТСО, ТЭЦ, АЗС, нефтебаза, НПЗ, миниНПЗ, АГЗС, ГНС, ДК, ГМК, НДО)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Соглашения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цифровых систем МФ и МЭ согласно перечню данных по действующим субъектам (СХТП, ТСО, ТЭЦ, АЗС, нефтебаза, НПЗ, миниНПЗ, АГЗС, ГНС, ДК, ГМК, НДО)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МЭ,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цифровых систем (предоставление доступа) МФ, НБ и АФМ в целях предотвращения хищения средств на стадии планирования и исполнения бюджета ("е-Минфин", "База данных цен на товары" и "Цифровой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тестирования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7"/>
          <w:p>
            <w:pPr>
              <w:spacing w:after="20"/>
              <w:ind w:left="20"/>
              <w:jc w:val="both"/>
            </w:pPr>
            <w:r>
              <w:rPr>
                <w:rFonts w:ascii="Times New Roman"/>
                <w:b w:val="false"/>
                <w:i w:val="false"/>
                <w:color w:val="000000"/>
                <w:sz w:val="20"/>
              </w:rPr>
              <w:t>
МФ, АФМ (по согласованию),</w:t>
            </w:r>
          </w:p>
          <w:bookmarkEnd w:id="47"/>
          <w:p>
            <w:pPr>
              <w:spacing w:after="20"/>
              <w:ind w:left="20"/>
              <w:jc w:val="both"/>
            </w:pPr>
            <w:r>
              <w:rPr>
                <w:rFonts w:ascii="Times New Roman"/>
                <w:b w:val="false"/>
                <w:i w:val="false"/>
                <w:color w:val="000000"/>
                <w:sz w:val="20"/>
              </w:rPr>
              <w:t>
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Транспорт и складирование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8"/>
          <w:p>
            <w:pPr>
              <w:spacing w:after="20"/>
              <w:ind w:left="20"/>
              <w:jc w:val="both"/>
            </w:pPr>
            <w:r>
              <w:rPr>
                <w:rFonts w:ascii="Times New Roman"/>
                <w:b w:val="false"/>
                <w:i w:val="false"/>
                <w:color w:val="000000"/>
                <w:sz w:val="20"/>
              </w:rPr>
              <w:t xml:space="preserve">
Интеграция цифровых систем МТ и КГД в части: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сбора за проезд автотранспортных средств по территории Республики Казахстан,</w:t>
            </w:r>
          </w:p>
          <w:p>
            <w:pPr>
              <w:spacing w:after="20"/>
              <w:ind w:left="20"/>
              <w:jc w:val="both"/>
            </w:pPr>
            <w:r>
              <w:rPr>
                <w:rFonts w:ascii="Times New Roman"/>
                <w:b w:val="false"/>
                <w:i w:val="false"/>
                <w:color w:val="000000"/>
                <w:sz w:val="20"/>
              </w:rPr>
              <w:t>
данных о регистрации гражданских воздушных судов и беспилотных авиационных систем и прав на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МИИЦР,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электронных международных транспортных накладных (e-CMR) с паритетными странами по их готовности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электронного формата обмена, выдачи и сверки ИБР со странами – партнерами (по опыту работы с Китайской Народной Республикой и Республикой Узбекистан)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межгосударственное соглашение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9"/>
          <w:p>
            <w:pPr>
              <w:spacing w:after="20"/>
              <w:ind w:left="20"/>
              <w:jc w:val="both"/>
            </w:pPr>
            <w:r>
              <w:rPr>
                <w:rFonts w:ascii="Times New Roman"/>
                <w:b w:val="false"/>
                <w:i w:val="false"/>
                <w:color w:val="000000"/>
                <w:sz w:val="20"/>
              </w:rPr>
              <w:t>
МТ, МИИЦР</w:t>
            </w:r>
          </w:p>
          <w:bookmarkEnd w:id="4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0"/>
          <w:p>
            <w:pPr>
              <w:spacing w:after="20"/>
              <w:ind w:left="20"/>
              <w:jc w:val="both"/>
            </w:pPr>
            <w:r>
              <w:rPr>
                <w:rFonts w:ascii="Times New Roman"/>
                <w:b w:val="false"/>
                <w:i w:val="false"/>
                <w:color w:val="000000"/>
                <w:sz w:val="20"/>
              </w:rPr>
              <w:t>
не требуется</w:t>
            </w:r>
          </w:p>
          <w:bookmarkEnd w:id="50"/>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Здравоохранение и социальные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 цифровых систем МЗ и МФ (автоматическое формирование предельных цен на лекарственные средства в рамках ГОБМП и в системе ОСМС, проведение внешнего и внутреннего реферирования цен на фармацевтическом рынке)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1"/>
          <w:p>
            <w:pPr>
              <w:spacing w:after="20"/>
              <w:ind w:left="20"/>
              <w:jc w:val="both"/>
            </w:pPr>
            <w:r>
              <w:rPr>
                <w:rFonts w:ascii="Times New Roman"/>
                <w:b w:val="false"/>
                <w:i w:val="false"/>
                <w:color w:val="000000"/>
                <w:sz w:val="20"/>
              </w:rPr>
              <w:t>
МЗ, МФ</w:t>
            </w:r>
          </w:p>
          <w:bookmarkEnd w:id="5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лекарственного обеспечения от планирования до отпуска пациентам (оцифровка списка лекарственных средств, возмещаемых государством)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МЗ, МФ, МТИ, МИИЦР</w:t>
            </w:r>
          </w:p>
          <w:bookmarkEnd w:id="5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не требуется</w:t>
            </w:r>
          </w:p>
          <w:bookmarkEnd w:id="53"/>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автоматической системы мониторинга референтных цен на лекарственные средства и контроля стоимости оптовых и розничных цен для внутреннего рынка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4"/>
          <w:p>
            <w:pPr>
              <w:spacing w:after="20"/>
              <w:ind w:left="20"/>
              <w:jc w:val="both"/>
            </w:pPr>
            <w:r>
              <w:rPr>
                <w:rFonts w:ascii="Times New Roman"/>
                <w:b w:val="false"/>
                <w:i w:val="false"/>
                <w:color w:val="000000"/>
                <w:sz w:val="20"/>
              </w:rPr>
              <w:t>
МЗ, МФ, МТИ, МИИЦР</w:t>
            </w:r>
          </w:p>
          <w:bookmarkEnd w:id="5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не требуется</w:t>
            </w:r>
          </w:p>
          <w:bookmarkEnd w:id="55"/>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 официальном интернет-ресурсе МЗ публичного реестра поставщиков и стоимости закупаемого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6"/>
          <w:p>
            <w:pPr>
              <w:spacing w:after="20"/>
              <w:ind w:left="20"/>
              <w:jc w:val="both"/>
            </w:pPr>
            <w:r>
              <w:rPr>
                <w:rFonts w:ascii="Times New Roman"/>
                <w:b w:val="false"/>
                <w:i w:val="false"/>
                <w:color w:val="000000"/>
                <w:sz w:val="20"/>
              </w:rPr>
              <w:t>
не требуется</w:t>
            </w:r>
          </w:p>
          <w:bookmarkEnd w:id="56"/>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Оцифровка комплаенс-аудита ОСМС через внедрение AI-модуля для выявления аномалий (несуществующие пациенты, зарубежные пациенты, сверхнагрузка врачей, несоответствие мощности оборудования) с автоматической приостановкой подозрительных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7"/>
          <w:p>
            <w:pPr>
              <w:spacing w:after="20"/>
              <w:ind w:left="20"/>
              <w:jc w:val="both"/>
            </w:pPr>
            <w:r>
              <w:rPr>
                <w:rFonts w:ascii="Times New Roman"/>
                <w:b w:val="false"/>
                <w:i w:val="false"/>
                <w:color w:val="000000"/>
                <w:sz w:val="20"/>
              </w:rPr>
              <w:t xml:space="preserve">
актуализация </w:t>
            </w:r>
          </w:p>
          <w:bookmarkEnd w:id="57"/>
          <w:p>
            <w:pPr>
              <w:spacing w:after="20"/>
              <w:ind w:left="20"/>
              <w:jc w:val="both"/>
            </w:pPr>
            <w:r>
              <w:rPr>
                <w:rFonts w:ascii="Times New Roman"/>
                <w:b w:val="false"/>
                <w:i w:val="false"/>
                <w:color w:val="000000"/>
                <w:sz w:val="20"/>
              </w:rPr>
              <w:t>
ЦС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8"/>
          <w:p>
            <w:pPr>
              <w:spacing w:after="20"/>
              <w:ind w:left="20"/>
              <w:jc w:val="both"/>
            </w:pPr>
            <w:r>
              <w:rPr>
                <w:rFonts w:ascii="Times New Roman"/>
                <w:b w:val="false"/>
                <w:i w:val="false"/>
                <w:color w:val="000000"/>
                <w:sz w:val="20"/>
              </w:rPr>
              <w:t>
МФ, МЗ,</w:t>
            </w:r>
          </w:p>
          <w:bookmarkEnd w:id="58"/>
          <w:p>
            <w:pPr>
              <w:spacing w:after="20"/>
              <w:ind w:left="20"/>
              <w:jc w:val="both"/>
            </w:pPr>
            <w:r>
              <w:rPr>
                <w:rFonts w:ascii="Times New Roman"/>
                <w:b w:val="false"/>
                <w:i w:val="false"/>
                <w:color w:val="000000"/>
                <w:sz w:val="20"/>
              </w:rPr>
              <w:t>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9"/>
          <w:p>
            <w:pPr>
              <w:spacing w:after="20"/>
              <w:ind w:left="20"/>
              <w:jc w:val="both"/>
            </w:pPr>
            <w:r>
              <w:rPr>
                <w:rFonts w:ascii="Times New Roman"/>
                <w:b w:val="false"/>
                <w:i w:val="false"/>
                <w:color w:val="000000"/>
                <w:sz w:val="20"/>
              </w:rPr>
              <w:t>
не требуется</w:t>
            </w:r>
          </w:p>
          <w:bookmarkEnd w:id="59"/>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верификации заявок, предусматривающего обязательное подтверждение медицинских назначений через цифровые системы МЗ, включая медицинскую экспертизу и проверку факта ранее проведенных операций в целях исключения фиктивной оплаты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0"/>
          <w:p>
            <w:pPr>
              <w:spacing w:after="20"/>
              <w:ind w:left="20"/>
              <w:jc w:val="both"/>
            </w:pPr>
            <w:r>
              <w:rPr>
                <w:rFonts w:ascii="Times New Roman"/>
                <w:b w:val="false"/>
                <w:i w:val="false"/>
                <w:color w:val="000000"/>
                <w:sz w:val="20"/>
              </w:rPr>
              <w:t>
не требуется</w:t>
            </w:r>
          </w:p>
          <w:bookmarkEnd w:id="60"/>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Образование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Цифровизация верификации сертификатов курсов повышения квалификации педагогов через интеграцию образовательных платформ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 МИИЦР, МИО,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критериев размещения государственного заказа в частных школах, которые реально закрывают дефицит ученических мест в регионах (отсутствие государственных школ, ликвидация трҰхсменного обучения, школ в аварийном состоянии)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МФ,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Профессиональная, научная и техническая деятельность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 цифровой формат подписания договоров и актов выполненных работ по ГФ и ПЦФ (интеграция с цифровой системой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20"/>
              <w:ind w:left="20"/>
              <w:jc w:val="both"/>
            </w:pPr>
            <w:r>
              <w:rPr>
                <w:rFonts w:ascii="Times New Roman"/>
                <w:b w:val="false"/>
                <w:i w:val="false"/>
                <w:color w:val="000000"/>
                <w:sz w:val="20"/>
              </w:rPr>
              <w:t>
МНВО, МФ,</w:t>
            </w:r>
          </w:p>
          <w:bookmarkEnd w:id="61"/>
          <w:p>
            <w:pPr>
              <w:spacing w:after="20"/>
              <w:ind w:left="20"/>
              <w:jc w:val="both"/>
            </w:pPr>
            <w:r>
              <w:rPr>
                <w:rFonts w:ascii="Times New Roman"/>
                <w:b w:val="false"/>
                <w:i w:val="false"/>
                <w:color w:val="000000"/>
                <w:sz w:val="20"/>
              </w:rPr>
              <w:t>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единой цифровой системы управления научными проектами, охватывающей весь жизненный цикл, от допуска организаций и проектов к финансированию до контроля внедрения и возврата бюджетных средств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2"/>
          <w:p>
            <w:pPr>
              <w:spacing w:after="20"/>
              <w:ind w:left="20"/>
              <w:jc w:val="both"/>
            </w:pPr>
            <w:r>
              <w:rPr>
                <w:rFonts w:ascii="Times New Roman"/>
                <w:b w:val="false"/>
                <w:i w:val="false"/>
                <w:color w:val="000000"/>
                <w:sz w:val="20"/>
              </w:rPr>
              <w:t>
МНВО, МФ,</w:t>
            </w:r>
          </w:p>
          <w:bookmarkEnd w:id="62"/>
          <w:p>
            <w:pPr>
              <w:spacing w:after="20"/>
              <w:ind w:left="20"/>
              <w:jc w:val="both"/>
            </w:pPr>
            <w:r>
              <w:rPr>
                <w:rFonts w:ascii="Times New Roman"/>
                <w:b w:val="false"/>
                <w:i w:val="false"/>
                <w:color w:val="000000"/>
                <w:sz w:val="20"/>
              </w:rPr>
              <w:t>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Операции с недвижимым имуществом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передачи в онлайн-режиме из цифровой системы "ЕГКН" НАО "ГК "Правительство для граждан" в цифровую систему КГД данных о зарегистрированных объектах недвижимости, в том числе коммерческих объектах (с указанием стоимости сделки), а также модернизация интеграционного взаимодействия с цифровой системой МЮ "ГАЦ СИП" в рамках наложения запрета на имущество и ограничения на совершение определенных действий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ввода в эксплуатацию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3"/>
          <w:p>
            <w:pPr>
              <w:spacing w:after="20"/>
              <w:ind w:left="20"/>
              <w:jc w:val="both"/>
            </w:pPr>
            <w:r>
              <w:rPr>
                <w:rFonts w:ascii="Times New Roman"/>
                <w:b w:val="false"/>
                <w:i w:val="false"/>
                <w:color w:val="000000"/>
                <w:sz w:val="20"/>
              </w:rPr>
              <w:t>
НАО "ГК "Правительство для граждан",</w:t>
            </w:r>
          </w:p>
          <w:bookmarkEnd w:id="63"/>
          <w:p>
            <w:pPr>
              <w:spacing w:after="20"/>
              <w:ind w:left="20"/>
              <w:jc w:val="both"/>
            </w:pPr>
            <w:r>
              <w:rPr>
                <w:rFonts w:ascii="Times New Roman"/>
                <w:b w:val="false"/>
                <w:i w:val="false"/>
                <w:color w:val="000000"/>
                <w:sz w:val="20"/>
              </w:rPr>
              <w:t xml:space="preserve">
МИИЦР, МЮ, МФ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Прочие (производство услуг)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единой цифровой платформы в сфере коллективного управления правами для всех пользователей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ввода в эксплуатацию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2027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РГП "НИИС"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линейки стандартизированных биржевых товаров с определением минимального размера поставочной партии либо минимальной доли с одновременным установлением условий проведения биржевых торгов этими товарами (секции)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МНЭ, МСХ, МПС, МЭ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подходов к государственному аудиту цифровых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Совершенствование фискального администрирования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механизмов валютного контроля путем внедрения системы управления рисками при регистрации валютных договоров по экспорту или импорту, мониторинга экспортно-импортных валютных операций, инструментов контроля по их проведению в отношении участников внешнеэкономической деятельности при наличии нарушений валютного законодательства, в том числе расширения информационного обмена в рамках действующих интеграций между Национальным Банком, Комитетом государственных доходов Министерства финансов и уполномоченными банками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постановление НБ и приказ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4"/>
          <w:p>
            <w:pPr>
              <w:spacing w:after="20"/>
              <w:ind w:left="20"/>
              <w:jc w:val="both"/>
            </w:pPr>
            <w:r>
              <w:rPr>
                <w:rFonts w:ascii="Times New Roman"/>
                <w:b w:val="false"/>
                <w:i w:val="false"/>
                <w:color w:val="000000"/>
                <w:sz w:val="20"/>
              </w:rPr>
              <w:t xml:space="preserve">
НБ (по согласованию), </w:t>
            </w:r>
          </w:p>
          <w:bookmarkEnd w:id="64"/>
          <w:p>
            <w:pPr>
              <w:spacing w:after="20"/>
              <w:ind w:left="20"/>
              <w:jc w:val="both"/>
            </w:pPr>
            <w:r>
              <w:rPr>
                <w:rFonts w:ascii="Times New Roman"/>
                <w:b w:val="false"/>
                <w:i w:val="false"/>
                <w:color w:val="000000"/>
                <w:sz w:val="20"/>
              </w:rPr>
              <w:t>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ставок вывозных таможенных пошлин на отдельные виды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МНЭ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2026 – 2027 годов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МНЭ, МСХ, МПС, МЭ, МФ, НПП "Атамекен"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цифровой системы по верификации абонентских устройств (IMEI-кодов) с цифровой системой "KEDEN" в целях усиления таможенного контроля за ввозом товаров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Цифровизация процесса выдачи подтверждений целевого назначения ввозимых товаров (с интеграцией с НИП "KEDEN") в соответствии с примечаниями к единой товарной номенклатуре внешнеэкономической деятельности Евразийского экономического союза по форме, установленной приказом Министерства торговли и интеграции Республики Казахстан от 30 марта 2023 года № 125-НҚ "Об утверждении Правил и формы подтверждения целевого назначения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МТИ, МЗ, МПС, МСХ, МО, МТ, МЭ,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реализации применения и наличия навигационных пломб для отслеживания перевозок, как по территории государств – членов Евразийского экономического союза, так и по территории Республики Казахстан на автомобильном и железнодорожном транспорте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квартал 2026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МТ, АО "НК "КТЖ" (по согласованию), МФ, ИКТТ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порядка и условий передачи сведений с цифровой системы Верховного Суда "Төрелік" в цифровые системы регистрирующих органов и "Smart Data Finance" о непогашенной или неснятой судимости в соответствии с Уголовным кодексом Республики Казахстан, а также данные по регистрации и (или) перерегистрации деятельности субъектов, признанной недействительной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межведомственный протокол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2026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(по согласованию), МЮ, МФ, ВС (по согласованию), ГП (по согласованию), АФМ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цифровой системы КГД, ГО с интернет-платформами в целях легализации и автоматизации деятельности самозанятых граждан с передачей данных в цифровую систему МЮ "ГАЦ СИП"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с операторами интернет-платформ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5"/>
          <w:p>
            <w:pPr>
              <w:spacing w:after="20"/>
              <w:ind w:left="20"/>
              <w:jc w:val="both"/>
            </w:pPr>
            <w:r>
              <w:rPr>
                <w:rFonts w:ascii="Times New Roman"/>
                <w:b w:val="false"/>
                <w:i w:val="false"/>
                <w:color w:val="000000"/>
                <w:sz w:val="20"/>
              </w:rPr>
              <w:t>
МФ, МТСЗН, МЗ, МЮ, МИИЦР</w:t>
            </w:r>
          </w:p>
          <w:bookmarkEnd w:id="65"/>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механизма налогового администрирования при возврате НДС экспортерам, в том числе с использованием "Цифрового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внедрения пилотного проекта цифровой системы "Маркировка интернет-рекламы"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МФ, АФМ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Незаконная деятельность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Пресечение фактов ввоза, вывоза на границе и распространения контрафактной продукции на территории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квартал 2027 – 2028 годов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МФ, МВД, АФМ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механизма для автоматического поиска и блокирования сайтов, ссылок азартных игр, пари и иного запрещенного контента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квартал 2026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МКИ, МИИЦР, ГП (по согласованию), МВД, КНБ (по согласованию), АФМ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регулирование деятельности операторов сотовой связи, включая обязательную идентификацию заказчиков рассылок и ответственность за распространение незаконного контента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регулирование деятельности регистратора доменной зоны .kz по проверке назначения доменов и приостановлению обслуживания ресурсов, связанных с онлайн-казино и нелицензированными букмекерами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МИИЦР, МКИ, МТС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Общее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порядка составления и представления ежегодного расширенного аналитического доклада о состоянии мер по противодействию ненаблюдаемой (теневой) экономике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единого цифрового порядка мониторинга реализации Комплексного плана по противодействию теневой экономике на 2026 – 2028 годы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платформа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Комплексному плану</w:t>
            </w:r>
            <w:r>
              <w:br/>
            </w:r>
            <w:r>
              <w:rPr>
                <w:rFonts w:ascii="Times New Roman"/>
                <w:b w:val="false"/>
                <w:i w:val="false"/>
                <w:color w:val="000000"/>
                <w:sz w:val="20"/>
              </w:rPr>
              <w:t>мероприятий по противодействию</w:t>
            </w:r>
            <w:r>
              <w:br/>
            </w:r>
            <w:r>
              <w:rPr>
                <w:rFonts w:ascii="Times New Roman"/>
                <w:b w:val="false"/>
                <w:i w:val="false"/>
                <w:color w:val="000000"/>
                <w:sz w:val="20"/>
              </w:rPr>
              <w:t xml:space="preserve">теневой экономике </w:t>
            </w:r>
            <w:r>
              <w:br/>
            </w:r>
            <w:r>
              <w:rPr>
                <w:rFonts w:ascii="Times New Roman"/>
                <w:b w:val="false"/>
                <w:i w:val="false"/>
                <w:color w:val="000000"/>
                <w:sz w:val="20"/>
              </w:rPr>
              <w:t>на 2026 – 2028 годы</w:t>
            </w:r>
          </w:p>
        </w:tc>
      </w:tr>
    </w:tbl>
    <w:bookmarkStart w:name="z93" w:id="66"/>
    <w:p>
      <w:pPr>
        <w:spacing w:after="0"/>
        <w:ind w:left="0"/>
        <w:jc w:val="left"/>
      </w:pPr>
      <w:r>
        <w:rPr>
          <w:rFonts w:ascii="Times New Roman"/>
          <w:b/>
          <w:i w:val="false"/>
          <w:color w:val="000000"/>
        </w:rPr>
        <w:t xml:space="preserve"> Перечень показателей противодействия ненаблюдаемой (теневой) экономике</w:t>
      </w:r>
      <w:r>
        <w:br/>
      </w:r>
      <w:r>
        <w:rPr>
          <w:rFonts w:ascii="Times New Roman"/>
          <w:b/>
          <w:i w:val="false"/>
          <w:color w:val="000000"/>
        </w:rPr>
        <w:t>с закреплением за оцениваемыми государственными органами до 2028 года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государственные органы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N 1 – "Производители преднамеренно не регистрируются – подпольная деятельность" прогноз: 2026 год – 0,50 %, 2027 год – 0,43 %, 2028 год – 0,37 %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незарегистрированных занятых к общему количеству занятого населения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наемные работники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(по согласованию)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занятые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МФ, МСХ, МЭ, МПС, МТИ, МКИ, МТ, МТС, МЮ, МНВО, МП, МЗ, МЭПР, МИИЦР, МВД,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Жетісу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Астана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7"/>
          <w:p>
            <w:pPr>
              <w:spacing w:after="20"/>
              <w:ind w:left="20"/>
              <w:jc w:val="both"/>
            </w:pPr>
            <w:r>
              <w:rPr>
                <w:rFonts w:ascii="Times New Roman"/>
                <w:b w:val="false"/>
                <w:i w:val="false"/>
                <w:color w:val="000000"/>
                <w:sz w:val="20"/>
              </w:rPr>
              <w:t>
Тип N 2 – "Производители преднамеренно не регистрируются – незаконная деятельность"</w:t>
            </w:r>
          </w:p>
          <w:bookmarkEnd w:id="67"/>
          <w:p>
            <w:pPr>
              <w:spacing w:after="20"/>
              <w:ind w:left="20"/>
              <w:jc w:val="both"/>
            </w:pPr>
            <w:r>
              <w:rPr>
                <w:rFonts w:ascii="Times New Roman"/>
                <w:b w:val="false"/>
                <w:i w:val="false"/>
                <w:color w:val="000000"/>
                <w:sz w:val="20"/>
              </w:rPr>
              <w:t>
прогноз: 2026 год – 1,2 %, 2027 год – 1,09 %, 2028 год – 1,06 %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наркозависимых лиц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установленного и арестованного имущества от суммы причиненного ущерба (в т.ч. преступных доходов)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(по согласованию)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 (по согласованию)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Браконьерская деятельность (древесина, рога сайгака и др.)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МВД,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МВД, МСХ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8"/>
          <w:p>
            <w:pPr>
              <w:spacing w:after="20"/>
              <w:ind w:left="20"/>
              <w:jc w:val="both"/>
            </w:pPr>
            <w:r>
              <w:rPr>
                <w:rFonts w:ascii="Times New Roman"/>
                <w:b w:val="false"/>
                <w:i w:val="false"/>
                <w:color w:val="000000"/>
                <w:sz w:val="20"/>
              </w:rPr>
              <w:t>
Тип N 3 – "Производители, которые в соответствии с законодательством не должны регистрироваться"</w:t>
            </w:r>
          </w:p>
          <w:bookmarkEnd w:id="68"/>
          <w:p>
            <w:pPr>
              <w:spacing w:after="20"/>
              <w:ind w:left="20"/>
              <w:jc w:val="both"/>
            </w:pPr>
            <w:r>
              <w:rPr>
                <w:rFonts w:ascii="Times New Roman"/>
                <w:b w:val="false"/>
                <w:i w:val="false"/>
                <w:color w:val="000000"/>
                <w:sz w:val="20"/>
              </w:rPr>
              <w:t>
прогноз: 2026 год – 2,81 %, 2027 год – 2,47 %, 2028 год – 2,20 %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малого и среднего бизнеса в валовом внутреннем продукте (% к ВВП/ВРП)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(по согласованию)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МЭ, МПС, МТИ, МФ, МКИ, МТ, МТС, МЮ, МНВО, МП, МЗ, МЭПР, МИИЦР, МВД, АЗРК (по согласованию)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Жетісу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Астана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9"/>
          <w:p>
            <w:pPr>
              <w:spacing w:after="20"/>
              <w:ind w:left="20"/>
              <w:jc w:val="both"/>
            </w:pPr>
            <w:r>
              <w:rPr>
                <w:rFonts w:ascii="Times New Roman"/>
                <w:b w:val="false"/>
                <w:i w:val="false"/>
                <w:color w:val="000000"/>
                <w:sz w:val="20"/>
              </w:rPr>
              <w:t>
Тип N 6 – "Производители, сознательно предоставляющие неточные данные"</w:t>
            </w:r>
          </w:p>
          <w:bookmarkEnd w:id="69"/>
          <w:p>
            <w:pPr>
              <w:spacing w:after="20"/>
              <w:ind w:left="20"/>
              <w:jc w:val="both"/>
            </w:pPr>
            <w:r>
              <w:rPr>
                <w:rFonts w:ascii="Times New Roman"/>
                <w:b w:val="false"/>
                <w:i w:val="false"/>
                <w:color w:val="000000"/>
                <w:sz w:val="20"/>
              </w:rPr>
              <w:t>
прогноз: 2026 год – 8,81 %, 2027 год – 8,31 %, 2028 год – 7,84 %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предприятий, не достигших среднего СГД в сравнении с аналогичным показателем предыдущего года, с учетом размерности предприятий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0"/>
          <w:p>
            <w:pPr>
              <w:spacing w:after="20"/>
              <w:ind w:left="20"/>
              <w:jc w:val="both"/>
            </w:pPr>
            <w:r>
              <w:rPr>
                <w:rFonts w:ascii="Times New Roman"/>
                <w:b w:val="false"/>
                <w:i w:val="false"/>
                <w:color w:val="000000"/>
                <w:sz w:val="20"/>
              </w:rPr>
              <w:t>
МФ</w:t>
            </w:r>
          </w:p>
          <w:bookmarkEnd w:id="70"/>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МТСЗН , МНЭ, МСХ, МЭ, МПС, МТИ, МКИ, МТ, МТС, МЮ, МНВО, МП, МЗ, МЭПР, МИИЦР, МВД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Астана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8" w:id="7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r>
        <w:rPr>
          <w:rFonts w:ascii="Times New Roman"/>
          <w:b w:val="false"/>
          <w:i w:val="false"/>
          <w:color w:val="000000"/>
          <w:sz w:val="28"/>
        </w:rPr>
        <w:t>:</w:t>
      </w:r>
    </w:p>
    <w:bookmarkEnd w:id="7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газозаправочная станция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территориальная сетевая организация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"ГК "Правительство для граждан"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ГАЦ СИП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автоматизированная цифровая система исполнительного производства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социально-предпринимательская корпорация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защите и развитию конкуренции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программно-целевое финансирование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рыбного хозяйства Министерства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Е-КТРМ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Е-техническое регулирование и метрология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газонаполнительная станция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космической техники и технологий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 и МРС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и мелкий рогатый скот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ЕГКН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государственный кадастр недвижимости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 заправочная станция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тепловая электростанция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НИП KEDEN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национальная интегрированная платформа "KEDEN"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эффективности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"КМГ"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"Национальная компания "Казмунайгаз"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нефтедобывающие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"Казахтелеком"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контакт (термин)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добавленную стоимость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"ҚТЖ"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"Қазақстан темір жолы"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администрация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национальной статистики Агентства по стратегическому планированию и реформам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горно-металлургический комплекс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объем бесплатной медицинской помощи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"НИИС"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каталог товаров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 НПЗ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мининефтеперерабатывающий завод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бланки разрешений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система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"ЦЭФ"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электронных финансов"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АЦЭП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центр экономической политики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bl>
    <w:bookmarkStart w:name="z99" w:id="72"/>
    <w:p>
      <w:pPr>
        <w:spacing w:after="0"/>
        <w:ind w:left="0"/>
        <w:jc w:val="both"/>
      </w:pPr>
      <w:r>
        <w:rPr>
          <w:rFonts w:ascii="Times New Roman"/>
          <w:b w:val="false"/>
          <w:i w:val="false"/>
          <w:color w:val="000000"/>
          <w:sz w:val="28"/>
        </w:rPr>
        <w:t>
      ___________________________________</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