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22c6" w14:textId="14722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Комплексного плана по повышению доходов населения на 2026 – 2029 годы</w:t>
      </w:r>
    </w:p>
    <w:p>
      <w:pPr>
        <w:spacing w:after="0"/>
        <w:ind w:left="0"/>
        <w:jc w:val="both"/>
      </w:pPr>
      <w:r>
        <w:rPr>
          <w:rFonts w:ascii="Times New Roman"/>
          <w:b w:val="false"/>
          <w:i w:val="false"/>
          <w:color w:val="000000"/>
          <w:sz w:val="28"/>
        </w:rPr>
        <w:t>Постановление Правительства Республики Казахстан от 10 июня 2026 года № 485</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Комплексный план</w:t>
      </w:r>
      <w:r>
        <w:rPr>
          <w:rFonts w:ascii="Times New Roman"/>
          <w:b w:val="false"/>
          <w:i w:val="false"/>
          <w:color w:val="000000"/>
          <w:sz w:val="28"/>
        </w:rPr>
        <w:t xml:space="preserve"> по повышению доходов населения на 2026 – 2029 годы (далее – Комплексный план)</w:t>
      </w:r>
      <w:r>
        <w:rPr>
          <w:rFonts w:ascii="Times New Roman"/>
          <w:b w:val="false"/>
          <w:i/>
          <w:color w:val="000000"/>
          <w:sz w:val="28"/>
        </w:rPr>
        <w:t>.</w:t>
      </w:r>
    </w:p>
    <w:bookmarkEnd w:id="1"/>
    <w:bookmarkStart w:name="z5" w:id="2"/>
    <w:p>
      <w:pPr>
        <w:spacing w:after="0"/>
        <w:ind w:left="0"/>
        <w:jc w:val="both"/>
      </w:pPr>
      <w:r>
        <w:rPr>
          <w:rFonts w:ascii="Times New Roman"/>
          <w:b w:val="false"/>
          <w:i w:val="false"/>
          <w:color w:val="000000"/>
          <w:sz w:val="28"/>
        </w:rPr>
        <w:t>
      2. Признать утратившими силу:</w:t>
      </w:r>
    </w:p>
    <w:bookmarkEnd w:id="2"/>
    <w:bookmarkStart w:name="z6"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апреля 2022 года № 218 "Об утверждении Комплексного плана "Программа повышения доходов населения до 2029 года";</w:t>
      </w:r>
    </w:p>
    <w:bookmarkEnd w:id="3"/>
    <w:bookmarkStart w:name="z7"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марта 2023 года № 246 "О внесении изменений в постановление Правительства Республики Казахстан от 14 апреля 2022 года № 218 "Об утверждении Комплексного плана "Программа повышения доходов населения до 2025 года".</w:t>
      </w:r>
    </w:p>
    <w:bookmarkEnd w:id="4"/>
    <w:bookmarkStart w:name="z8" w:id="5"/>
    <w:p>
      <w:pPr>
        <w:spacing w:after="0"/>
        <w:ind w:left="0"/>
        <w:jc w:val="both"/>
      </w:pPr>
      <w:r>
        <w:rPr>
          <w:rFonts w:ascii="Times New Roman"/>
          <w:b w:val="false"/>
          <w:i w:val="false"/>
          <w:color w:val="000000"/>
          <w:sz w:val="28"/>
        </w:rPr>
        <w:t>
      3. Центральным и местным исполнительным органам, государственным органам, непосредственно подчиненным и подотчетным Президенту Республики Казахстан (по согласованию), а также иным организациям (по согласованию), ответственным за исполнение Комплексного плана:</w:t>
      </w:r>
    </w:p>
    <w:bookmarkEnd w:id="5"/>
    <w:bookmarkStart w:name="z9" w:id="6"/>
    <w:p>
      <w:pPr>
        <w:spacing w:after="0"/>
        <w:ind w:left="0"/>
        <w:jc w:val="both"/>
      </w:pPr>
      <w:r>
        <w:rPr>
          <w:rFonts w:ascii="Times New Roman"/>
          <w:b w:val="false"/>
          <w:i w:val="false"/>
          <w:color w:val="000000"/>
          <w:sz w:val="28"/>
        </w:rPr>
        <w:t>
      1) обеспечить своевременную реализацию мероприятий, предусмотренных Комплексным планом;</w:t>
      </w:r>
    </w:p>
    <w:bookmarkEnd w:id="6"/>
    <w:bookmarkStart w:name="z10" w:id="7"/>
    <w:p>
      <w:pPr>
        <w:spacing w:after="0"/>
        <w:ind w:left="0"/>
        <w:jc w:val="both"/>
      </w:pPr>
      <w:r>
        <w:rPr>
          <w:rFonts w:ascii="Times New Roman"/>
          <w:b w:val="false"/>
          <w:i w:val="false"/>
          <w:color w:val="000000"/>
          <w:sz w:val="28"/>
        </w:rPr>
        <w:t>
      2) на полугодовой основе, до 5 числа месяца, следующего за отчетным полугодием, представлять в Министерство национальной экономики Республики Казахстан информацию о ходе исполнения Комплексного плана.</w:t>
      </w:r>
    </w:p>
    <w:bookmarkEnd w:id="7"/>
    <w:bookmarkStart w:name="z11" w:id="8"/>
    <w:p>
      <w:pPr>
        <w:spacing w:after="0"/>
        <w:ind w:left="0"/>
        <w:jc w:val="both"/>
      </w:pPr>
      <w:r>
        <w:rPr>
          <w:rFonts w:ascii="Times New Roman"/>
          <w:b w:val="false"/>
          <w:i w:val="false"/>
          <w:color w:val="000000"/>
          <w:sz w:val="28"/>
        </w:rPr>
        <w:t>
      4. Министерству национальной экономики Республики Казахстан на полугодовой основе, до 15 числа месяца, следующего за отчетным полугодием, представлять в Правительство Республики Казахстан сводную информацию о ходе исполнения Комплексного плана.</w:t>
      </w:r>
    </w:p>
    <w:bookmarkEnd w:id="8"/>
    <w:bookmarkStart w:name="z12" w:id="9"/>
    <w:p>
      <w:pPr>
        <w:spacing w:after="0"/>
        <w:ind w:left="0"/>
        <w:jc w:val="both"/>
      </w:pPr>
      <w:r>
        <w:rPr>
          <w:rFonts w:ascii="Times New Roman"/>
          <w:b w:val="false"/>
          <w:i w:val="false"/>
          <w:color w:val="000000"/>
          <w:sz w:val="28"/>
        </w:rPr>
        <w:t>
      5. Контроль за исполнением настоящего постановления возложить на Министерство национальной экономики Республики Казахстан.</w:t>
      </w:r>
    </w:p>
    <w:bookmarkEnd w:id="9"/>
    <w:bookmarkStart w:name="z13" w:id="10"/>
    <w:p>
      <w:pPr>
        <w:spacing w:after="0"/>
        <w:ind w:left="0"/>
        <w:jc w:val="both"/>
      </w:pPr>
      <w:r>
        <w:rPr>
          <w:rFonts w:ascii="Times New Roman"/>
          <w:b w:val="false"/>
          <w:i w:val="false"/>
          <w:color w:val="000000"/>
          <w:sz w:val="28"/>
        </w:rPr>
        <w:t>
      6. Настоящее постановление вводится в действие со дня его подписания.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10 июня 2026 года № 485 </w:t>
            </w:r>
          </w:p>
        </w:tc>
      </w:tr>
    </w:tbl>
    <w:bookmarkStart w:name="z16" w:id="11"/>
    <w:p>
      <w:pPr>
        <w:spacing w:after="0"/>
        <w:ind w:left="0"/>
        <w:jc w:val="left"/>
      </w:pPr>
      <w:r>
        <w:rPr>
          <w:rFonts w:ascii="Times New Roman"/>
          <w:b/>
          <w:i w:val="false"/>
          <w:color w:val="000000"/>
        </w:rPr>
        <w:t xml:space="preserve"> Комплексный план </w:t>
      </w:r>
      <w:r>
        <w:br/>
      </w:r>
      <w:r>
        <w:rPr>
          <w:rFonts w:ascii="Times New Roman"/>
          <w:b/>
          <w:i w:val="false"/>
          <w:color w:val="000000"/>
        </w:rPr>
        <w:t>по повышению доходов населения на 2026 – 2029 годы</w:t>
      </w:r>
    </w:p>
    <w:bookmarkEnd w:id="11"/>
    <w:bookmarkStart w:name="z17" w:id="12"/>
    <w:p>
      <w:pPr>
        <w:spacing w:after="0"/>
        <w:ind w:left="0"/>
        <w:jc w:val="both"/>
      </w:pPr>
      <w:r>
        <w:rPr>
          <w:rFonts w:ascii="Times New Roman"/>
          <w:b w:val="false"/>
          <w:i w:val="false"/>
          <w:color w:val="000000"/>
          <w:sz w:val="28"/>
        </w:rPr>
        <w:t xml:space="preserve">
      Паспорт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план по повышению доходов населения на 2026 – 2029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Поручение Премьер-Министра Республики Казахстан № 16-14/440 от 29 января 2026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органа-разработчика и соисполнителей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МТСЗН, МСХ, МП, МНВО, МПС, МЭ, МИИЦР, МВД, МЗ, МИД, МКИ, МЮ, МФ, МТ, МТИ, МТС, МЭПР, МВРИ, МЧС, МО, КНБ (по согласованию), НБ (по согласованию), АРРФР (по согласованию), АДГС (по согласованию), БНС АСПиР (по согласованию), ААЭ (по согласованию), партия "AMANAT" (по согласованию), НПП "Атамекен" (по согласованию), АО "КЦГЧП" (по согласованию), АО "НИХ "Байтерек" (по согласованию), АО "ФНБ "Самрук-Қазына" (по согласованию), АО "QazIndustry" (по согласованию), АО "КЦИЭ "QazIndustry" (по согласованию), АО "QazTrade" (по согласованию), АО "КазАгроФинанс" (по согласованию), АО "АКК" (по согласованию), АО "БРК" (по согласованию), АО "ФРП" (по согласованию), АО "НК "КазМунайГаз" (по согласованию), АО "НК "QazaqGaz" (по согласованию), АО "НК "ҚТЖ" (по согласованию), АО "НК "Kazakh Invest" (по согласованию), АО "Qazaqstan Investment Corporation" (по согласованию), НАО "НАНОЦ" (по согласованию), АО "НИТ" (по согласованию), АКФ "Астана Хаб" (по согласованию), ЦПЦП (по согласованию), АО "Отбасы банк" (по согласованию), ТОО "СК-Фармация" (по согласованию), АО "Финансовый центр" (по согласованию), акиматы столицы, областей, городов республиканского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информация о необходимости принятия Комплексного плана с указанием основных проблем и задач по их решению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Необходимость принятия Комплексного плана обусловлена устойчивым разрывом между ростом экономики и динамикой реальных доходов населения. Несмотря на положительные макроэкономические показатели, значительная часть граждан сталкивается со снижением покупательной способности из-за инфляционного давления, высокой долговой нагрузки и неравномерного распределения доходов.</w:t>
            </w:r>
          </w:p>
          <w:bookmarkEnd w:id="13"/>
          <w:p>
            <w:pPr>
              <w:spacing w:after="20"/>
              <w:ind w:left="20"/>
              <w:jc w:val="both"/>
            </w:pPr>
            <w:r>
              <w:rPr>
                <w:rFonts w:ascii="Times New Roman"/>
                <w:b w:val="false"/>
                <w:i w:val="false"/>
                <w:color w:val="000000"/>
                <w:sz w:val="20"/>
              </w:rPr>
              <w:t>
Повышение доходов населения в Казахстане требует комплексных экономических и социальных мер.</w:t>
            </w:r>
          </w:p>
        </w:tc>
      </w:tr>
    </w:tbl>
    <w:p>
      <w:pPr>
        <w:spacing w:after="0"/>
        <w:ind w:left="0"/>
        <w:jc w:val="both"/>
      </w:pPr>
      <w:r>
        <w:rPr>
          <w:rFonts w:ascii="Times New Roman"/>
          <w:b/>
          <w:i w:val="false"/>
          <w:color w:val="000000"/>
          <w:sz w:val="28"/>
        </w:rPr>
        <w:t>Анализ текущей ситуации</w:t>
      </w:r>
    </w:p>
    <w:p>
      <w:pPr>
        <w:spacing w:after="0"/>
        <w:ind w:left="0"/>
        <w:jc w:val="both"/>
      </w:pPr>
      <w:r>
        <w:rPr>
          <w:rFonts w:ascii="Times New Roman"/>
          <w:b/>
          <w:i w:val="false"/>
          <w:color w:val="000000"/>
          <w:sz w:val="28"/>
        </w:rPr>
        <w:t>1. Анализ трудовых доходов населения</w:t>
      </w:r>
    </w:p>
    <w:bookmarkStart w:name="z21" w:id="14"/>
    <w:p>
      <w:pPr>
        <w:spacing w:after="0"/>
        <w:ind w:left="0"/>
        <w:jc w:val="both"/>
      </w:pPr>
      <w:r>
        <w:rPr>
          <w:rFonts w:ascii="Times New Roman"/>
          <w:b w:val="false"/>
          <w:i w:val="false"/>
          <w:color w:val="000000"/>
          <w:sz w:val="28"/>
        </w:rPr>
        <w:t>
      По предварительным данным государственной статистики по итогам января – декабря 2025 года валовой внутренний продукт Казахстана вырос на 6,5 % в годовом выражении. При этом в среднем по экономике производительность труда составляет 14,8 млн тенге на одного занятого при средней заработной плате около 5,5 млн тенге в год. Однако около 31 % (в 2023 г. – 30,8 %; 2024 г. – 31 %; 2025 г. – 30,6 %) создаваемой добавленной стоимости трансформируется в официальный фонд оплаты труда, остальная часть аккумулируется в прибыли, ренте, амортизации и фискальных изъятиях.</w:t>
      </w:r>
    </w:p>
    <w:bookmarkEnd w:id="14"/>
    <w:bookmarkStart w:name="z22" w:id="15"/>
    <w:p>
      <w:pPr>
        <w:spacing w:after="0"/>
        <w:ind w:left="0"/>
        <w:jc w:val="both"/>
      </w:pPr>
      <w:r>
        <w:rPr>
          <w:rFonts w:ascii="Times New Roman"/>
          <w:b w:val="false"/>
          <w:i w:val="false"/>
          <w:color w:val="000000"/>
          <w:sz w:val="28"/>
        </w:rPr>
        <w:t>
      В Казахстане за I квартал 2026 года среднемесячная номинальная заработная плата по всем отраслям составила 461486 тенге, медианная – 331527 тенге, разрыв – 129959 тенге (39,2 %), что свидетельствует о концентрации высоких доходов у ограниченной группы работников.</w:t>
      </w:r>
    </w:p>
    <w:bookmarkEnd w:id="15"/>
    <w:bookmarkStart w:name="z23" w:id="16"/>
    <w:p>
      <w:pPr>
        <w:spacing w:after="0"/>
        <w:ind w:left="0"/>
        <w:jc w:val="both"/>
      </w:pPr>
      <w:r>
        <w:rPr>
          <w:rFonts w:ascii="Times New Roman"/>
          <w:b w:val="false"/>
          <w:i w:val="false"/>
          <w:color w:val="000000"/>
          <w:sz w:val="28"/>
        </w:rPr>
        <w:t>
      По итогам 2025 года наиболее высокие показатели отмечены в горнодобывающей промышленности: средняя заработная плата – 940515 тенге, медианная – 599696 тенге, при этом основной вклад в валовую добавленную стоимость (далее – ВДС) формирует именно этот сектор (26,6 %), где производительность труда достигает 64,7 млн тенге, в 4,4 раза выше среднереспубликанского уровня. Экономический эффект промышленного роста концентрируется преимущественно в капитале и ренте, особенно в добывающих отраслях с ограниченной занятостью.</w:t>
      </w:r>
    </w:p>
    <w:bookmarkEnd w:id="16"/>
    <w:bookmarkStart w:name="z24" w:id="17"/>
    <w:p>
      <w:pPr>
        <w:spacing w:after="0"/>
        <w:ind w:left="0"/>
        <w:jc w:val="both"/>
      </w:pPr>
      <w:r>
        <w:rPr>
          <w:rFonts w:ascii="Times New Roman"/>
          <w:b w:val="false"/>
          <w:i w:val="false"/>
          <w:color w:val="000000"/>
          <w:sz w:val="28"/>
        </w:rPr>
        <w:t>
      Сельское хозяйство, напротив, характеризуется высокой трудоемкостью, низкой производительностью (6,2 млн тенге) и заработной платой (319,5 тыс. тенге), что закрепляет низкие доходы в аграрных регионах.</w:t>
      </w:r>
    </w:p>
    <w:bookmarkEnd w:id="17"/>
    <w:bookmarkStart w:name="z25" w:id="18"/>
    <w:p>
      <w:pPr>
        <w:spacing w:after="0"/>
        <w:ind w:left="0"/>
        <w:jc w:val="both"/>
      </w:pPr>
      <w:r>
        <w:rPr>
          <w:rFonts w:ascii="Times New Roman"/>
          <w:b w:val="false"/>
          <w:i w:val="false"/>
          <w:color w:val="000000"/>
          <w:sz w:val="28"/>
        </w:rPr>
        <w:t>
      Максимальный разрыв между средней и медианной заработной платой зафиксирован в секторе информации и связи (почти в 2 раза), а также в сферах финансовой и страховой деятельности, административного обслуживания, профессиональной, научной и технической деятельности, что свидетельствует о значительной дифференциации доходов между руководящим составом и рядовыми сотрудниками.</w:t>
      </w:r>
    </w:p>
    <w:bookmarkEnd w:id="18"/>
    <w:bookmarkStart w:name="z26" w:id="19"/>
    <w:p>
      <w:pPr>
        <w:spacing w:after="0"/>
        <w:ind w:left="0"/>
        <w:jc w:val="both"/>
      </w:pPr>
      <w:r>
        <w:rPr>
          <w:rFonts w:ascii="Times New Roman"/>
          <w:b w:val="false"/>
          <w:i w:val="false"/>
          <w:color w:val="000000"/>
          <w:sz w:val="28"/>
        </w:rPr>
        <w:t>
      Минимальный разрыв наблюдается в сфере образования (14,5 %), здравоохранения и социального обслуживания населения (21,8 %), что характерно для бюджетных сфер с регламентированной тарифной сеткой. Низкая дифференциация доходов также отмечается в сферах водоснабжения (21,3 %) и энергетики (27,3 %) вследствие государственного регулирования тарифов.</w:t>
      </w:r>
    </w:p>
    <w:bookmarkEnd w:id="19"/>
    <w:bookmarkStart w:name="z27" w:id="20"/>
    <w:p>
      <w:pPr>
        <w:spacing w:after="0"/>
        <w:ind w:left="0"/>
        <w:jc w:val="both"/>
      </w:pPr>
      <w:r>
        <w:rPr>
          <w:rFonts w:ascii="Times New Roman"/>
          <w:b w:val="false"/>
          <w:i w:val="false"/>
          <w:color w:val="000000"/>
          <w:sz w:val="28"/>
        </w:rPr>
        <w:t xml:space="preserve">
      В торговле, обеспечивающей 19,9 % ВДС, официальный уровень заработной платы остается относительно низким. </w:t>
      </w:r>
    </w:p>
    <w:bookmarkEnd w:id="20"/>
    <w:bookmarkStart w:name="z28" w:id="21"/>
    <w:p>
      <w:pPr>
        <w:spacing w:after="0"/>
        <w:ind w:left="0"/>
        <w:jc w:val="both"/>
      </w:pPr>
      <w:r>
        <w:rPr>
          <w:rFonts w:ascii="Times New Roman"/>
          <w:b w:val="false"/>
          <w:i w:val="false"/>
          <w:color w:val="000000"/>
          <w:sz w:val="28"/>
        </w:rPr>
        <w:t>
      Существенная часть доходов в торговле формируется в неформальном секторе через серые выплаты, самозанятость и доходы индивидуальных предпринимателей, что может занизить официальный уровень заработной платы при высокой экономической активности. В результате сектор концентрирует ВДС и занятость, но недостаточно транслирует экономический результат в официальный фонд оплаты труда, усиливая структурный разрыв на рынке труда.</w:t>
      </w:r>
    </w:p>
    <w:bookmarkEnd w:id="21"/>
    <w:bookmarkStart w:name="z29" w:id="22"/>
    <w:p>
      <w:pPr>
        <w:spacing w:after="0"/>
        <w:ind w:left="0"/>
        <w:jc w:val="both"/>
      </w:pPr>
      <w:r>
        <w:rPr>
          <w:rFonts w:ascii="Times New Roman"/>
          <w:b w:val="false"/>
          <w:i w:val="false"/>
          <w:color w:val="000000"/>
          <w:sz w:val="28"/>
        </w:rPr>
        <w:t>
      Региональный разрез усиливает выявленные дисбалансы. Наибольший разрыв между средней и медианной заработной платами наблюдается в регионах с сырьевой специализацией – Атырауской и Мангистауской областях, 65,1 % и 67,3 % соответственно. Это обусловлено высокой дифференциацией доходов высокооплачиваемых рабочих мест в нефтегазовом секторе, преимущественно в крупных корпорациях и подрядных организациях. При этом влияние отрасли на рост заработных плат в других отраслях остается ограниченным.</w:t>
      </w:r>
    </w:p>
    <w:bookmarkEnd w:id="22"/>
    <w:bookmarkStart w:name="z30" w:id="23"/>
    <w:p>
      <w:pPr>
        <w:spacing w:after="0"/>
        <w:ind w:left="0"/>
        <w:jc w:val="both"/>
      </w:pPr>
      <w:r>
        <w:rPr>
          <w:rFonts w:ascii="Times New Roman"/>
          <w:b w:val="false"/>
          <w:i w:val="false"/>
          <w:color w:val="000000"/>
          <w:sz w:val="28"/>
        </w:rPr>
        <w:t xml:space="preserve">
      Существенный разрыв между средней и медианной заработной платой также зафиксирован в городах Астане и Алматы, 54,1 % и 46,3 % соответственно. В указанных городах формируется значительный сегмент высококвалифицированной и высокооплачиваемой занятости в сферах государственного управления, финансов, консалтинга, IT, корпоративного управления и международного бизнеса. Одновременно сохраняется масштабная занятость в сфере услуг, торговли, транспорта и общественного питания с более низким уровнем оплаты труда. </w:t>
      </w:r>
    </w:p>
    <w:bookmarkEnd w:id="23"/>
    <w:bookmarkStart w:name="z31" w:id="24"/>
    <w:p>
      <w:pPr>
        <w:spacing w:after="0"/>
        <w:ind w:left="0"/>
        <w:jc w:val="both"/>
      </w:pPr>
      <w:r>
        <w:rPr>
          <w:rFonts w:ascii="Times New Roman"/>
          <w:b w:val="false"/>
          <w:i w:val="false"/>
          <w:color w:val="000000"/>
          <w:sz w:val="28"/>
        </w:rPr>
        <w:t>
      Высокие значения разрыва также характерны для индустриальных регионов области Ұлытау (133760 тенге, 29,2 %), Западно-Казахстанской области (98103 тенге, 35,9 %), Актюбинской области (91671 тенге, 29,7 %) и области Абай (89156 тенге, 30,8 %). В регионах с преимущественно аграрной и сервисной специализацией (Туркестанская, Жамбылская и Алматинская области) разрыв существенно ниже вследствие более однородной структуры занятости и близких уровней оплаты труда.</w:t>
      </w:r>
    </w:p>
    <w:bookmarkEnd w:id="24"/>
    <w:bookmarkStart w:name="z32" w:id="25"/>
    <w:p>
      <w:pPr>
        <w:spacing w:after="0"/>
        <w:ind w:left="0"/>
        <w:jc w:val="both"/>
      </w:pPr>
      <w:r>
        <w:rPr>
          <w:rFonts w:ascii="Times New Roman"/>
          <w:b w:val="false"/>
          <w:i w:val="false"/>
          <w:color w:val="000000"/>
          <w:sz w:val="28"/>
        </w:rPr>
        <w:t>
      В 2019 – 2025 годах в Казахстане реализовывалась политика поэтапного повышения заработной платы гражданских служащих, включая педагогов, медицинских работников, работников культуры, социальной сферы и иных категорий бюджетного сектора, затронувшая порядка 1,2 млн человек. В результате проводимой политики в 2019 году заработная плата повышена на 30 % для низкооплачиваемых работников вспомогательного, основного персонала, а также некоторых работников управленческого персонала бюджетной сферы. С 2020 по 2023 годы заработная плата повысилась в 2 раза за счет ежегодной индексации на 25 %. На сегодняшний день средняя заработная плата учителя средней школы составляет 398 тыс. тенге. В 2023 году дополнительные надбавки также введены для воспитателей дошкольных учреждений и педагогов технического и профессионального образования.</w:t>
      </w:r>
    </w:p>
    <w:bookmarkEnd w:id="25"/>
    <w:bookmarkStart w:name="z33" w:id="26"/>
    <w:p>
      <w:pPr>
        <w:spacing w:after="0"/>
        <w:ind w:left="0"/>
        <w:jc w:val="both"/>
      </w:pPr>
      <w:r>
        <w:rPr>
          <w:rFonts w:ascii="Times New Roman"/>
          <w:b w:val="false"/>
          <w:i w:val="false"/>
          <w:color w:val="000000"/>
          <w:sz w:val="28"/>
        </w:rPr>
        <w:t xml:space="preserve">
      В 2020 году повышена оплата труда работников культуры: для республиканских организаций на 50 %, для организаций на местном уровне –на 35 %. </w:t>
      </w:r>
    </w:p>
    <w:bookmarkEnd w:id="26"/>
    <w:bookmarkStart w:name="z34" w:id="27"/>
    <w:p>
      <w:pPr>
        <w:spacing w:after="0"/>
        <w:ind w:left="0"/>
        <w:jc w:val="both"/>
      </w:pPr>
      <w:r>
        <w:rPr>
          <w:rFonts w:ascii="Times New Roman"/>
          <w:b w:val="false"/>
          <w:i w:val="false"/>
          <w:color w:val="000000"/>
          <w:sz w:val="28"/>
        </w:rPr>
        <w:t xml:space="preserve">
      С 2021 по 2023 годы поэтапно повышена заработная плата медицинских работников: врачам на 30 % и среднему медицинскому персоналу на 20 % ежегодно, в 2024 году – для немедицинских работников на 18 %. В этот же период заработная плата социальных работников была повышена в 2 раза. С 2022 по 2025 годы в 2 раза повышена оплата труда для иных категорий гражданских служащих: бухгалтеры, экономисты, юристы, архивариусы, библиотекари и др. </w:t>
      </w:r>
    </w:p>
    <w:bookmarkEnd w:id="27"/>
    <w:bookmarkStart w:name="z35" w:id="28"/>
    <w:p>
      <w:pPr>
        <w:spacing w:after="0"/>
        <w:ind w:left="0"/>
        <w:jc w:val="both"/>
      </w:pPr>
      <w:r>
        <w:rPr>
          <w:rFonts w:ascii="Times New Roman"/>
          <w:b w:val="false"/>
          <w:i w:val="false"/>
          <w:color w:val="000000"/>
          <w:sz w:val="28"/>
        </w:rPr>
        <w:t>
      Несмотря на повышение заработной платы гражданским служащим, влияние ранее реализованных мер постепенно снижается в условиях инфляции и роста стоимости жизни, вследствие чего сохраняется необходимость дальнейшего повышения оплаты труда отдельных категорий работников бюджетной сферы.</w:t>
      </w:r>
    </w:p>
    <w:bookmarkEnd w:id="28"/>
    <w:bookmarkStart w:name="z36" w:id="29"/>
    <w:p>
      <w:pPr>
        <w:spacing w:after="0"/>
        <w:ind w:left="0"/>
        <w:jc w:val="both"/>
      </w:pPr>
      <w:r>
        <w:rPr>
          <w:rFonts w:ascii="Times New Roman"/>
          <w:b w:val="false"/>
          <w:i w:val="false"/>
          <w:color w:val="000000"/>
          <w:sz w:val="28"/>
        </w:rPr>
        <w:t xml:space="preserve">
      Общая текущая модель экономического роста формирует устойчивый структурный разрыв. В Казахстане сохраняется высокая дифференциация трудовых доходов между отраслями, регионами и категориями работников. </w:t>
      </w:r>
    </w:p>
    <w:bookmarkEnd w:id="29"/>
    <w:bookmarkStart w:name="z37" w:id="30"/>
    <w:p>
      <w:pPr>
        <w:spacing w:after="0"/>
        <w:ind w:left="0"/>
        <w:jc w:val="both"/>
      </w:pPr>
      <w:r>
        <w:rPr>
          <w:rFonts w:ascii="Times New Roman"/>
          <w:b w:val="false"/>
          <w:i w:val="false"/>
          <w:color w:val="000000"/>
          <w:sz w:val="28"/>
        </w:rPr>
        <w:t>
      Комплексным планом предусмотрены меры по сокращению дифференциации заработных плат, а также общее повышение как минимальной заработной платы, так и оплаты труда в отдельных секторах.</w:t>
      </w:r>
    </w:p>
    <w:bookmarkEnd w:id="30"/>
    <w:bookmarkStart w:name="z38" w:id="31"/>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Государственная поддержка предпринимательства</w:t>
      </w:r>
    </w:p>
    <w:bookmarkEnd w:id="31"/>
    <w:bookmarkStart w:name="z39" w:id="32"/>
    <w:p>
      <w:pPr>
        <w:spacing w:after="0"/>
        <w:ind w:left="0"/>
        <w:jc w:val="both"/>
      </w:pPr>
      <w:r>
        <w:rPr>
          <w:rFonts w:ascii="Times New Roman"/>
          <w:b w:val="false"/>
          <w:i w:val="false"/>
          <w:color w:val="000000"/>
          <w:sz w:val="28"/>
        </w:rPr>
        <w:t>
      Государственная поддержка предпринимательства оказывает положительное влияние на рост доходов бизнеса, налоговых поступлений и фонда оплаты труда. Наиболее эффективными финансовыми мерами являются субсидирование микрокредитов микрофинансовых организаций (далее – МФО), грантовое и лизинговое финансирование, которые достигли высоких показателей выполнения обязательств перед государством:</w:t>
      </w:r>
    </w:p>
    <w:bookmarkEnd w:id="32"/>
    <w:bookmarkStart w:name="z40" w:id="33"/>
    <w:p>
      <w:pPr>
        <w:spacing w:after="0"/>
        <w:ind w:left="0"/>
        <w:jc w:val="both"/>
      </w:pPr>
      <w:r>
        <w:rPr>
          <w:rFonts w:ascii="Times New Roman"/>
          <w:b w:val="false"/>
          <w:i w:val="false"/>
          <w:color w:val="000000"/>
          <w:sz w:val="28"/>
        </w:rPr>
        <w:t>
      по росту налоговых поступлений: субсидирование микрокредитов МФО – 199 %, гранты – 96 %, лизинг – 257 %;</w:t>
      </w:r>
    </w:p>
    <w:bookmarkEnd w:id="33"/>
    <w:bookmarkStart w:name="z41" w:id="34"/>
    <w:p>
      <w:pPr>
        <w:spacing w:after="0"/>
        <w:ind w:left="0"/>
        <w:jc w:val="both"/>
      </w:pPr>
      <w:r>
        <w:rPr>
          <w:rFonts w:ascii="Times New Roman"/>
          <w:b w:val="false"/>
          <w:i w:val="false"/>
          <w:color w:val="000000"/>
          <w:sz w:val="28"/>
        </w:rPr>
        <w:t>
      по росту доходов: субсидирование микрокредитов МФО – 230 %, гранты – 400 %, лизинг – 213 %;</w:t>
      </w:r>
    </w:p>
    <w:bookmarkEnd w:id="34"/>
    <w:bookmarkStart w:name="z42" w:id="35"/>
    <w:p>
      <w:pPr>
        <w:spacing w:after="0"/>
        <w:ind w:left="0"/>
        <w:jc w:val="both"/>
      </w:pPr>
      <w:r>
        <w:rPr>
          <w:rFonts w:ascii="Times New Roman"/>
          <w:b w:val="false"/>
          <w:i w:val="false"/>
          <w:color w:val="000000"/>
          <w:sz w:val="28"/>
        </w:rPr>
        <w:t>
      по росту количества работников: субсидирование микрокредитов МФО – 19 %, гранты – 38 %, лизинг – 25 %;</w:t>
      </w:r>
    </w:p>
    <w:bookmarkEnd w:id="35"/>
    <w:bookmarkStart w:name="z43" w:id="36"/>
    <w:p>
      <w:pPr>
        <w:spacing w:after="0"/>
        <w:ind w:left="0"/>
        <w:jc w:val="both"/>
      </w:pPr>
      <w:r>
        <w:rPr>
          <w:rFonts w:ascii="Times New Roman"/>
          <w:b w:val="false"/>
          <w:i w:val="false"/>
          <w:color w:val="000000"/>
          <w:sz w:val="28"/>
        </w:rPr>
        <w:t>
      по росту производительности труда: субсидирование микрокредитов МФО – 348 %, гранты – 157 %, лизинг – 270 %;</w:t>
      </w:r>
    </w:p>
    <w:bookmarkEnd w:id="36"/>
    <w:bookmarkStart w:name="z44" w:id="37"/>
    <w:p>
      <w:pPr>
        <w:spacing w:after="0"/>
        <w:ind w:left="0"/>
        <w:jc w:val="both"/>
      </w:pPr>
      <w:r>
        <w:rPr>
          <w:rFonts w:ascii="Times New Roman"/>
          <w:b w:val="false"/>
          <w:i w:val="false"/>
          <w:color w:val="000000"/>
          <w:sz w:val="28"/>
        </w:rPr>
        <w:t>
      по росту фонда оплаты труда: субсидирование микрокредитов МФО – 379 %, гранты – 231 %, лизинг – 144 %.</w:t>
      </w:r>
    </w:p>
    <w:bookmarkEnd w:id="37"/>
    <w:bookmarkStart w:name="z45" w:id="38"/>
    <w:p>
      <w:pPr>
        <w:spacing w:after="0"/>
        <w:ind w:left="0"/>
        <w:jc w:val="both"/>
      </w:pPr>
      <w:r>
        <w:rPr>
          <w:rFonts w:ascii="Times New Roman"/>
          <w:b w:val="false"/>
          <w:i w:val="false"/>
          <w:color w:val="000000"/>
          <w:sz w:val="28"/>
        </w:rPr>
        <w:t>
      Вместе с тем эффект по занятости и производительности неоднороден, а в ряде отраслей, включая агропромышленный комплекс (далее – АПК), сохраняется низкий уровень оплаты труда.</w:t>
      </w:r>
    </w:p>
    <w:bookmarkEnd w:id="38"/>
    <w:bookmarkStart w:name="z46" w:id="39"/>
    <w:p>
      <w:pPr>
        <w:spacing w:after="0"/>
        <w:ind w:left="0"/>
        <w:jc w:val="both"/>
      </w:pPr>
      <w:r>
        <w:rPr>
          <w:rFonts w:ascii="Times New Roman"/>
          <w:b w:val="false"/>
          <w:i w:val="false"/>
          <w:color w:val="000000"/>
          <w:sz w:val="28"/>
        </w:rPr>
        <w:t>
      При этом со стороны бизнеса должны исполняться не только налоговые обязательства, связанные с получением государственной поддержки, но и обязательства по улучшению условий труда и повышению доходов работников.</w:t>
      </w:r>
    </w:p>
    <w:bookmarkEnd w:id="39"/>
    <w:bookmarkStart w:name="z47" w:id="40"/>
    <w:p>
      <w:pPr>
        <w:spacing w:after="0"/>
        <w:ind w:left="0"/>
        <w:jc w:val="both"/>
      </w:pPr>
      <w:r>
        <w:rPr>
          <w:rFonts w:ascii="Times New Roman"/>
          <w:b w:val="false"/>
          <w:i w:val="false"/>
          <w:color w:val="000000"/>
          <w:sz w:val="28"/>
        </w:rPr>
        <w:t>
      В этой связи целесообразны усиление адресности мер поддержки и внедрение встречных обязательств бизнеса, включая повышение заработной платы, создание качественных рабочих мест, подготовку кадров и повышение производительности труда. Дополнительно необходимо обеспечить цифровую интеграцию сервисов мониторинга (Baqylauda) для повышения прозрачности, контроля и результативности мер поддержки.</w:t>
      </w:r>
    </w:p>
    <w:bookmarkEnd w:id="40"/>
    <w:bookmarkStart w:name="z48" w:id="41"/>
    <w:p>
      <w:pPr>
        <w:spacing w:after="0"/>
        <w:ind w:left="0"/>
        <w:jc w:val="both"/>
      </w:pPr>
      <w:r>
        <w:rPr>
          <w:rFonts w:ascii="Times New Roman"/>
          <w:b w:val="false"/>
          <w:i w:val="false"/>
          <w:color w:val="000000"/>
          <w:sz w:val="28"/>
        </w:rPr>
        <w:t>
      Предлагаемые механизмы:</w:t>
      </w:r>
    </w:p>
    <w:bookmarkEnd w:id="41"/>
    <w:bookmarkStart w:name="z49" w:id="42"/>
    <w:p>
      <w:pPr>
        <w:spacing w:after="0"/>
        <w:ind w:left="0"/>
        <w:jc w:val="both"/>
      </w:pPr>
      <w:r>
        <w:rPr>
          <w:rFonts w:ascii="Times New Roman"/>
          <w:b w:val="false"/>
          <w:i w:val="false"/>
          <w:color w:val="000000"/>
          <w:sz w:val="28"/>
        </w:rPr>
        <w:t>
      установление обязательного минимального уровня медианной заработной платы у получателей субсидий (например, не ниже медианы по региону либо не ниже коэффициента к минимальной заработной плате);</w:t>
      </w:r>
    </w:p>
    <w:bookmarkEnd w:id="42"/>
    <w:bookmarkStart w:name="z50" w:id="43"/>
    <w:p>
      <w:pPr>
        <w:spacing w:after="0"/>
        <w:ind w:left="0"/>
        <w:jc w:val="both"/>
      </w:pPr>
      <w:r>
        <w:rPr>
          <w:rFonts w:ascii="Times New Roman"/>
          <w:b w:val="false"/>
          <w:i w:val="false"/>
          <w:color w:val="000000"/>
          <w:sz w:val="28"/>
        </w:rPr>
        <w:t>
      поэтапный рост медианной заработной платы как условие сохранения доступа к субсидиям и льготному финансированию;</w:t>
      </w:r>
    </w:p>
    <w:bookmarkEnd w:id="43"/>
    <w:bookmarkStart w:name="z51" w:id="44"/>
    <w:p>
      <w:pPr>
        <w:spacing w:after="0"/>
        <w:ind w:left="0"/>
        <w:jc w:val="both"/>
      </w:pPr>
      <w:r>
        <w:rPr>
          <w:rFonts w:ascii="Times New Roman"/>
          <w:b w:val="false"/>
          <w:i w:val="false"/>
          <w:color w:val="000000"/>
          <w:sz w:val="28"/>
        </w:rPr>
        <w:t>
      контроль выполнения обязательства по медиане, а не по средней заработной плате.</w:t>
      </w:r>
    </w:p>
    <w:bookmarkEnd w:id="44"/>
    <w:p>
      <w:pPr>
        <w:spacing w:after="0"/>
        <w:ind w:left="0"/>
        <w:jc w:val="both"/>
      </w:pPr>
      <w:r>
        <w:rPr>
          <w:rFonts w:ascii="Times New Roman"/>
          <w:b/>
          <w:i w:val="false"/>
          <w:color w:val="000000"/>
          <w:sz w:val="28"/>
        </w:rPr>
        <w:t>2. Производительность труда и качество рабочих мест</w:t>
      </w:r>
    </w:p>
    <w:bookmarkStart w:name="z53" w:id="45"/>
    <w:p>
      <w:pPr>
        <w:spacing w:after="0"/>
        <w:ind w:left="0"/>
        <w:jc w:val="both"/>
      </w:pPr>
      <w:r>
        <w:rPr>
          <w:rFonts w:ascii="Times New Roman"/>
          <w:b w:val="false"/>
          <w:i w:val="false"/>
          <w:color w:val="000000"/>
          <w:sz w:val="28"/>
        </w:rPr>
        <w:t xml:space="preserve">
      Следствием роста экономики стало положительное увеличение производительности труда, по предварительным данным за 2025 год достигшая 14,8 млн тенге на одного занятого, или 28,4 тыс. долларов США, при номинальном росте в тенговом эквиваленте на 15,1 % к уровню 2024 года и в долларовом выражении на 3,6 % к уровню предыдущего периода. </w:t>
      </w:r>
    </w:p>
    <w:bookmarkEnd w:id="45"/>
    <w:bookmarkStart w:name="z54" w:id="46"/>
    <w:p>
      <w:pPr>
        <w:spacing w:after="0"/>
        <w:ind w:left="0"/>
        <w:jc w:val="both"/>
      </w:pPr>
      <w:r>
        <w:rPr>
          <w:rFonts w:ascii="Times New Roman"/>
          <w:b w:val="false"/>
          <w:i w:val="false"/>
          <w:color w:val="000000"/>
          <w:sz w:val="28"/>
        </w:rPr>
        <w:t>
      Для сопоставления производительность труда в странах Европейского Союза (далее – ЕС) по итогам 2024 года составила 86,7 тыс. долларов США на одного занятого, что в 3,2 раза превышает уровень Казахстана, но одновременно является минимальным разрывом за последние десять лет.</w:t>
      </w:r>
    </w:p>
    <w:bookmarkEnd w:id="46"/>
    <w:bookmarkStart w:name="z55" w:id="47"/>
    <w:p>
      <w:pPr>
        <w:spacing w:after="0"/>
        <w:ind w:left="0"/>
        <w:jc w:val="both"/>
      </w:pPr>
      <w:r>
        <w:rPr>
          <w:rFonts w:ascii="Times New Roman"/>
          <w:b w:val="false"/>
          <w:i w:val="false"/>
          <w:color w:val="000000"/>
          <w:sz w:val="28"/>
        </w:rPr>
        <w:t>
      В горнодобывающей отрасли производительность составляет 123,1 тыс. долларов США. Тогда как в обрабатывающей промышленности разрыв выражен существенно слабее: 57,7 тыс. долларов США в Казахстане против 106,4 тыс. долларов США в ЕС, или в 1,9 раза ниже уровня ЕС. Данное соотношение является минимальным за последние десять лет. Для сопоставления в 2016 году отставание в обрабатывающем секторе достигало в 2,9 раза. Значительная часть производительности обрабатывающей промышленности Казахстана формируется за счет металлургии, тогда как в структуре обрабатывающего сектора ЕС ее доля существенно ниже.</w:t>
      </w:r>
    </w:p>
    <w:bookmarkEnd w:id="47"/>
    <w:bookmarkStart w:name="z56" w:id="48"/>
    <w:p>
      <w:pPr>
        <w:spacing w:after="0"/>
        <w:ind w:left="0"/>
        <w:jc w:val="both"/>
      </w:pPr>
      <w:r>
        <w:rPr>
          <w:rFonts w:ascii="Times New Roman"/>
          <w:b w:val="false"/>
          <w:i w:val="false"/>
          <w:color w:val="000000"/>
          <w:sz w:val="28"/>
        </w:rPr>
        <w:t>
      В сельском хозяйстве Казахстана производительность труда в 2024 году составила 10,8 тыс. долларов США на одного занятого, тогда как в странах ЕС показатель достиг 48,3 тыс. долларов США, что соответствует отставанию в 4,5 раза.</w:t>
      </w:r>
    </w:p>
    <w:bookmarkEnd w:id="48"/>
    <w:bookmarkStart w:name="z57" w:id="49"/>
    <w:p>
      <w:pPr>
        <w:spacing w:after="0"/>
        <w:ind w:left="0"/>
        <w:jc w:val="both"/>
      </w:pPr>
      <w:r>
        <w:rPr>
          <w:rFonts w:ascii="Times New Roman"/>
          <w:b w:val="false"/>
          <w:i w:val="false"/>
          <w:color w:val="000000"/>
          <w:sz w:val="28"/>
        </w:rPr>
        <w:t>
      По официальным данным государственной статистики занятость в сельском хозяйстве по итогам 1 квартала 2026 года составила 10,2 %, что позиционирует его как один из секторов, обеспечивающих трудоустройство населения. При этом значительная часть сельчан формально числится "самозанятыми", но фактически не имеет стабильного дохода вне сезона. С учетом этого реальный уровень недозанятости в сельской местности оценивается экспертами значительно выше, если учитывать, что численность самозанятых в сельской местности составляет порядка 1 млн человек или 31 % от занятого населения в сельской местности. А официальная сезонная занятость и занятость по договору на определенный срок в 2025 году в сельской местности составили порядка 6 %.</w:t>
      </w:r>
    </w:p>
    <w:bookmarkEnd w:id="49"/>
    <w:bookmarkStart w:name="z58" w:id="50"/>
    <w:p>
      <w:pPr>
        <w:spacing w:after="0"/>
        <w:ind w:left="0"/>
        <w:jc w:val="both"/>
      </w:pPr>
      <w:r>
        <w:rPr>
          <w:rFonts w:ascii="Times New Roman"/>
          <w:b w:val="false"/>
          <w:i w:val="false"/>
          <w:color w:val="000000"/>
          <w:sz w:val="28"/>
        </w:rPr>
        <w:t>
      По данным ряда исследований в области экономики развития на отдельных этапах перехода от низкого к более высокому уровню дохода может наблюдаться рост дифференциации доходов населения. Такая логика близка к гипотезе, согласно которой в процессе структурной трансформации экономики выгоды от роста производительности, инвестиций и развития новых отраслей первоначально могут распределяться неравномерно между секторами, регионами и группами населения. Однако данный процесс не является универсальным или автоматически гарантированным сценарием. Динамика неравенства в значительной степени зависит от доступности образования, структуры занятости, качества рабочих мест, налогово-бюджетных механизмов и мер по расширению экономических возможностей населения.</w:t>
      </w:r>
    </w:p>
    <w:bookmarkEnd w:id="50"/>
    <w:bookmarkStart w:name="z59" w:id="51"/>
    <w:p>
      <w:pPr>
        <w:spacing w:after="0"/>
        <w:ind w:left="0"/>
        <w:jc w:val="both"/>
      </w:pPr>
      <w:r>
        <w:rPr>
          <w:rFonts w:ascii="Times New Roman"/>
          <w:b w:val="false"/>
          <w:i w:val="false"/>
          <w:color w:val="000000"/>
          <w:sz w:val="28"/>
        </w:rPr>
        <w:t>
      Таким образом, сложившаяся структура роста ограничивает потенциал дальнейшего сближения с развитыми экономиками. В этой связи для устойчивого повышения производительности в средне- и долгосрочной перспективе требуется расширение источников роста за счет торгуемых и несырьевых отраслей, способных обеспечить более равномерное распространение эффектов роста по экономике.</w:t>
      </w:r>
    </w:p>
    <w:bookmarkEnd w:id="51"/>
    <w:bookmarkStart w:name="z60" w:id="52"/>
    <w:p>
      <w:pPr>
        <w:spacing w:after="0"/>
        <w:ind w:left="0"/>
        <w:jc w:val="both"/>
      </w:pPr>
      <w:r>
        <w:rPr>
          <w:rFonts w:ascii="Times New Roman"/>
          <w:b w:val="false"/>
          <w:i w:val="false"/>
          <w:color w:val="000000"/>
          <w:sz w:val="28"/>
        </w:rPr>
        <w:t>
      Существенной проблемой также остается высокая доля нестабильной и низкопродуктивной занятости, особенно в сельской местности, где значительная часть населения зависит от сезонных работ и не имеет устойчивого источника дохода в течение года. Дополнительным фактором выступает высокая доля самозанятых, значительная часть которых фактически относится к категории скрытой недозанятости.</w:t>
      </w:r>
    </w:p>
    <w:bookmarkEnd w:id="52"/>
    <w:bookmarkStart w:name="z61" w:id="53"/>
    <w:p>
      <w:pPr>
        <w:spacing w:after="0"/>
        <w:ind w:left="0"/>
        <w:jc w:val="both"/>
      </w:pPr>
      <w:r>
        <w:rPr>
          <w:rFonts w:ascii="Times New Roman"/>
          <w:b w:val="false"/>
          <w:i w:val="false"/>
          <w:color w:val="000000"/>
          <w:sz w:val="28"/>
        </w:rPr>
        <w:t>
      В этой связи актуальной задачей государственной политики является создание качественных рабочих мест, обеспечивающих стабильную занятость, достойный уровень оплаты труда, социальную защищенность и безопасные условия труда, прежде всего в несырьевых и высокопроизводительных секторах экономики.</w:t>
      </w:r>
    </w:p>
    <w:bookmarkEnd w:id="53"/>
    <w:bookmarkStart w:name="z62" w:id="54"/>
    <w:p>
      <w:pPr>
        <w:spacing w:after="0"/>
        <w:ind w:left="0"/>
        <w:jc w:val="both"/>
      </w:pPr>
      <w:r>
        <w:rPr>
          <w:rFonts w:ascii="Times New Roman"/>
          <w:b w:val="false"/>
          <w:i w:val="false"/>
          <w:color w:val="000000"/>
          <w:sz w:val="28"/>
        </w:rPr>
        <w:t>
      Согласно определению Концепции развития рынка труда на 2024 – 2029 годы "качественное рабочее место" характеризуется следующим образом:</w:t>
      </w:r>
    </w:p>
    <w:bookmarkEnd w:id="54"/>
    <w:bookmarkStart w:name="z63" w:id="55"/>
    <w:p>
      <w:pPr>
        <w:spacing w:after="0"/>
        <w:ind w:left="0"/>
        <w:jc w:val="both"/>
      </w:pPr>
      <w:r>
        <w:rPr>
          <w:rFonts w:ascii="Times New Roman"/>
          <w:b w:val="false"/>
          <w:i w:val="false"/>
          <w:color w:val="000000"/>
          <w:sz w:val="28"/>
        </w:rPr>
        <w:t>
      постоянная занятость, то есть работник должен осуществлять трудовую деятельность от 6 месяцев и более;</w:t>
      </w:r>
    </w:p>
    <w:bookmarkEnd w:id="55"/>
    <w:bookmarkStart w:name="z64" w:id="56"/>
    <w:p>
      <w:pPr>
        <w:spacing w:after="0"/>
        <w:ind w:left="0"/>
        <w:jc w:val="both"/>
      </w:pPr>
      <w:r>
        <w:rPr>
          <w:rFonts w:ascii="Times New Roman"/>
          <w:b w:val="false"/>
          <w:i w:val="false"/>
          <w:color w:val="000000"/>
          <w:sz w:val="28"/>
        </w:rPr>
        <w:t>
      уровень оплаты труда равен либо больше медианной заработной платы в регионе (для абсорбирования возникших шоков в экономике медианная зарплата в регионах подлежит пересмотру каждые 6 месяцев);</w:t>
      </w:r>
    </w:p>
    <w:bookmarkEnd w:id="56"/>
    <w:bookmarkStart w:name="z65" w:id="57"/>
    <w:p>
      <w:pPr>
        <w:spacing w:after="0"/>
        <w:ind w:left="0"/>
        <w:jc w:val="both"/>
      </w:pPr>
      <w:r>
        <w:rPr>
          <w:rFonts w:ascii="Times New Roman"/>
          <w:b w:val="false"/>
          <w:i w:val="false"/>
          <w:color w:val="000000"/>
          <w:sz w:val="28"/>
        </w:rPr>
        <w:t>
      обеспечение пакетом социальной защиты – наличие ежемесячных обязательных пенсионных взносов, социальных отчислений в Государственный фонд социального страхования и Государственный фонд медицинского страхования, наличие оплачиваемого отпуска;</w:t>
      </w:r>
    </w:p>
    <w:bookmarkEnd w:id="57"/>
    <w:bookmarkStart w:name="z66" w:id="58"/>
    <w:p>
      <w:pPr>
        <w:spacing w:after="0"/>
        <w:ind w:left="0"/>
        <w:jc w:val="both"/>
      </w:pPr>
      <w:r>
        <w:rPr>
          <w:rFonts w:ascii="Times New Roman"/>
          <w:b w:val="false"/>
          <w:i w:val="false"/>
          <w:color w:val="000000"/>
          <w:sz w:val="28"/>
        </w:rPr>
        <w:t>
      безопасная рабочая среда (для оценки безопасности рабочей среды предприятия используется методика сравнения количества производственных травм и смертей относительно рабочих мест в данной отрасли).</w:t>
      </w:r>
    </w:p>
    <w:bookmarkEnd w:id="58"/>
    <w:p>
      <w:pPr>
        <w:spacing w:after="0"/>
        <w:ind w:left="0"/>
        <w:jc w:val="both"/>
      </w:pPr>
      <w:r>
        <w:rPr>
          <w:rFonts w:ascii="Times New Roman"/>
          <w:b/>
          <w:i w:val="false"/>
          <w:color w:val="000000"/>
          <w:sz w:val="28"/>
        </w:rPr>
        <w:t>3. Развитие человеческого капитала и повышение занятости</w:t>
      </w:r>
    </w:p>
    <w:bookmarkStart w:name="z68" w:id="59"/>
    <w:p>
      <w:pPr>
        <w:spacing w:after="0"/>
        <w:ind w:left="0"/>
        <w:jc w:val="both"/>
      </w:pPr>
      <w:r>
        <w:rPr>
          <w:rFonts w:ascii="Times New Roman"/>
          <w:b w:val="false"/>
          <w:i w:val="false"/>
          <w:color w:val="000000"/>
          <w:sz w:val="28"/>
        </w:rPr>
        <w:t xml:space="preserve">
      Развитие человеческого капитала Казахстана демонстрирует в целом положительную динамику, что отражается как в международных показателях человеческого развития, так и в структуре национальных трудовых ресурсов. Согласно Индексу человеческого развития (далее – ИЧР) ПРООН Казахстан остается в группе стран с очень высоким уровнем человеческого развития, занимая 60-е место из 193 стран и территорий с показателем ИЧР 0,837, что означает рост на 21,5 % по сравнению с 1990 годом. Вместе с тем снижение ИЧР, скорректированного с учетом неравенства, до 0,766 или потеря 8,5 % показывают, что неравенство продолжает снижать реальный уровень человеческого развития. На данном фоне возрастная структура трудовых ресурсов Казахстана сохраняет относительно устойчивый характер, при котором основная нагрузка приходится на население среднего возраста: 35 – 44 лет (28 %), вторая группа лица 45 – 54 лет (20 %), третья группа лиц 29 – 34 лет (20 % – 19 %), (рисунок 1). </w:t>
      </w:r>
    </w:p>
    <w:bookmarkEnd w:id="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1. Возрастная структура трудовых ресурсов Казахстана</w:t>
      </w:r>
    </w:p>
    <w:bookmarkStart w:name="z71" w:id="60"/>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 БНС АСПиР</w:t>
      </w:r>
    </w:p>
    <w:bookmarkEnd w:id="60"/>
    <w:bookmarkStart w:name="z72" w:id="61"/>
    <w:p>
      <w:pPr>
        <w:spacing w:after="0"/>
        <w:ind w:left="0"/>
        <w:jc w:val="both"/>
      </w:pPr>
      <w:r>
        <w:rPr>
          <w:rFonts w:ascii="Times New Roman"/>
          <w:b w:val="false"/>
          <w:i w:val="false"/>
          <w:color w:val="000000"/>
          <w:sz w:val="28"/>
        </w:rPr>
        <w:t>
      В целом прогресс Казахстана в сфере человеческого развития поддерживается относительно сильной базой трудовых ресурсов, однако сохраняющееся неравенство и структурные изменения в возрастном составе рабочей силы указывают на необходимость более устойчивой и ориентированной на развитие навыков политики, особенно в условиях замедления глобального развития, демографических сдвигов и растущей роли искусственного интеллекта в будущей занятости и производительности.</w:t>
      </w:r>
    </w:p>
    <w:bookmarkEnd w:id="61"/>
    <w:bookmarkStart w:name="z73" w:id="62"/>
    <w:p>
      <w:pPr>
        <w:spacing w:after="0"/>
        <w:ind w:left="0"/>
        <w:jc w:val="both"/>
      </w:pPr>
      <w:r>
        <w:rPr>
          <w:rFonts w:ascii="Times New Roman"/>
          <w:b w:val="false"/>
          <w:i w:val="false"/>
          <w:color w:val="000000"/>
          <w:sz w:val="28"/>
        </w:rPr>
        <w:t xml:space="preserve">
      По состоянию на 2025 год 28 % населения Казахстана составляют лица в возрасте от 15 до 35 лет, а также дети и подростки – 29 % (0-18 лет). Данная структура формирует значительный демографический потенциал устойчивого социально-экономического развития страны. </w:t>
      </w:r>
    </w:p>
    <w:bookmarkEnd w:id="62"/>
    <w:bookmarkStart w:name="z74" w:id="63"/>
    <w:p>
      <w:pPr>
        <w:spacing w:after="0"/>
        <w:ind w:left="0"/>
        <w:jc w:val="both"/>
      </w:pPr>
      <w:r>
        <w:rPr>
          <w:rFonts w:ascii="Times New Roman"/>
          <w:b w:val="false"/>
          <w:i w:val="false"/>
          <w:color w:val="000000"/>
          <w:sz w:val="28"/>
        </w:rPr>
        <w:t>
      Ключевыми вызовами остаются несоответствие навыков требованиям современной экономики и высокие барьеры входа на рынок труда. Образовательные программы не всегда быстро адаптируются к цифровизации, автоматизации и распространению искусственного интеллекта. Глобальный разрыв между навыками молодежи и потребностями работодателей стал одним из факторов снижения молодежной занятости на 12 % за последние два десятилетия</w:t>
      </w:r>
      <w:r>
        <w:rPr>
          <w:rFonts w:ascii="Times New Roman"/>
          <w:b w:val="false"/>
          <w:i w:val="false"/>
          <w:color w:val="000000"/>
          <w:vertAlign w:val="superscript"/>
        </w:rPr>
        <w:t>1</w:t>
      </w:r>
      <w:r>
        <w:rPr>
          <w:rFonts w:ascii="Times New Roman"/>
          <w:b w:val="false"/>
          <w:i w:val="false"/>
          <w:color w:val="000000"/>
          <w:sz w:val="28"/>
        </w:rPr>
        <w:t>. Кроме того, работодатели чаще предпочитают специалистов с опытом работы. Согласно исследованию, основанному на опросе 11250 работников и анализе 126 млн вакансий по миру, количество вакансий начального уровня сократилось на 29 процентных пунктов с января 2024 года</w:t>
      </w:r>
      <w:r>
        <w:rPr>
          <w:rFonts w:ascii="Times New Roman"/>
          <w:b w:val="false"/>
          <w:i w:val="false"/>
          <w:color w:val="000000"/>
          <w:vertAlign w:val="superscript"/>
        </w:rPr>
        <w:t>2</w:t>
      </w:r>
      <w:r>
        <w:rPr>
          <w:rFonts w:ascii="Times New Roman"/>
          <w:b w:val="false"/>
          <w:i w:val="false"/>
          <w:color w:val="000000"/>
          <w:sz w:val="28"/>
        </w:rPr>
        <w:t>. Это означает, что даже при наличии дефицита кадров молодым специалистам становится сложнее найти первую работу, поскольку число стартовых позиций снижается, а конкуренция за них растет.</w:t>
      </w:r>
    </w:p>
    <w:bookmarkEnd w:id="63"/>
    <w:bookmarkStart w:name="z75" w:id="64"/>
    <w:p>
      <w:pPr>
        <w:spacing w:after="0"/>
        <w:ind w:left="0"/>
        <w:jc w:val="both"/>
      </w:pPr>
      <w:r>
        <w:rPr>
          <w:rFonts w:ascii="Times New Roman"/>
          <w:b w:val="false"/>
          <w:i w:val="false"/>
          <w:color w:val="000000"/>
          <w:sz w:val="28"/>
        </w:rPr>
        <w:t>
      Согласно данным Всемирного экономического форума помимо цифровых компетенций сегодня особое внимание уделяется навыкам лидерства, критического мышления, экологическим ("зеленым") компетенциям и устойчивости. По прогнозам к 2030 году около 22 % рабочих мест в мире подвергнутся трансформации или исчезнут. В совместном докладе Всемирного экономического форума и PwC отмечается, что инвестиции в повышение квалификации способны увеличить мировой валовой внутренний продукт (далее – ВВП) на 6,5 трлн долларов США к 2030 году, это на 1,2 трлн долларов США больше по сравнению с базовым сценарием развития. Вместе с тем по данным платформы Career Enbek лишь 4–5 % казахстанцев проходят профессиональные или развивающие курсы. В то время как в странах Организации экономического сотрудничества и развития (далее – ОЭСР) данный показатель равен 40 %.</w:t>
      </w:r>
    </w:p>
    <w:bookmarkEnd w:id="64"/>
    <w:bookmarkStart w:name="z76" w:id="65"/>
    <w:p>
      <w:pPr>
        <w:spacing w:after="0"/>
        <w:ind w:left="0"/>
        <w:jc w:val="both"/>
      </w:pPr>
      <w:r>
        <w:rPr>
          <w:rFonts w:ascii="Times New Roman"/>
          <w:b w:val="false"/>
          <w:i w:val="false"/>
          <w:color w:val="000000"/>
          <w:sz w:val="28"/>
        </w:rPr>
        <w:t>
      Проведенный анализ подтверждает важность учета структурного баланса в трудовых ресурсах страны, в частности для более устойчивого управления молодым поколением и работниками от 50 лет выше. Мерами для сглаживания данной тенденции являются подготовка кадров с учетом динамики потребности рынка труда.</w:t>
      </w:r>
    </w:p>
    <w:bookmarkEnd w:id="65"/>
    <w:bookmarkStart w:name="z77" w:id="6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Структура занятости. </w:t>
      </w:r>
      <w:r>
        <w:rPr>
          <w:rFonts w:ascii="Times New Roman"/>
          <w:b w:val="false"/>
          <w:i w:val="false"/>
          <w:color w:val="000000"/>
          <w:sz w:val="28"/>
        </w:rPr>
        <w:t>В 2022 – 2025 годах структура занятости в Казахстане характеризовалась высокой устойчивостью и сравнительно медленными структурными изменениями. Основная доля занятых традиционно приходится на торговлю (среднее за период 16,7 %), образование (13 %), промышленность (12,5 %) и сельское хозяйство (12,1 %), что отражает смешанную структуру занятости. Доля занятых в образовании постепенно увеличивалась с 12,7 % до 13,2 %, тогда как в сельском хозяйстве снизилась с 12,4 % до 10,6 %.</w:t>
      </w:r>
    </w:p>
    <w:bookmarkEnd w:id="66"/>
    <w:bookmarkStart w:name="z78" w:id="67"/>
    <w:p>
      <w:pPr>
        <w:spacing w:after="0"/>
        <w:ind w:left="0"/>
        <w:jc w:val="both"/>
      </w:pPr>
      <w:r>
        <w:rPr>
          <w:rFonts w:ascii="Times New Roman"/>
          <w:b w:val="false"/>
          <w:i w:val="false"/>
          <w:color w:val="000000"/>
          <w:sz w:val="28"/>
        </w:rPr>
        <w:t>
      На рынке труда сохраняется выраженная гендерная и территориальная дифференциация. Мужчины преимущественно заняты в промышленности, сельском хозяйстве, строительстве и транспорте, тогда как женщины — в образовании, торговле и здравоохранении. В городах занятость концентрируется преимущественно в торговле (19,4 %) и промышленности (14,3 %), а в сельской местности – сельском хозяйстве, несмотря на постепенное снижение его доли с 26,4 % в 2022 году до 22,2 % в 2025 году, и торговле (12,4 %). Одновременно наблюдается увеличение доли образования с 15,4 % до 16,1 % в сельской занятости.</w:t>
      </w:r>
    </w:p>
    <w:bookmarkEnd w:id="67"/>
    <w:bookmarkStart w:name="z79" w:id="68"/>
    <w:p>
      <w:pPr>
        <w:spacing w:after="0"/>
        <w:ind w:left="0"/>
        <w:jc w:val="both"/>
      </w:pPr>
      <w:r>
        <w:rPr>
          <w:rFonts w:ascii="Times New Roman"/>
          <w:b w:val="false"/>
          <w:i w:val="false"/>
          <w:color w:val="000000"/>
          <w:sz w:val="28"/>
        </w:rPr>
        <w:t>
      Возрастная структура занятости остается устойчивой: молодежь преимущественно сосредоточена в торговле и сельском хозяйстве вследствие низкого порога входа и высокой гибкости данных сфер, тогда как старшие возрастные группы — в сельском хозяйстве. Данная структура взаимосвязана с уровнем образования занятого населения. Так, в сельском хозяйстве наблюдается одна из самых низких долей работников с высшим и послевузовским образованием — 26 %, при этом фиксируется наибольшая доля занятых без образования — 22 %. В то же время наиболее высококвалифицированными секторами являются финансовая и страховая деятельность — 73 % и профессиональная, научная деятельность — 69 %.</w:t>
      </w:r>
    </w:p>
    <w:bookmarkEnd w:id="68"/>
    <w:bookmarkStart w:name="z80" w:id="69"/>
    <w:p>
      <w:pPr>
        <w:spacing w:after="0"/>
        <w:ind w:left="0"/>
        <w:jc w:val="both"/>
      </w:pPr>
      <w:r>
        <w:rPr>
          <w:rFonts w:ascii="Times New Roman"/>
          <w:b w:val="false"/>
          <w:i w:val="false"/>
          <w:color w:val="000000"/>
          <w:sz w:val="28"/>
        </w:rPr>
        <w:t xml:space="preserve">
      В Казахстане уровень NEET в 2022 – 2025 годах характеризовался умеренными колебаниями с дальнейшим снижением. В 2022 году доля молодежи, не занятой в сфере труда, образования или профессиональной подготовки, составляла 6,5 %, в 2023 году – 7,3 %, в 2024 – 6,5 %, в 2025 году – 4,6 %, что отражает более благоприятную динамику вовлечения молодежи в занятость, образование и профессиональную подготовку. Согласно данным Международной организации труда (далее – МОТ) NEET остается одним из ключевых индикаторов уязвимости молодежи, поскольку данный индикатор отражает не только безработицу, но и более широкое исключение из занятости, образования и профессиональной подготовки. </w:t>
      </w:r>
    </w:p>
    <w:bookmarkEnd w:id="69"/>
    <w:bookmarkStart w:name="z81" w:id="70"/>
    <w:p>
      <w:pPr>
        <w:spacing w:after="0"/>
        <w:ind w:left="0"/>
        <w:jc w:val="both"/>
      </w:pPr>
      <w:r>
        <w:rPr>
          <w:rFonts w:ascii="Times New Roman"/>
          <w:b w:val="false"/>
          <w:i w:val="false"/>
          <w:color w:val="000000"/>
          <w:sz w:val="28"/>
        </w:rPr>
        <w:t>
      В целом в 2022 – 2025 годах рынок труда Казахстана сохранял сервисно-торговую направленность при постепенном усилении роли социальной сферы. Вместе с тем сохраняются высокая зависимость сельской занятости от аграрного сектора и структурная сегрегация по полу и возрасту, что указывает на необходимость дальнейшей диверсификации занятости, расширения качественных рабочих мест и повышения мобильности рабочей силы.</w:t>
      </w:r>
    </w:p>
    <w:bookmarkEnd w:id="70"/>
    <w:bookmarkStart w:name="z82" w:id="7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Платформенная занятость. </w:t>
      </w:r>
      <w:r>
        <w:rPr>
          <w:rFonts w:ascii="Times New Roman"/>
          <w:b w:val="false"/>
          <w:i w:val="false"/>
          <w:color w:val="000000"/>
          <w:sz w:val="28"/>
        </w:rPr>
        <w:t>В условиях глобальной цифровизации одним из ключевых драйверов совершенствования рынка труда становятся цифровые платформы и гибкие формы занятости. По состоянию на 2025 год около 20 % мировой рабочей силы вовлечено в деятельность через онлайн-платформы. В Казахстане платформенная занятость также приобретает актуальность и с сентября 2024 года получила нормативное закрепление.</w:t>
      </w:r>
    </w:p>
    <w:bookmarkEnd w:id="71"/>
    <w:bookmarkStart w:name="z83" w:id="72"/>
    <w:p>
      <w:pPr>
        <w:spacing w:after="0"/>
        <w:ind w:left="0"/>
        <w:jc w:val="both"/>
      </w:pPr>
      <w:r>
        <w:rPr>
          <w:rFonts w:ascii="Times New Roman"/>
          <w:b w:val="false"/>
          <w:i w:val="false"/>
          <w:color w:val="000000"/>
          <w:sz w:val="28"/>
        </w:rPr>
        <w:t>
      Развитие платформенной занятости создает дополнительные возможности для получения доходов населением и вовлечения граждан в формальный сектор экономики, одновременно способствуя сокращению теневой занятости. За первый год реализации механизма получен положительный фискальный эффект: в бюджет поступило 6,3 млрд тенге, в том числе 1,8 млрд тенге индивидуального подоходного налога и 4,6 млрд тенге социальных платежей. По экспертным оценкам порядка 394 тыс. граждан получают доход через цифровые сервисы и данное направление активно развивается.</w:t>
      </w:r>
    </w:p>
    <w:bookmarkEnd w:id="72"/>
    <w:bookmarkStart w:name="z84" w:id="73"/>
    <w:p>
      <w:pPr>
        <w:spacing w:after="0"/>
        <w:ind w:left="0"/>
        <w:jc w:val="both"/>
      </w:pPr>
      <w:r>
        <w:rPr>
          <w:rFonts w:ascii="Times New Roman"/>
          <w:b w:val="false"/>
          <w:i w:val="false"/>
          <w:color w:val="000000"/>
          <w:sz w:val="28"/>
        </w:rPr>
        <w:t xml:space="preserve">
      Вместе с тем развитие платформенной занятости сопровождается рядом проблемных вопросов, включая нестабильность доходов, ограниченный уровень социальной и страховой защиты, отсутствие прозрачных механизмов разрешения споров и риски односторонних решений со стороны платформ. В этой связи предусмотрены меры по дальнейшему совершенствованию регулирования и формированию дополнительных инструментов поддержки платформенной занятости, направленных на обеспечение баланса интересов работников, платформ и государства. </w:t>
      </w:r>
    </w:p>
    <w:bookmarkEnd w:id="73"/>
    <w:bookmarkStart w:name="z85" w:id="74"/>
    <w:p>
      <w:pPr>
        <w:spacing w:after="0"/>
        <w:ind w:left="0"/>
        <w:jc w:val="both"/>
      </w:pPr>
      <w:r>
        <w:rPr>
          <w:rFonts w:ascii="Times New Roman"/>
          <w:b w:val="false"/>
          <w:i w:val="false"/>
          <w:color w:val="000000"/>
          <w:sz w:val="28"/>
        </w:rPr>
        <w:t>
      4. Доходы населения и продовольственная инфляция</w:t>
      </w:r>
    </w:p>
    <w:bookmarkEnd w:id="74"/>
    <w:bookmarkStart w:name="z86" w:id="75"/>
    <w:p>
      <w:pPr>
        <w:spacing w:after="0"/>
        <w:ind w:left="0"/>
        <w:jc w:val="both"/>
      </w:pPr>
      <w:r>
        <w:rPr>
          <w:rFonts w:ascii="Times New Roman"/>
          <w:b w:val="false"/>
          <w:i w:val="false"/>
          <w:color w:val="000000"/>
          <w:sz w:val="28"/>
        </w:rPr>
        <w:t>
      Среднедушевые номинальные денежные доходы населения по итогам 2025 года составили 238070 тенге, индекс номинальных доходов – 110,2 %, индекс реальных денежных доходов – 98,9 %, что отражает снижение покупательной способности на фоне ценового давления. Доля населения с доходами ниже величины прожиточного минимума по итогам 2025 года сформировалась на уровне 5,0 %.</w:t>
      </w:r>
    </w:p>
    <w:bookmarkEnd w:id="75"/>
    <w:bookmarkStart w:name="z87" w:id="76"/>
    <w:p>
      <w:pPr>
        <w:spacing w:after="0"/>
        <w:ind w:left="0"/>
        <w:jc w:val="both"/>
      </w:pPr>
      <w:r>
        <w:rPr>
          <w:rFonts w:ascii="Times New Roman"/>
          <w:b w:val="false"/>
          <w:i w:val="false"/>
          <w:color w:val="000000"/>
          <w:sz w:val="28"/>
        </w:rPr>
        <w:t>
      Основной вклад в формирование трудовых доходов обеспечивается заработной платой по найму: доля выросла с 61,9 % в 2019 году до 66,6 % в 2025 году. Доходы от работы не по найму с 2019 года снижались и достигли 8,3 % в 2025 году, что свидетельствует о замедленном темпе расширения предпринимательской и самостоятельной занятости как источника доходов населения.</w:t>
      </w:r>
    </w:p>
    <w:bookmarkEnd w:id="76"/>
    <w:bookmarkStart w:name="z88" w:id="77"/>
    <w:p>
      <w:pPr>
        <w:spacing w:after="0"/>
        <w:ind w:left="0"/>
        <w:jc w:val="both"/>
      </w:pPr>
      <w:r>
        <w:rPr>
          <w:rFonts w:ascii="Times New Roman"/>
          <w:b w:val="false"/>
          <w:i w:val="false"/>
          <w:color w:val="000000"/>
          <w:sz w:val="28"/>
        </w:rPr>
        <w:t>
      Доля социальных трансфертов в структуре доходов в 2019 году: пенсия составляла 20,3 %, в 2025 году снизилась до 18,0 %, пособия сохраняли стабильную долю на уровне около 3,7 – 3,9 %, адресная социальная и жилая помощь составляют незначительную долю около 0,1 %, тогда как доля стипендии постепенно увеличилась и в 2025 году составила 0,5 %, материальная помощь от родственников и знакомых, алименты в период с 2019 года снизились на 0,8 процентных пункта и составили 1,9 % в 2025 году, (рисунок 2).</w:t>
      </w:r>
    </w:p>
    <w:bookmarkEnd w:id="77"/>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color w:val="000000"/>
          <w:sz w:val="28"/>
        </w:rPr>
        <w:t>https</w:t>
      </w:r>
      <w:r>
        <w:rPr>
          <w:rFonts w:ascii="Times New Roman"/>
          <w:b w:val="false"/>
          <w:i/>
          <w:color w:val="000000"/>
          <w:sz w:val="28"/>
        </w:rPr>
        <w:t>://</w:t>
      </w:r>
      <w:r>
        <w:rPr>
          <w:rFonts w:ascii="Times New Roman"/>
          <w:b w:val="false"/>
          <w:i/>
          <w:color w:val="000000"/>
          <w:sz w:val="28"/>
        </w:rPr>
        <w:t>www</w:t>
      </w:r>
      <w:r>
        <w:rPr>
          <w:rFonts w:ascii="Times New Roman"/>
          <w:b w:val="false"/>
          <w:i/>
          <w:color w:val="000000"/>
          <w:sz w:val="28"/>
        </w:rPr>
        <w:t>.</w:t>
      </w:r>
      <w:r>
        <w:rPr>
          <w:rFonts w:ascii="Times New Roman"/>
          <w:b w:val="false"/>
          <w:i/>
          <w:color w:val="000000"/>
          <w:sz w:val="28"/>
        </w:rPr>
        <w:t>unicef</w:t>
      </w:r>
      <w:r>
        <w:rPr>
          <w:rFonts w:ascii="Times New Roman"/>
          <w:b w:val="false"/>
          <w:i/>
          <w:color w:val="000000"/>
          <w:sz w:val="28"/>
        </w:rPr>
        <w:t>.</w:t>
      </w:r>
      <w:r>
        <w:rPr>
          <w:rFonts w:ascii="Times New Roman"/>
          <w:b w:val="false"/>
          <w:i/>
          <w:color w:val="000000"/>
          <w:sz w:val="28"/>
        </w:rPr>
        <w:t>org</w:t>
      </w:r>
      <w:r>
        <w:rPr>
          <w:rFonts w:ascii="Times New Roman"/>
          <w:b w:val="false"/>
          <w:i/>
          <w:color w:val="000000"/>
          <w:sz w:val="28"/>
        </w:rPr>
        <w:t>/</w:t>
      </w:r>
      <w:r>
        <w:rPr>
          <w:rFonts w:ascii="Times New Roman"/>
          <w:b w:val="false"/>
          <w:i/>
          <w:color w:val="000000"/>
          <w:sz w:val="28"/>
        </w:rPr>
        <w:t>press</w:t>
      </w:r>
      <w:r>
        <w:rPr>
          <w:rFonts w:ascii="Times New Roman"/>
          <w:b w:val="false"/>
          <w:i/>
          <w:color w:val="000000"/>
          <w:sz w:val="28"/>
        </w:rPr>
        <w:t>-</w:t>
      </w:r>
      <w:r>
        <w:rPr>
          <w:rFonts w:ascii="Times New Roman"/>
          <w:b w:val="false"/>
          <w:i/>
          <w:color w:val="000000"/>
          <w:sz w:val="28"/>
        </w:rPr>
        <w:t>releases</w:t>
      </w:r>
      <w:r>
        <w:rPr>
          <w:rFonts w:ascii="Times New Roman"/>
          <w:b w:val="false"/>
          <w:i/>
          <w:color w:val="000000"/>
          <w:sz w:val="28"/>
        </w:rPr>
        <w:t>/</w:t>
      </w:r>
      <w:r>
        <w:rPr>
          <w:rFonts w:ascii="Times New Roman"/>
          <w:b w:val="false"/>
          <w:i/>
          <w:color w:val="000000"/>
          <w:sz w:val="28"/>
        </w:rPr>
        <w:t>young</w:t>
      </w:r>
      <w:r>
        <w:rPr>
          <w:rFonts w:ascii="Times New Roman"/>
          <w:b w:val="false"/>
          <w:i/>
          <w:color w:val="000000"/>
          <w:sz w:val="28"/>
        </w:rPr>
        <w:t>-</w:t>
      </w:r>
      <w:r>
        <w:rPr>
          <w:rFonts w:ascii="Times New Roman"/>
          <w:b w:val="false"/>
          <w:i/>
          <w:color w:val="000000"/>
          <w:sz w:val="28"/>
        </w:rPr>
        <w:t>people</w:t>
      </w:r>
      <w:r>
        <w:rPr>
          <w:rFonts w:ascii="Times New Roman"/>
          <w:b w:val="false"/>
          <w:i/>
          <w:color w:val="000000"/>
          <w:sz w:val="28"/>
        </w:rPr>
        <w:t>-</w:t>
      </w:r>
      <w:r>
        <w:rPr>
          <w:rFonts w:ascii="Times New Roman"/>
          <w:b w:val="false"/>
          <w:i/>
          <w:color w:val="000000"/>
          <w:sz w:val="28"/>
        </w:rPr>
        <w:t>unable</w:t>
      </w:r>
      <w:r>
        <w:rPr>
          <w:rFonts w:ascii="Times New Roman"/>
          <w:b w:val="false"/>
          <w:i/>
          <w:color w:val="000000"/>
          <w:sz w:val="28"/>
        </w:rPr>
        <w:t>-</w:t>
      </w:r>
      <w:r>
        <w:rPr>
          <w:rFonts w:ascii="Times New Roman"/>
          <w:b w:val="false"/>
          <w:i/>
          <w:color w:val="000000"/>
          <w:sz w:val="28"/>
        </w:rPr>
        <w:t>access</w:t>
      </w:r>
      <w:r>
        <w:rPr>
          <w:rFonts w:ascii="Times New Roman"/>
          <w:b w:val="false"/>
          <w:i/>
          <w:color w:val="000000"/>
          <w:sz w:val="28"/>
        </w:rPr>
        <w:t>-</w:t>
      </w:r>
      <w:r>
        <w:rPr>
          <w:rFonts w:ascii="Times New Roman"/>
          <w:b w:val="false"/>
          <w:i/>
          <w:color w:val="000000"/>
          <w:sz w:val="28"/>
        </w:rPr>
        <w:t>skills</w:t>
      </w:r>
      <w:r>
        <w:rPr>
          <w:rFonts w:ascii="Times New Roman"/>
          <w:b w:val="false"/>
          <w:i/>
          <w:color w:val="000000"/>
          <w:sz w:val="28"/>
        </w:rPr>
        <w:t>-</w:t>
      </w:r>
      <w:r>
        <w:rPr>
          <w:rFonts w:ascii="Times New Roman"/>
          <w:b w:val="false"/>
          <w:i/>
          <w:color w:val="000000"/>
          <w:sz w:val="28"/>
        </w:rPr>
        <w:t>needed</w:t>
      </w:r>
      <w:r>
        <w:rPr>
          <w:rFonts w:ascii="Times New Roman"/>
          <w:b w:val="false"/>
          <w:i/>
          <w:color w:val="000000"/>
          <w:sz w:val="28"/>
        </w:rPr>
        <w:t>-</w:t>
      </w:r>
      <w:r>
        <w:rPr>
          <w:rFonts w:ascii="Times New Roman"/>
          <w:b w:val="false"/>
          <w:i/>
          <w:color w:val="000000"/>
          <w:sz w:val="28"/>
        </w:rPr>
        <w:t>todays</w:t>
      </w:r>
      <w:r>
        <w:rPr>
          <w:rFonts w:ascii="Times New Roman"/>
          <w:b w:val="false"/>
          <w:i/>
          <w:color w:val="000000"/>
          <w:sz w:val="28"/>
        </w:rPr>
        <w:t>-</w:t>
      </w:r>
      <w:r>
        <w:rPr>
          <w:rFonts w:ascii="Times New Roman"/>
          <w:b w:val="false"/>
          <w:i/>
          <w:color w:val="000000"/>
          <w:sz w:val="28"/>
        </w:rPr>
        <w:t>job</w:t>
      </w:r>
      <w:r>
        <w:rPr>
          <w:rFonts w:ascii="Times New Roman"/>
          <w:b w:val="false"/>
          <w:i/>
          <w:color w:val="000000"/>
          <w:sz w:val="28"/>
        </w:rPr>
        <w:t>-</w:t>
      </w:r>
      <w:r>
        <w:rPr>
          <w:rFonts w:ascii="Times New Roman"/>
          <w:b w:val="false"/>
          <w:i/>
          <w:color w:val="000000"/>
          <w:sz w:val="28"/>
        </w:rPr>
        <w:t>market</w:t>
      </w:r>
      <w:r>
        <w:rPr>
          <w:rFonts w:ascii="Times New Roman"/>
          <w:b w:val="false"/>
          <w:i/>
          <w:color w:val="000000"/>
          <w:sz w:val="28"/>
        </w:rPr>
        <w:t>-</w:t>
      </w:r>
      <w:r>
        <w:rPr>
          <w:rFonts w:ascii="Times New Roman"/>
          <w:b w:val="false"/>
          <w:i/>
          <w:color w:val="000000"/>
          <w:sz w:val="28"/>
        </w:rPr>
        <w:t>new</w:t>
      </w:r>
      <w:r>
        <w:rPr>
          <w:rFonts w:ascii="Times New Roman"/>
          <w:b w:val="false"/>
          <w:i/>
          <w:color w:val="000000"/>
          <w:sz w:val="28"/>
        </w:rPr>
        <w:t>-</w:t>
      </w:r>
      <w:r>
        <w:rPr>
          <w:rFonts w:ascii="Times New Roman"/>
          <w:b w:val="false"/>
          <w:i/>
          <w:color w:val="000000"/>
          <w:sz w:val="28"/>
        </w:rPr>
        <w:t>report</w:t>
      </w:r>
      <w:r>
        <w:rPr>
          <w:rFonts w:ascii="Times New Roman"/>
          <w:b w:val="false"/>
          <w:i/>
          <w:color w:val="000000"/>
          <w:sz w:val="28"/>
        </w:rPr>
        <w:t>-</w:t>
      </w:r>
      <w:r>
        <w:rPr>
          <w:rFonts w:ascii="Times New Roman"/>
          <w:b w:val="false"/>
          <w:i/>
          <w:color w:val="000000"/>
          <w:sz w:val="28"/>
        </w:rPr>
        <w:t>says</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color w:val="000000"/>
          <w:sz w:val="28"/>
        </w:rPr>
        <w:t>https</w:t>
      </w:r>
      <w:r>
        <w:rPr>
          <w:rFonts w:ascii="Times New Roman"/>
          <w:b w:val="false"/>
          <w:i/>
          <w:color w:val="000000"/>
          <w:sz w:val="28"/>
        </w:rPr>
        <w:t>://</w:t>
      </w:r>
      <w:r>
        <w:rPr>
          <w:rFonts w:ascii="Times New Roman"/>
          <w:b w:val="false"/>
          <w:i/>
          <w:color w:val="000000"/>
          <w:sz w:val="28"/>
        </w:rPr>
        <w:t>www</w:t>
      </w:r>
      <w:r>
        <w:rPr>
          <w:rFonts w:ascii="Times New Roman"/>
          <w:b w:val="false"/>
          <w:i/>
          <w:color w:val="000000"/>
          <w:sz w:val="28"/>
        </w:rPr>
        <w:t>.</w:t>
      </w:r>
      <w:r>
        <w:rPr>
          <w:rFonts w:ascii="Times New Roman"/>
          <w:b w:val="false"/>
          <w:i/>
          <w:color w:val="000000"/>
          <w:sz w:val="28"/>
        </w:rPr>
        <w:t>weforum</w:t>
      </w:r>
      <w:r>
        <w:rPr>
          <w:rFonts w:ascii="Times New Roman"/>
          <w:b w:val="false"/>
          <w:i/>
          <w:color w:val="000000"/>
          <w:sz w:val="28"/>
        </w:rPr>
        <w:t>.</w:t>
      </w:r>
      <w:r>
        <w:rPr>
          <w:rFonts w:ascii="Times New Roman"/>
          <w:b w:val="false"/>
          <w:i/>
          <w:color w:val="000000"/>
          <w:sz w:val="28"/>
        </w:rPr>
        <w:t>org</w:t>
      </w:r>
      <w:r>
        <w:rPr>
          <w:rFonts w:ascii="Times New Roman"/>
          <w:b w:val="false"/>
          <w:i/>
          <w:color w:val="000000"/>
          <w:sz w:val="28"/>
        </w:rPr>
        <w:t>/</w:t>
      </w:r>
      <w:r>
        <w:rPr>
          <w:rFonts w:ascii="Times New Roman"/>
          <w:b w:val="false"/>
          <w:i/>
          <w:color w:val="000000"/>
          <w:sz w:val="28"/>
        </w:rPr>
        <w:t>stories</w:t>
      </w:r>
      <w:r>
        <w:rPr>
          <w:rFonts w:ascii="Times New Roman"/>
          <w:b w:val="false"/>
          <w:i/>
          <w:color w:val="000000"/>
          <w:sz w:val="28"/>
        </w:rPr>
        <w:t>/2025/09/</w:t>
      </w:r>
      <w:r>
        <w:rPr>
          <w:rFonts w:ascii="Times New Roman"/>
          <w:b w:val="false"/>
          <w:i/>
          <w:color w:val="000000"/>
          <w:sz w:val="28"/>
        </w:rPr>
        <w:t>gen</w:t>
      </w:r>
      <w:r>
        <w:rPr>
          <w:rFonts w:ascii="Times New Roman"/>
          <w:b w:val="false"/>
          <w:i/>
          <w:color w:val="000000"/>
          <w:sz w:val="28"/>
        </w:rPr>
        <w:t>-</w:t>
      </w:r>
      <w:r>
        <w:rPr>
          <w:rFonts w:ascii="Times New Roman"/>
          <w:b w:val="false"/>
          <w:i/>
          <w:color w:val="000000"/>
          <w:sz w:val="28"/>
        </w:rPr>
        <w:t>z</w:t>
      </w:r>
      <w:r>
        <w:rPr>
          <w:rFonts w:ascii="Times New Roman"/>
          <w:b w:val="false"/>
          <w:i/>
          <w:color w:val="000000"/>
          <w:sz w:val="28"/>
        </w:rPr>
        <w:t>-</w:t>
      </w:r>
      <w:r>
        <w:rPr>
          <w:rFonts w:ascii="Times New Roman"/>
          <w:b w:val="false"/>
          <w:i/>
          <w:color w:val="000000"/>
          <w:sz w:val="28"/>
        </w:rPr>
        <w:t>are</w:t>
      </w:r>
      <w:r>
        <w:rPr>
          <w:rFonts w:ascii="Times New Roman"/>
          <w:b w:val="false"/>
          <w:i/>
          <w:color w:val="000000"/>
          <w:sz w:val="28"/>
        </w:rPr>
        <w:t>-</w:t>
      </w:r>
      <w:r>
        <w:rPr>
          <w:rFonts w:ascii="Times New Roman"/>
          <w:b w:val="false"/>
          <w:i/>
          <w:color w:val="000000"/>
          <w:sz w:val="28"/>
        </w:rPr>
        <w:t>competitive</w:t>
      </w:r>
      <w:r>
        <w:rPr>
          <w:rFonts w:ascii="Times New Roman"/>
          <w:b w:val="false"/>
          <w:i/>
          <w:color w:val="000000"/>
          <w:sz w:val="28"/>
        </w:rPr>
        <w:t>-</w:t>
      </w:r>
      <w:r>
        <w:rPr>
          <w:rFonts w:ascii="Times New Roman"/>
          <w:b w:val="false"/>
          <w:i/>
          <w:color w:val="000000"/>
          <w:sz w:val="28"/>
        </w:rPr>
        <w:t>job</w:t>
      </w:r>
      <w:r>
        <w:rPr>
          <w:rFonts w:ascii="Times New Roman"/>
          <w:b w:val="false"/>
          <w:i/>
          <w:color w:val="000000"/>
          <w:sz w:val="28"/>
        </w:rPr>
        <w:t>-</w:t>
      </w:r>
      <w:r>
        <w:rPr>
          <w:rFonts w:ascii="Times New Roman"/>
          <w:b w:val="false"/>
          <w:i/>
          <w:color w:val="000000"/>
          <w:sz w:val="28"/>
        </w:rPr>
        <w:t>market</w:t>
      </w:r>
      <w:r>
        <w:rPr>
          <w:rFonts w:ascii="Times New Roman"/>
          <w:b w:val="false"/>
          <w:i/>
          <w:color w:val="000000"/>
          <w:sz w:val="28"/>
        </w:rPr>
        <w:t>-</w:t>
      </w:r>
      <w:r>
        <w:rPr>
          <w:rFonts w:ascii="Times New Roman"/>
          <w:b w:val="false"/>
          <w:i/>
          <w:color w:val="000000"/>
          <w:sz w:val="28"/>
        </w:rPr>
        <w:t>randstad</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color w:val="000000"/>
          <w:sz w:val="28"/>
        </w:rPr>
        <w:t>https://www.weforum.org/impact/reskilling-revolution-preparing-1-billion-people-for-tomorrows-economy/</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https://www.weforum.org/press/2021/01/investment-in-upskilling-could-boost-global-gdp-by-6-5-trillion-by-2030/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https://career.enbek.kz/ru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w:t>
      </w:r>
      <w:r>
        <w:rPr>
          <w:rFonts w:ascii="Times New Roman"/>
          <w:b w:val="false"/>
          <w:i/>
          <w:color w:val="000000"/>
          <w:sz w:val="28"/>
        </w:rPr>
        <w:t>https://www.oecd.org/en/publications/trends-in-adult-learning_ec0624a6-</w:t>
      </w:r>
      <w:r>
        <w:rPr>
          <w:rFonts w:ascii="Times New Roman"/>
          <w:b w:val="false"/>
          <w:i/>
          <w:color w:val="000000"/>
          <w:sz w:val="28"/>
        </w:rPr>
        <w:t>7en.html#:~:text=Participation%20in%20adult%20learning%20varies,drop%20among%20men%20than%20women</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9"/>
    <w:p>
      <w:pPr>
        <w:spacing w:after="0"/>
        <w:ind w:left="0"/>
        <w:jc w:val="both"/>
      </w:pPr>
      <w:r>
        <w:rPr>
          <w:rFonts w:ascii="Times New Roman"/>
          <w:b w:val="false"/>
          <w:i w:val="false"/>
          <w:color w:val="000000"/>
          <w:sz w:val="28"/>
        </w:rPr>
        <w:t>
      Рисунок 2. Структура доходов населения Казахстана, 2019 – 2025 годы</w:t>
      </w:r>
    </w:p>
    <w:bookmarkEnd w:id="79"/>
    <w:bookmarkStart w:name="z91" w:id="80"/>
    <w:p>
      <w:pPr>
        <w:spacing w:after="0"/>
        <w:ind w:left="0"/>
        <w:jc w:val="both"/>
      </w:pPr>
      <w:r>
        <w:rPr>
          <w:rFonts w:ascii="Times New Roman"/>
          <w:b w:val="false"/>
          <w:i w:val="false"/>
          <w:color w:val="000000"/>
          <w:sz w:val="28"/>
        </w:rPr>
        <w:t>
      В целом по стране можно сделать вывод, что доходы населения Казахстана примерно на три четверти формируются за счҰт труда, при этом рост доходной базы обеспечивается преимущественно за счет наемной занятости, а не развития предпринимательства или накопления капитала. Социальные трансферты выполняют поддерживающую функцию и не являются драйвером роста доходов.</w:t>
      </w:r>
    </w:p>
    <w:bookmarkEnd w:id="80"/>
    <w:bookmarkStart w:name="z92" w:id="81"/>
    <w:p>
      <w:pPr>
        <w:spacing w:after="0"/>
        <w:ind w:left="0"/>
        <w:jc w:val="both"/>
      </w:pPr>
      <w:r>
        <w:rPr>
          <w:rFonts w:ascii="Times New Roman"/>
          <w:b w:val="false"/>
          <w:i w:val="false"/>
          <w:color w:val="000000"/>
          <w:sz w:val="28"/>
        </w:rPr>
        <w:t xml:space="preserve">
      </w:t>
      </w:r>
      <w:r>
        <w:rPr>
          <w:rFonts w:ascii="Times New Roman"/>
          <w:b w:val="false"/>
          <w:i/>
          <w:color w:val="000000"/>
          <w:sz w:val="28"/>
        </w:rPr>
        <w:t>Справочно: Согласно данным МОТ</w:t>
      </w:r>
      <w:r>
        <w:rPr>
          <w:rFonts w:ascii="Times New Roman"/>
          <w:b w:val="false"/>
          <w:i/>
          <w:color w:val="000000"/>
          <w:sz w:val="28"/>
        </w:rPr>
        <w:t xml:space="preserve"> глобальная доля трудового дохода составляла около</w:t>
      </w:r>
      <w:r>
        <w:rPr>
          <w:rFonts w:ascii="Times New Roman"/>
          <w:b w:val="false"/>
          <w:i w:val="false"/>
          <w:color w:val="000000"/>
          <w:sz w:val="28"/>
        </w:rPr>
        <w:t xml:space="preserve"> </w:t>
      </w:r>
      <w:r>
        <w:rPr>
          <w:rFonts w:ascii="Times New Roman"/>
          <w:b w:val="false"/>
          <w:i/>
          <w:color w:val="000000"/>
          <w:sz w:val="28"/>
        </w:rPr>
        <w:t>52,9</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 </w:t>
      </w:r>
      <w:r>
        <w:rPr>
          <w:rFonts w:ascii="Times New Roman"/>
          <w:b w:val="false"/>
          <w:i/>
          <w:color w:val="000000"/>
          <w:sz w:val="28"/>
        </w:rPr>
        <w:t>52,3</w:t>
      </w:r>
      <w:r>
        <w:rPr>
          <w:rFonts w:ascii="Times New Roman"/>
          <w:b w:val="false"/>
          <w:i w:val="false"/>
          <w:color w:val="000000"/>
          <w:sz w:val="28"/>
        </w:rPr>
        <w:t xml:space="preserve"> </w:t>
      </w:r>
      <w:r>
        <w:rPr>
          <w:rFonts w:ascii="Times New Roman"/>
          <w:b w:val="false"/>
          <w:i/>
          <w:color w:val="000000"/>
          <w:sz w:val="28"/>
        </w:rPr>
        <w:t>%, в период 2019</w:t>
      </w:r>
      <w:r>
        <w:rPr>
          <w:rFonts w:ascii="Times New Roman"/>
          <w:b w:val="false"/>
          <w:i w:val="false"/>
          <w:color w:val="000000"/>
          <w:sz w:val="28"/>
        </w:rPr>
        <w:t xml:space="preserve"> – </w:t>
      </w:r>
      <w:r>
        <w:rPr>
          <w:rFonts w:ascii="Times New Roman"/>
          <w:b w:val="false"/>
          <w:i/>
          <w:color w:val="000000"/>
          <w:sz w:val="28"/>
        </w:rPr>
        <w:t>2024 год</w:t>
      </w:r>
      <w:r>
        <w:rPr>
          <w:rFonts w:ascii="Times New Roman"/>
          <w:b w:val="false"/>
          <w:i/>
          <w:color w:val="000000"/>
          <w:sz w:val="28"/>
        </w:rPr>
        <w:t>ы</w:t>
      </w:r>
      <w:r>
        <w:rPr>
          <w:rFonts w:ascii="Times New Roman"/>
          <w:b w:val="false"/>
          <w:i/>
          <w:color w:val="000000"/>
          <w:sz w:val="28"/>
        </w:rPr>
        <w:t>.</w:t>
      </w:r>
    </w:p>
    <w:bookmarkEnd w:id="81"/>
    <w:bookmarkStart w:name="z93" w:id="82"/>
    <w:p>
      <w:pPr>
        <w:spacing w:after="0"/>
        <w:ind w:left="0"/>
        <w:jc w:val="both"/>
      </w:pPr>
      <w:r>
        <w:rPr>
          <w:rFonts w:ascii="Times New Roman"/>
          <w:b w:val="false"/>
          <w:i w:val="false"/>
          <w:color w:val="000000"/>
          <w:sz w:val="28"/>
        </w:rPr>
        <w:t>
      Согласно опросу первых руководителей крупных компаний, проведенному "PwC Казахстан" совместно с Forbes Kazakhstan в 2023 году, ключевыми бизнес-угрозами остаются геополитические конфликты (66 %), инфляция (40 %) и киберриски (35 %). В условиях неопределенности работодатели ориентируются на консервативную финансовую политику, что отражается на темпах индексации заработной платы.</w:t>
      </w:r>
    </w:p>
    <w:bookmarkEnd w:id="82"/>
    <w:bookmarkStart w:name="z94" w:id="8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Расходы населения на продовольственные товары </w:t>
      </w:r>
      <w:r>
        <w:rPr>
          <w:rFonts w:ascii="Times New Roman"/>
          <w:b w:val="false"/>
          <w:i w:val="false"/>
          <w:color w:val="000000"/>
          <w:sz w:val="28"/>
        </w:rPr>
        <w:t>составляют более половины денежных расходов (52 %, в 2025 году), что характерно для экономики с ограниченным ростом реальных доходов населения.</w:t>
      </w:r>
    </w:p>
    <w:bookmarkEnd w:id="83"/>
    <w:bookmarkStart w:name="z95" w:id="84"/>
    <w:p>
      <w:pPr>
        <w:spacing w:after="0"/>
        <w:ind w:left="0"/>
        <w:jc w:val="both"/>
      </w:pPr>
      <w:r>
        <w:rPr>
          <w:rFonts w:ascii="Times New Roman"/>
          <w:b w:val="false"/>
          <w:i w:val="false"/>
          <w:color w:val="000000"/>
          <w:sz w:val="28"/>
        </w:rPr>
        <w:t>
      В настоящее время обеспеченность внутреннего рынка продуктами питания по основным видам продовольственных товаров за счет собственного производства составляет от 80 до 100 % и выше. Исключение составляет 6 товаров (мясо птицы, колбасные изделия, рыба, сыры и творог, сахар, яблоки). По указанным товарным позициям ведется системная работа по увеличению объемов производства и импортозамещению.</w:t>
      </w:r>
    </w:p>
    <w:bookmarkEnd w:id="84"/>
    <w:bookmarkStart w:name="z96" w:id="85"/>
    <w:p>
      <w:pPr>
        <w:spacing w:after="0"/>
        <w:ind w:left="0"/>
        <w:jc w:val="both"/>
      </w:pPr>
      <w:r>
        <w:rPr>
          <w:rFonts w:ascii="Times New Roman"/>
          <w:b w:val="false"/>
          <w:i w:val="false"/>
          <w:color w:val="000000"/>
          <w:sz w:val="28"/>
        </w:rPr>
        <w:t>
      Недостаточное развитие современной логистической и сбытовой инфраструктуры, а также слабая кооперация фермерских хозяйств приводят к тому, что сельскохозяйственная продукция проходит через несколько посреднических звеньев, каждое из которых формирует собственную торговую наценку. В результате конечная стоимость продукции для потребителя многократно превышает отпускную цену производителя.</w:t>
      </w:r>
    </w:p>
    <w:bookmarkEnd w:id="85"/>
    <w:bookmarkStart w:name="z97" w:id="86"/>
    <w:p>
      <w:pPr>
        <w:spacing w:after="0"/>
        <w:ind w:left="0"/>
        <w:jc w:val="both"/>
      </w:pPr>
      <w:r>
        <w:rPr>
          <w:rFonts w:ascii="Times New Roman"/>
          <w:b w:val="false"/>
          <w:i w:val="false"/>
          <w:color w:val="000000"/>
          <w:sz w:val="28"/>
        </w:rPr>
        <w:t>
      К числу ключевых проблем также относится рост издержек производства, обусловленный удорожанием коммунальных услуг, минеральных удобрений, горюче-смазочных материалов, сельскохозяйственной техники и логистики. Увеличение себестоимости на всех этапах производственно-сбытовой цепочки напрямую транслируется в рост конечных потребительских цен, усиливая инфляционное давление на продовольственном рынке.</w:t>
      </w:r>
    </w:p>
    <w:bookmarkEnd w:id="86"/>
    <w:bookmarkStart w:name="z98" w:id="87"/>
    <w:p>
      <w:pPr>
        <w:spacing w:after="0"/>
        <w:ind w:left="0"/>
        <w:jc w:val="both"/>
      </w:pPr>
      <w:r>
        <w:rPr>
          <w:rFonts w:ascii="Times New Roman"/>
          <w:b w:val="false"/>
          <w:i w:val="false"/>
          <w:color w:val="000000"/>
          <w:sz w:val="28"/>
        </w:rPr>
        <w:t>
      В 2025 году зафиксирован рекордный рост мировых цен на продовольствие: среднее значение индекса ФАО по мясу по итогам 2025 года достигло 123,2 процентных пункта, по маслам и жирам – 161,6 %, по молочной продукции – 146,9 %. Существенное влияние оказывают нестабильность валютных курсов, а также рост внутренних издержек производителей (сырьҰ, корма, ФОТ, электроэнергия, логистика).</w:t>
      </w:r>
    </w:p>
    <w:bookmarkEnd w:id="87"/>
    <w:bookmarkStart w:name="z99" w:id="88"/>
    <w:p>
      <w:pPr>
        <w:spacing w:after="0"/>
        <w:ind w:left="0"/>
        <w:jc w:val="both"/>
      </w:pPr>
      <w:r>
        <w:rPr>
          <w:rFonts w:ascii="Times New Roman"/>
          <w:b w:val="false"/>
          <w:i w:val="false"/>
          <w:color w:val="000000"/>
          <w:sz w:val="28"/>
        </w:rPr>
        <w:t>
      С декабря 2021 года продовольственная инфляция в Казахстане опережала общую инфляцию, что свидетельствует о повышенной волатильности цен и сохраняющейся напряженности на сельскохозяйственных и продовольственных рынках. В декабре 2022 года продовольственная инфляция была на уровне 25,3 %, превысив общую инфляцию на 5 процентных пунктов (20,3 %), максимальное значение продовольственной инфляции зафиксировано в феврале 2023 года – 26,2 % (общая инфляция – 21,3 %). В 2025 году цены на продовольственные товары подорожали на 13,5 %, общая инфляция составила 12,3 %.</w:t>
      </w:r>
    </w:p>
    <w:bookmarkEnd w:id="88"/>
    <w:bookmarkStart w:name="z100" w:id="89"/>
    <w:p>
      <w:pPr>
        <w:spacing w:after="0"/>
        <w:ind w:left="0"/>
        <w:jc w:val="both"/>
      </w:pPr>
      <w:r>
        <w:rPr>
          <w:rFonts w:ascii="Times New Roman"/>
          <w:b w:val="false"/>
          <w:i w:val="false"/>
          <w:color w:val="000000"/>
          <w:sz w:val="28"/>
        </w:rPr>
        <w:t xml:space="preserve">
      Комплексный анализ позволяет сделать вывод о том, что высокая доля расходов населения на продукты питания определяется совокупным воздействием структурных и ценовых факторов. </w:t>
      </w:r>
    </w:p>
    <w:bookmarkEnd w:id="89"/>
    <w:bookmarkStart w:name="z101" w:id="90"/>
    <w:p>
      <w:pPr>
        <w:spacing w:after="0"/>
        <w:ind w:left="0"/>
        <w:jc w:val="both"/>
      </w:pPr>
      <w:r>
        <w:rPr>
          <w:rFonts w:ascii="Times New Roman"/>
          <w:b w:val="false"/>
          <w:i w:val="false"/>
          <w:color w:val="000000"/>
          <w:sz w:val="28"/>
        </w:rPr>
        <w:t>
      Таким образом, высокая доля расходов на продовольствие и товары первой необходимости, высокие темпы продовольственной инфляции за счет высоких издержек производства и логистики и зависимость доходов преимущественно от наемной занятости свидетельствуют о недостаточном росте реальных доходов населения.</w:t>
      </w:r>
    </w:p>
    <w:bookmarkEnd w:id="90"/>
    <w:bookmarkStart w:name="z102" w:id="91"/>
    <w:p>
      <w:pPr>
        <w:spacing w:after="0"/>
        <w:ind w:left="0"/>
        <w:jc w:val="both"/>
      </w:pPr>
      <w:r>
        <w:rPr>
          <w:rFonts w:ascii="Times New Roman"/>
          <w:b w:val="false"/>
          <w:i w:val="false"/>
          <w:color w:val="000000"/>
          <w:sz w:val="28"/>
        </w:rPr>
        <w:t>
      В этой связи актуальной задачей государственной политики является контроль за ценами на социально значимые продовольственные товары, а также совершенствование систем тарифообразования в сфере логистики и в целом повышение реальных доходов населения.</w:t>
      </w:r>
    </w:p>
    <w:bookmarkEnd w:id="91"/>
    <w:p>
      <w:pPr>
        <w:spacing w:after="0"/>
        <w:ind w:left="0"/>
        <w:jc w:val="both"/>
      </w:pPr>
      <w:r>
        <w:rPr>
          <w:rFonts w:ascii="Times New Roman"/>
          <w:b/>
          <w:i w:val="false"/>
          <w:color w:val="000000"/>
          <w:sz w:val="28"/>
        </w:rPr>
        <w:t>5. Налоговые и социальные меры</w:t>
      </w:r>
    </w:p>
    <w:bookmarkStart w:name="z104" w:id="92"/>
    <w:p>
      <w:pPr>
        <w:spacing w:after="0"/>
        <w:ind w:left="0"/>
        <w:jc w:val="both"/>
      </w:pPr>
      <w:r>
        <w:rPr>
          <w:rFonts w:ascii="Times New Roman"/>
          <w:b w:val="false"/>
          <w:i w:val="false"/>
          <w:color w:val="000000"/>
          <w:sz w:val="28"/>
        </w:rPr>
        <w:t xml:space="preserve">
      В условиях сохранения структурных факторов, влияющих на уровень и устойчивость доходов населения, особое значение приобретают налоговые и социальные меры поддержки. </w:t>
      </w:r>
    </w:p>
    <w:bookmarkEnd w:id="92"/>
    <w:bookmarkStart w:name="z105" w:id="93"/>
    <w:p>
      <w:pPr>
        <w:spacing w:after="0"/>
        <w:ind w:left="0"/>
        <w:jc w:val="both"/>
      </w:pPr>
      <w:r>
        <w:rPr>
          <w:rFonts w:ascii="Times New Roman"/>
          <w:b w:val="false"/>
          <w:i w:val="false"/>
          <w:color w:val="000000"/>
          <w:sz w:val="28"/>
        </w:rPr>
        <w:t xml:space="preserve">
      Несмотря на функционирование системы обязательного социального медицинского страхования, сохраняется значительная доля карманных расходов населения на медицинские услуги в размере 30,3 %. При этом наблюдается устойчивый рост цен на лекарственные средства, что усиливает финансовую нагрузку на домохозяйства и снижает фактическую доступность медицинской помощи. </w:t>
      </w:r>
    </w:p>
    <w:bookmarkEnd w:id="93"/>
    <w:bookmarkStart w:name="z106" w:id="94"/>
    <w:p>
      <w:pPr>
        <w:spacing w:after="0"/>
        <w:ind w:left="0"/>
        <w:jc w:val="both"/>
      </w:pPr>
      <w:r>
        <w:rPr>
          <w:rFonts w:ascii="Times New Roman"/>
          <w:b w:val="false"/>
          <w:i w:val="false"/>
          <w:color w:val="000000"/>
          <w:sz w:val="28"/>
        </w:rPr>
        <w:t>
      Согласно официальной информации Министерства здравоохранения по итогам мониторинга, проведенного в 20 регионах страны, в марте 2026 года по сравнению с июнем 2025 года зафиксировано снижение цен по 631 наименованию в среднем на 24,6 %. При этом по безрецептурным препаратам, не подлежащим государственному регулированию, отмечается небольшой рост стоимости – от 5 до 15 %, некоторые позиции показывают снижение до 11 %.</w:t>
      </w:r>
    </w:p>
    <w:bookmarkEnd w:id="94"/>
    <w:bookmarkStart w:name="z107" w:id="95"/>
    <w:p>
      <w:pPr>
        <w:spacing w:after="0"/>
        <w:ind w:left="0"/>
        <w:jc w:val="both"/>
      </w:pPr>
      <w:r>
        <w:rPr>
          <w:rFonts w:ascii="Times New Roman"/>
          <w:b w:val="false"/>
          <w:i w:val="false"/>
          <w:color w:val="000000"/>
          <w:sz w:val="28"/>
        </w:rPr>
        <w:t>
      Дополнительное давление на располагаемый доход домохозяйств формирует упразднение льготы по вычету вознаграждения по ипотечным займам из индивидуального подоходного налога, что снизило налоговую поддержку заемщиков и, как следствие, уменьшило общую привлекательность и доступность ипотечного кредитования для населения. Для домохозяйств с кредитной нагрузкой это означает рост эффективных расходов на обслуживание жилья, что напрямую отражается на располагаемых доходах и снижает финансовую устойчивость семей, особенно в условиях ограниченного роста заработных плат.</w:t>
      </w:r>
    </w:p>
    <w:bookmarkEnd w:id="95"/>
    <w:bookmarkStart w:name="z108" w:id="96"/>
    <w:p>
      <w:pPr>
        <w:spacing w:after="0"/>
        <w:ind w:left="0"/>
        <w:jc w:val="both"/>
      </w:pPr>
      <w:r>
        <w:rPr>
          <w:rFonts w:ascii="Times New Roman"/>
          <w:b w:val="false"/>
          <w:i w:val="false"/>
          <w:color w:val="000000"/>
          <w:sz w:val="28"/>
        </w:rPr>
        <w:t>
      Вместе с тем налоговая нагрузка в значительной степени носит косвенный характер и в большей мере затрагивает потребление, что усиливает регрессивный эффект для домохозяйств с низкими и средними доходами. При этом потенциал прогрессивного перераспределения доходов через налоговую систему используется ограниченно.</w:t>
      </w:r>
    </w:p>
    <w:bookmarkEnd w:id="96"/>
    <w:bookmarkStart w:name="z109" w:id="97"/>
    <w:p>
      <w:pPr>
        <w:spacing w:after="0"/>
        <w:ind w:left="0"/>
        <w:jc w:val="both"/>
      </w:pPr>
      <w:r>
        <w:rPr>
          <w:rFonts w:ascii="Times New Roman"/>
          <w:b w:val="false"/>
          <w:i w:val="false"/>
          <w:color w:val="000000"/>
          <w:sz w:val="28"/>
        </w:rPr>
        <w:t>
      В совокупности данные факторы – сокращение налоговых льгот в жилищной сфере и высокая доля личных расходов на здравоохранение – оказывают сдерживающее влияние на реальные располагаемые доходы населения.</w:t>
      </w:r>
    </w:p>
    <w:bookmarkEnd w:id="97"/>
    <w:bookmarkStart w:name="z110" w:id="98"/>
    <w:p>
      <w:pPr>
        <w:spacing w:after="0"/>
        <w:ind w:left="0"/>
        <w:jc w:val="both"/>
      </w:pPr>
      <w:r>
        <w:rPr>
          <w:rFonts w:ascii="Times New Roman"/>
          <w:b w:val="false"/>
          <w:i w:val="false"/>
          <w:color w:val="000000"/>
          <w:sz w:val="28"/>
        </w:rPr>
        <w:t>
      Для решения данных ограничений предусмотрены меры, направленные на снижение цен на лекарственные средства, проактивный формат оказания социальной поддержки граждан через "социальный кошелек" и возврат льготы по вычету ставки вознаграждения по ипотеке при расчете индивидуального подоходного налога.</w:t>
      </w:r>
    </w:p>
    <w:bookmarkEnd w:id="98"/>
    <w:p>
      <w:pPr>
        <w:spacing w:after="0"/>
        <w:ind w:left="0"/>
        <w:jc w:val="both"/>
      </w:pPr>
      <w:r>
        <w:rPr>
          <w:rFonts w:ascii="Times New Roman"/>
          <w:b/>
          <w:i w:val="false"/>
          <w:color w:val="000000"/>
          <w:sz w:val="28"/>
        </w:rPr>
        <w:t>6. Долговая нагрузка населения</w:t>
      </w:r>
    </w:p>
    <w:bookmarkStart w:name="z112" w:id="99"/>
    <w:p>
      <w:pPr>
        <w:spacing w:after="0"/>
        <w:ind w:left="0"/>
        <w:jc w:val="both"/>
      </w:pPr>
      <w:r>
        <w:rPr>
          <w:rFonts w:ascii="Times New Roman"/>
          <w:b w:val="false"/>
          <w:i w:val="false"/>
          <w:color w:val="000000"/>
          <w:sz w:val="28"/>
        </w:rPr>
        <w:t>
      Портфель потребительских кредитов банков сохраняет высокую динамику роста, при этом темпы кредитования постепенно замедляются на фоне реализации регуляторных и макропруденциальных мер. По итогам 2025 года объем потребительских кредитов увеличился на 21,0 % и составил 16,7 трлн тенге (33,5 % в 2024 году). По состоянию на 1 мая 2026 года портфель достиг 17,0 трлн тенге, рост с начала года составил 2 %.</w:t>
      </w:r>
    </w:p>
    <w:bookmarkEnd w:id="99"/>
    <w:bookmarkStart w:name="z113" w:id="100"/>
    <w:p>
      <w:pPr>
        <w:spacing w:after="0"/>
        <w:ind w:left="0"/>
        <w:jc w:val="both"/>
      </w:pPr>
      <w:r>
        <w:rPr>
          <w:rFonts w:ascii="Times New Roman"/>
          <w:b w:val="false"/>
          <w:i w:val="false"/>
          <w:color w:val="000000"/>
          <w:sz w:val="28"/>
        </w:rPr>
        <w:t>
      При этом темпы роста беззалогового потребительского кредитования замедлились с 29,2 % в 2024 году до 14,6 % по итогам 2025 года, что свидетельствует о постепенном охлаждении динамики необеспеченного кредитования. Портфель беззалоговых кредитов на 1 мая 2026 года составил 11,8 трлн тенге, увеличившись с начала года на 1,2 %.</w:t>
      </w:r>
    </w:p>
    <w:bookmarkEnd w:id="100"/>
    <w:bookmarkStart w:name="z114" w:id="101"/>
    <w:p>
      <w:pPr>
        <w:spacing w:after="0"/>
        <w:ind w:left="0"/>
        <w:jc w:val="both"/>
      </w:pPr>
      <w:r>
        <w:rPr>
          <w:rFonts w:ascii="Times New Roman"/>
          <w:b w:val="false"/>
          <w:i w:val="false"/>
          <w:color w:val="000000"/>
          <w:sz w:val="28"/>
        </w:rPr>
        <w:t>
      Несмотря на замедление роста, сохраняются риски роста просроченной задолженности. Доля займов с просрочкой свыше 90 дней составила 6,5 % или порядка 1,1 трлн тенге.</w:t>
      </w:r>
    </w:p>
    <w:bookmarkEnd w:id="101"/>
    <w:bookmarkStart w:name="z115" w:id="102"/>
    <w:p>
      <w:pPr>
        <w:spacing w:after="0"/>
        <w:ind w:left="0"/>
        <w:jc w:val="both"/>
      </w:pPr>
      <w:r>
        <w:rPr>
          <w:rFonts w:ascii="Times New Roman"/>
          <w:b w:val="false"/>
          <w:i w:val="false"/>
          <w:color w:val="000000"/>
          <w:sz w:val="28"/>
        </w:rPr>
        <w:t>
      В целях нивелирования рисков в 2024 – 2025 годах реализован комплекс законодательных и регуляторных мер, направленных на ограничение высокорискованного кредитования и повышение устойчивости заемщиков. Введен запрет на выдачу кредитов при наличии просрочки, ограничены суммы беззалоговых потребительских кредитов, усилены требования к оценке платежеспособности заемщиков и ужесточены требования к системам управления рисками и защите потребителей.</w:t>
      </w:r>
    </w:p>
    <w:bookmarkEnd w:id="102"/>
    <w:bookmarkStart w:name="z116" w:id="103"/>
    <w:p>
      <w:pPr>
        <w:spacing w:after="0"/>
        <w:ind w:left="0"/>
        <w:jc w:val="both"/>
      </w:pPr>
      <w:r>
        <w:rPr>
          <w:rFonts w:ascii="Times New Roman"/>
          <w:b w:val="false"/>
          <w:i w:val="false"/>
          <w:color w:val="000000"/>
          <w:sz w:val="28"/>
        </w:rPr>
        <w:t>
      Наряду с регуляторными мерами реализуются социальные инициативы, ключевой из которых является проект "Қарызсыз қоғам".</w:t>
      </w:r>
    </w:p>
    <w:bookmarkEnd w:id="103"/>
    <w:bookmarkStart w:name="z117" w:id="104"/>
    <w:p>
      <w:pPr>
        <w:spacing w:after="0"/>
        <w:ind w:left="0"/>
        <w:jc w:val="both"/>
      </w:pPr>
      <w:r>
        <w:rPr>
          <w:rFonts w:ascii="Times New Roman"/>
          <w:b w:val="false"/>
          <w:i w:val="false"/>
          <w:color w:val="000000"/>
          <w:sz w:val="28"/>
        </w:rPr>
        <w:t>
      Проект предусматривает меры по снижению долговой нагрузки, повышению финансовой грамотности населения и консультированию граждан по вопросам урегулирования задолженности и защиты от мошенничества. В 2025 году усилен юридический блок проекта, внедрена платформа с онлайн-обучением и создана единая цифровая система Qogamfin.kz для сопровождения обращений граждан, включая вопросы реструктуризации задолженности, внесудебного банкротства и финансового мошенничества.</w:t>
      </w:r>
    </w:p>
    <w:bookmarkEnd w:id="104"/>
    <w:bookmarkStart w:name="z118" w:id="105"/>
    <w:p>
      <w:pPr>
        <w:spacing w:after="0"/>
        <w:ind w:left="0"/>
        <w:jc w:val="both"/>
      </w:pPr>
      <w:r>
        <w:rPr>
          <w:rFonts w:ascii="Times New Roman"/>
          <w:b w:val="false"/>
          <w:i w:val="false"/>
          <w:color w:val="000000"/>
          <w:sz w:val="28"/>
        </w:rPr>
        <w:t>
      В 2026 году в целях дальнейшей реализации проекта "Қарызсыз қоғам" утверждена Дорожная карта, предусматривающая мероприятия по урегулированию просроченной задолженности и совершенствованию механизмов взаимодействия между заемщиками, финансовыми организациями и омбудсманом.</w:t>
      </w:r>
    </w:p>
    <w:bookmarkEnd w:id="105"/>
    <w:bookmarkStart w:name="z119" w:id="106"/>
    <w:p>
      <w:pPr>
        <w:spacing w:after="0"/>
        <w:ind w:left="0"/>
        <w:jc w:val="both"/>
      </w:pPr>
      <w:r>
        <w:rPr>
          <w:rFonts w:ascii="Times New Roman"/>
          <w:b w:val="false"/>
          <w:i w:val="false"/>
          <w:color w:val="000000"/>
          <w:sz w:val="28"/>
        </w:rPr>
        <w:t>
      Несмотря на принимаемые меры, сохраняется высокая долговая нагрузка у отдельных категорий заемщиков и накопленный объем просроченной задолженности, сформировавшиеся в предыдущие периоды активного роста кредитования.</w:t>
      </w:r>
    </w:p>
    <w:bookmarkEnd w:id="106"/>
    <w:bookmarkStart w:name="z120" w:id="107"/>
    <w:p>
      <w:pPr>
        <w:spacing w:after="0"/>
        <w:ind w:left="0"/>
        <w:jc w:val="both"/>
      </w:pPr>
      <w:r>
        <w:rPr>
          <w:rFonts w:ascii="Times New Roman"/>
          <w:b w:val="false"/>
          <w:i w:val="false"/>
          <w:color w:val="000000"/>
          <w:sz w:val="28"/>
        </w:rPr>
        <w:t>
      Дополнительное давление на расходы населения формируют комиссии и сопутствующие платежи при выдаче и обслуживании займов. Отдельным фактором остается высокий уровень ставок вознаграждения, который в совокупности с действующей годовой эффективной ставкой вознаграждения (далее – ГЭСВ) увеличивает фактическую стоимость заимствований.</w:t>
      </w:r>
    </w:p>
    <w:bookmarkEnd w:id="107"/>
    <w:bookmarkStart w:name="z121" w:id="108"/>
    <w:p>
      <w:pPr>
        <w:spacing w:after="0"/>
        <w:ind w:left="0"/>
        <w:jc w:val="both"/>
      </w:pPr>
      <w:r>
        <w:rPr>
          <w:rFonts w:ascii="Times New Roman"/>
          <w:b w:val="false"/>
          <w:i w:val="false"/>
          <w:color w:val="000000"/>
          <w:sz w:val="28"/>
        </w:rPr>
        <w:t>
      Вместе с тем отдельного внимания требует урегулирование задолженности заемщиков, имеющих обязательства перед несколькими кредиторами. Действующие механизмы предполагают отдельное взаимодействие заемщика с каждым кредитором, что затрудняет процесс урегулирования при наличии задолженности одновременно перед несколькими банками, микрофинансовыми организациями и коллекторскими агентствами. При этом индивидуальные графики погашения не всегда позволяют учитывать совокупную долговую нагрузку заемщика. Для этого на сегодня прорабатывается вопрос создания единой цифровой платформы коллективного урегулирования.</w:t>
      </w:r>
    </w:p>
    <w:bookmarkEnd w:id="108"/>
    <w:bookmarkStart w:name="z122" w:id="109"/>
    <w:p>
      <w:pPr>
        <w:spacing w:after="0"/>
        <w:ind w:left="0"/>
        <w:jc w:val="both"/>
      </w:pPr>
      <w:r>
        <w:rPr>
          <w:rFonts w:ascii="Times New Roman"/>
          <w:b w:val="false"/>
          <w:i w:val="false"/>
          <w:color w:val="000000"/>
          <w:sz w:val="28"/>
        </w:rPr>
        <w:t>
      В этой связи дальнейшее снижение долговой нагрузки, совершенствование механизмов урегулирования и повышение финансовой устойчивости граждан являются одними из ключевых задач государственной политики, в рамках которой Комплексным планом предусмотрена реализация следующих мер:</w:t>
      </w:r>
    </w:p>
    <w:bookmarkEnd w:id="109"/>
    <w:bookmarkStart w:name="z123" w:id="110"/>
    <w:p>
      <w:pPr>
        <w:spacing w:after="0"/>
        <w:ind w:left="0"/>
        <w:jc w:val="both"/>
      </w:pPr>
      <w:r>
        <w:rPr>
          <w:rFonts w:ascii="Times New Roman"/>
          <w:b w:val="false"/>
          <w:i w:val="false"/>
          <w:color w:val="000000"/>
          <w:sz w:val="28"/>
        </w:rPr>
        <w:t xml:space="preserve">
      совершенствование условий потребительского кредитования – пересмотр методики расчета предельной ГЭСВ с учетом среднерыночных значений, сокращение комиссий и повышение прозрачности условий кредитования; </w:t>
      </w:r>
    </w:p>
    <w:bookmarkEnd w:id="110"/>
    <w:bookmarkStart w:name="z124" w:id="111"/>
    <w:p>
      <w:pPr>
        <w:spacing w:after="0"/>
        <w:ind w:left="0"/>
        <w:jc w:val="both"/>
      </w:pPr>
      <w:r>
        <w:rPr>
          <w:rFonts w:ascii="Times New Roman"/>
          <w:b w:val="false"/>
          <w:i w:val="false"/>
          <w:color w:val="000000"/>
          <w:sz w:val="28"/>
        </w:rPr>
        <w:t>
      повышение качества оценки заемщиков – учет платежеспособности, долговой нагрузки и кредитной истории для снижения риска выдачи займов, создающих чрезмерную долговую нагрузку;</w:t>
      </w:r>
    </w:p>
    <w:bookmarkEnd w:id="111"/>
    <w:bookmarkStart w:name="z125" w:id="112"/>
    <w:p>
      <w:pPr>
        <w:spacing w:after="0"/>
        <w:ind w:left="0"/>
        <w:jc w:val="both"/>
      </w:pPr>
      <w:r>
        <w:rPr>
          <w:rFonts w:ascii="Times New Roman"/>
          <w:b w:val="false"/>
          <w:i w:val="false"/>
          <w:color w:val="000000"/>
          <w:sz w:val="28"/>
        </w:rPr>
        <w:t xml:space="preserve">
      повышение прозрачности и защита потребителей – внедрение стандартного информационного документа по финансовым продуктам, меры против навязывания услуг и сокрытия условий, а также развитие финансовой грамотности населения; </w:t>
      </w:r>
    </w:p>
    <w:bookmarkEnd w:id="112"/>
    <w:bookmarkStart w:name="z126" w:id="113"/>
    <w:p>
      <w:pPr>
        <w:spacing w:after="0"/>
        <w:ind w:left="0"/>
        <w:jc w:val="both"/>
      </w:pPr>
      <w:r>
        <w:rPr>
          <w:rFonts w:ascii="Times New Roman"/>
          <w:b w:val="false"/>
          <w:i w:val="false"/>
          <w:color w:val="000000"/>
          <w:sz w:val="28"/>
        </w:rPr>
        <w:t>
      развитие механизмов урегулирования задолженности – запуск единой цифровой платформы "одного окна" для урегулирования долгов граждан с просрочкой свыше 90 дней и совокупным долгом до 7 млн тенге, с последующей интеграцией с исполнительным производством и банкротством;</w:t>
      </w:r>
    </w:p>
    <w:bookmarkEnd w:id="113"/>
    <w:bookmarkStart w:name="z127" w:id="114"/>
    <w:p>
      <w:pPr>
        <w:spacing w:after="0"/>
        <w:ind w:left="0"/>
        <w:jc w:val="both"/>
      </w:pPr>
      <w:r>
        <w:rPr>
          <w:rFonts w:ascii="Times New Roman"/>
          <w:b w:val="false"/>
          <w:i w:val="false"/>
          <w:color w:val="000000"/>
          <w:sz w:val="28"/>
        </w:rPr>
        <w:t>
      совершенствование внесудебного банкротства – упрощение процедуры для социально уязвимых слоев населения с сокращением срока до 1 месяца, а также внедрение механизма проактивного банкротства для граждан с долгом до 1600 месячных расчетных показателей (далее – МРП) и просрочкой свыше 5 лет, включая автоматическое SMS-информирование и ускоренное рассмотрение заявлений.</w:t>
      </w:r>
    </w:p>
    <w:bookmarkEnd w:id="114"/>
    <w:bookmarkStart w:name="z128" w:id="115"/>
    <w:p>
      <w:pPr>
        <w:spacing w:after="0"/>
        <w:ind w:left="0"/>
        <w:jc w:val="both"/>
      </w:pPr>
      <w:r>
        <w:rPr>
          <w:rFonts w:ascii="Times New Roman"/>
          <w:b w:val="false"/>
          <w:i w:val="false"/>
          <w:color w:val="000000"/>
          <w:sz w:val="28"/>
        </w:rPr>
        <w:t>
      С учетом вышеприведенного анализа разработан Комплексный план по повышению доходов населения на 2026 – 2029 годы (далее – Комплексный план).</w:t>
      </w:r>
    </w:p>
    <w:bookmarkEnd w:id="115"/>
    <w:bookmarkStart w:name="z129" w:id="116"/>
    <w:p>
      <w:pPr>
        <w:spacing w:after="0"/>
        <w:ind w:left="0"/>
        <w:jc w:val="both"/>
      </w:pPr>
      <w:r>
        <w:rPr>
          <w:rFonts w:ascii="Times New Roman"/>
          <w:b w:val="false"/>
          <w:i w:val="false"/>
          <w:color w:val="000000"/>
          <w:sz w:val="28"/>
        </w:rPr>
        <w:t>
      Реализация Комплексного плана охватывает мероприятия по следующим 6 направлениям:</w:t>
      </w:r>
    </w:p>
    <w:bookmarkEnd w:id="116"/>
    <w:bookmarkStart w:name="z130" w:id="117"/>
    <w:p>
      <w:pPr>
        <w:spacing w:after="0"/>
        <w:ind w:left="0"/>
        <w:jc w:val="both"/>
      </w:pPr>
      <w:r>
        <w:rPr>
          <w:rFonts w:ascii="Times New Roman"/>
          <w:b w:val="false"/>
          <w:i w:val="false"/>
          <w:color w:val="000000"/>
          <w:sz w:val="28"/>
        </w:rPr>
        <w:t>
      1) повышение заработной платы;</w:t>
      </w:r>
    </w:p>
    <w:bookmarkEnd w:id="117"/>
    <w:bookmarkStart w:name="z131" w:id="118"/>
    <w:p>
      <w:pPr>
        <w:spacing w:after="0"/>
        <w:ind w:left="0"/>
        <w:jc w:val="both"/>
      </w:pPr>
      <w:r>
        <w:rPr>
          <w:rFonts w:ascii="Times New Roman"/>
          <w:b w:val="false"/>
          <w:i w:val="false"/>
          <w:color w:val="000000"/>
          <w:sz w:val="28"/>
        </w:rPr>
        <w:t>
      2) создание качественных рабочих мест;</w:t>
      </w:r>
    </w:p>
    <w:bookmarkEnd w:id="118"/>
    <w:bookmarkStart w:name="z132" w:id="119"/>
    <w:p>
      <w:pPr>
        <w:spacing w:after="0"/>
        <w:ind w:left="0"/>
        <w:jc w:val="both"/>
      </w:pPr>
      <w:r>
        <w:rPr>
          <w:rFonts w:ascii="Times New Roman"/>
          <w:b w:val="false"/>
          <w:i w:val="false"/>
          <w:color w:val="000000"/>
          <w:sz w:val="28"/>
        </w:rPr>
        <w:t>
      3) развитие человеческого капитала и повышение занятости;</w:t>
      </w:r>
    </w:p>
    <w:bookmarkEnd w:id="119"/>
    <w:bookmarkStart w:name="z133" w:id="120"/>
    <w:p>
      <w:pPr>
        <w:spacing w:after="0"/>
        <w:ind w:left="0"/>
        <w:jc w:val="both"/>
      </w:pPr>
      <w:r>
        <w:rPr>
          <w:rFonts w:ascii="Times New Roman"/>
          <w:b w:val="false"/>
          <w:i w:val="false"/>
          <w:color w:val="000000"/>
          <w:sz w:val="28"/>
        </w:rPr>
        <w:t>
      4) снижение инфляции и рост реальных доходов;</w:t>
      </w:r>
    </w:p>
    <w:bookmarkEnd w:id="120"/>
    <w:bookmarkStart w:name="z134" w:id="121"/>
    <w:p>
      <w:pPr>
        <w:spacing w:after="0"/>
        <w:ind w:left="0"/>
        <w:jc w:val="both"/>
      </w:pPr>
      <w:r>
        <w:rPr>
          <w:rFonts w:ascii="Times New Roman"/>
          <w:b w:val="false"/>
          <w:i w:val="false"/>
          <w:color w:val="000000"/>
          <w:sz w:val="28"/>
        </w:rPr>
        <w:t>
      5) налоговые и социальные меры;</w:t>
      </w:r>
    </w:p>
    <w:bookmarkEnd w:id="121"/>
    <w:bookmarkStart w:name="z135" w:id="122"/>
    <w:p>
      <w:pPr>
        <w:spacing w:after="0"/>
        <w:ind w:left="0"/>
        <w:jc w:val="both"/>
      </w:pPr>
      <w:r>
        <w:rPr>
          <w:rFonts w:ascii="Times New Roman"/>
          <w:b w:val="false"/>
          <w:i w:val="false"/>
          <w:color w:val="000000"/>
          <w:sz w:val="28"/>
        </w:rPr>
        <w:t>
      6) снижение долговой нагрузки и улучшение финансовой активности населения.</w:t>
      </w:r>
    </w:p>
    <w:bookmarkEnd w:id="122"/>
    <w:bookmarkStart w:name="z136" w:id="123"/>
    <w:p>
      <w:pPr>
        <w:spacing w:after="0"/>
        <w:ind w:left="0"/>
        <w:jc w:val="both"/>
      </w:pPr>
      <w:r>
        <w:rPr>
          <w:rFonts w:ascii="Times New Roman"/>
          <w:b w:val="false"/>
          <w:i w:val="false"/>
          <w:color w:val="000000"/>
          <w:sz w:val="28"/>
        </w:rPr>
        <w:t xml:space="preserve">
      Разработанные меры направлены на повышение уровня благосостояния и качества жизни граждан, активизацию вовлечения частного сектора в социально-экономическое развитие страны, а также обеспечение социальной стабильности и формирование инклюзивной модели экономического роста. </w:t>
      </w:r>
    </w:p>
    <w:bookmarkEnd w:id="123"/>
    <w:bookmarkStart w:name="z137" w:id="124"/>
    <w:p>
      <w:pPr>
        <w:spacing w:after="0"/>
        <w:ind w:left="0"/>
        <w:jc w:val="both"/>
      </w:pPr>
      <w:r>
        <w:rPr>
          <w:rFonts w:ascii="Times New Roman"/>
          <w:b w:val="false"/>
          <w:i w:val="false"/>
          <w:color w:val="000000"/>
          <w:sz w:val="28"/>
        </w:rPr>
        <w:t xml:space="preserve">
      Реализация Комплексного плана будет способствовать достижению указанных целей посредством развития предпринимательства и креативных индустрий, расширения возможностей для реализации экономического потенциала населения, создания качественных рабочих мест и укрепления финансовой устойчивости домохозяйств.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5"/>
          <w:p>
            <w:pPr>
              <w:spacing w:after="20"/>
              <w:ind w:left="20"/>
              <w:jc w:val="both"/>
            </w:pPr>
            <w:r>
              <w:rPr>
                <w:rFonts w:ascii="Times New Roman"/>
                <w:b w:val="false"/>
                <w:i w:val="false"/>
                <w:color w:val="000000"/>
                <w:sz w:val="20"/>
              </w:rPr>
              <w:t>
Наименование</w:t>
            </w:r>
          </w:p>
          <w:bookmarkEnd w:id="1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6"/>
          <w:p>
            <w:pPr>
              <w:spacing w:after="20"/>
              <w:ind w:left="20"/>
              <w:jc w:val="both"/>
            </w:pPr>
            <w:r>
              <w:rPr>
                <w:rFonts w:ascii="Times New Roman"/>
                <w:b w:val="false"/>
                <w:i w:val="false"/>
                <w:color w:val="000000"/>
                <w:sz w:val="20"/>
              </w:rPr>
              <w:t>
Срок исполнения</w:t>
            </w:r>
          </w:p>
          <w:bookmarkEnd w:id="1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7"/>
          <w:p>
            <w:pPr>
              <w:spacing w:after="20"/>
              <w:ind w:left="20"/>
              <w:jc w:val="both"/>
            </w:pPr>
            <w:r>
              <w:rPr>
                <w:rFonts w:ascii="Times New Roman"/>
                <w:b w:val="false"/>
                <w:i w:val="false"/>
                <w:color w:val="000000"/>
                <w:sz w:val="20"/>
              </w:rPr>
              <w:t>
Ожидаемые результаты:</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Повышение заработной платы с целью увеличения реальных доходов работников в среднем на 10 %.</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роста доходов населения на уровне выше "инфляция + 2-3 %", особенно у низко- и среднеоплачиваемых групп, способствующее сокращению разрыва между различными слоями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качественных рабочих мест, основанных на современных технологиях и квалифицированных кадрах, которые способствуют повышению эффективности производства, ежегодно до 240 тыс.</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Повышение качества человеческого капитала с формированием профессиональных и цифровых навыков, востребованных в экономике, и увеличение охвата дуального обучения с заключением до 600 меморандумов с предприятиями.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свыше 30 тыс. бюджетных микрокредитов в сельской местности.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предпринимательства, самозанятости как источников новых рабочих мест со среднегодовым темпом роста качественных рабочих мест – 10 %.</w:t>
            </w:r>
          </w:p>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темпов инфляции до 5-7 % к 2029 году.</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Стабилизация цен на основные товары и услуги с соблюдением 15 % торговой надбавки на СЗПТ.</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обеспеченности продовольственными товарами (в том числе социально значимыми) не менее 88 % в 2029 году.</w:t>
            </w:r>
          </w:p>
          <w:p>
            <w:pPr>
              <w:spacing w:after="20"/>
              <w:ind w:left="20"/>
              <w:jc w:val="both"/>
            </w:pPr>
            <w:r>
              <w:rPr>
                <w:rFonts w:ascii="Times New Roman"/>
                <w:b w:val="false"/>
                <w:i w:val="false"/>
                <w:color w:val="000000"/>
                <w:sz w:val="20"/>
              </w:rPr>
              <w:t>
</w:t>
            </w:r>
            <w:r>
              <w:rPr>
                <w:rFonts w:ascii="Times New Roman"/>
                <w:b w:val="false"/>
                <w:i w:val="false"/>
                <w:color w:val="000000"/>
                <w:sz w:val="20"/>
              </w:rPr>
              <w:t>Доведение доли востребованных профессий, охваченных профессиональными стандартами, к 2029 году до 90 %.</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Повышение производительности труда в сельском хозяйстве до 8,2 млн тенге в 2029 году.</w:t>
            </w:r>
          </w:p>
          <w:p>
            <w:pPr>
              <w:spacing w:after="20"/>
              <w:ind w:left="20"/>
              <w:jc w:val="both"/>
            </w:pPr>
            <w:r>
              <w:rPr>
                <w:rFonts w:ascii="Times New Roman"/>
                <w:b w:val="false"/>
                <w:i w:val="false"/>
                <w:color w:val="000000"/>
                <w:sz w:val="20"/>
              </w:rPr>
              <w:t>
Снижение доли расходов на продовольственные товары в структуре денежных расходов населения до 40 % в 2029 году.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Повышение заработной платы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повышению минимальной заработной 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Правительство Республики Казахстан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 МФ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подлежит определению, при утверждении РБ с указанием конкретных сумм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8"/>
          <w:p>
            <w:pPr>
              <w:spacing w:after="20"/>
              <w:ind w:left="20"/>
              <w:jc w:val="both"/>
            </w:pPr>
            <w:r>
              <w:rPr>
                <w:rFonts w:ascii="Times New Roman"/>
                <w:b w:val="false"/>
                <w:i w:val="false"/>
                <w:color w:val="000000"/>
                <w:sz w:val="20"/>
              </w:rPr>
              <w:t>
в рамках формирования РБ, МБ</w:t>
            </w:r>
          </w:p>
          <w:bookmarkEnd w:id="128"/>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средней заработной платы производственного персонала субъектов естественных монополий в коммунальной сфере (электроэнергетика, теплоэнергетика, водоснабжение, водоотведение и газоснабжение)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МЭ, МПС, МЭПР,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формирования тарифов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подходов по установлению часовой оплаты труда в дифференцированных секторах экономики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заинтересованные государственные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доходов наемных работников и обеспечение занятости путем выполнения встречных обязательств бизнеса перед государством через увеличение доли фонда оплаты труда и (или) создание новых и сохранение текущих рабочих мест, и (или) повышение производительности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предоставлении мер государственной поддержки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МПС, МТСЗН, МТИ, МКИ, МТС, МИД, МИИЦР, МЭПР, МВРИ, МТ, АО "НИХ "Байтерек" (по согласованию), АО "КЦИЭ "QazIndustry"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9"/>
          <w:p>
            <w:pPr>
              <w:spacing w:after="20"/>
              <w:ind w:left="20"/>
              <w:jc w:val="both"/>
            </w:pPr>
            <w:r>
              <w:rPr>
                <w:rFonts w:ascii="Times New Roman"/>
                <w:b w:val="false"/>
                <w:i w:val="false"/>
                <w:color w:val="000000"/>
                <w:sz w:val="20"/>
              </w:rPr>
              <w:t>
Реализация системных мер социального партнерства по вопросам регулирования трудовых отношений в рамках отраслевых и региональных соглашений в части выполнения обязательств сторон по</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принятию мер, направленных на обеспечение занятости, а также установлению: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минимальных тарифных ставок (окладов) в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предельных значений межразрядных коэффициентов;</w:t>
            </w:r>
          </w:p>
          <w:p>
            <w:pPr>
              <w:spacing w:after="20"/>
              <w:ind w:left="20"/>
              <w:jc w:val="both"/>
            </w:pPr>
            <w:r>
              <w:rPr>
                <w:rFonts w:ascii="Times New Roman"/>
                <w:b w:val="false"/>
                <w:i w:val="false"/>
                <w:color w:val="000000"/>
                <w:sz w:val="20"/>
              </w:rPr>
              <w:t>
единого порядка установления доплат работникам, занятым на тяжелых работах, работах с вредными и (или) опасными условиями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отраслевые и региональные соглашения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заинтересованные государственные органы, акиматы столицы, областей, городов республиканского значения, республиканские объединения профсоюзов (по согласованию), республиканские объединения работодателей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положительного опыта корпоративной социальной ответственности бизнеса, направленной на улучшение благосостояния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0"/>
          <w:p>
            <w:pPr>
              <w:spacing w:after="20"/>
              <w:ind w:left="20"/>
              <w:jc w:val="both"/>
            </w:pPr>
            <w:r>
              <w:rPr>
                <w:rFonts w:ascii="Times New Roman"/>
                <w:b w:val="false"/>
                <w:i w:val="false"/>
                <w:color w:val="000000"/>
                <w:sz w:val="20"/>
              </w:rPr>
              <w:t>
МТСЗН,</w:t>
            </w:r>
          </w:p>
          <w:bookmarkEnd w:id="130"/>
          <w:p>
            <w:pPr>
              <w:spacing w:after="20"/>
              <w:ind w:left="20"/>
              <w:jc w:val="both"/>
            </w:pPr>
            <w:r>
              <w:rPr>
                <w:rFonts w:ascii="Times New Roman"/>
                <w:b w:val="false"/>
                <w:i w:val="false"/>
                <w:color w:val="000000"/>
                <w:sz w:val="20"/>
              </w:rPr>
              <w:t>
НПП "Атамекен"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заседаний региональных трехсторонних комиссий по социальному партнерству под председательством акимов регионов с участием руководителей крупных промышленных предприятий по повышению заработной платы производственного персонала на уровень инфляции +2-3 % с закреплением в коллективных договорах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столицы, областей, городов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p>
            <w:pPr>
              <w:spacing w:after="20"/>
              <w:ind w:left="20"/>
              <w:jc w:val="both"/>
            </w:pPr>
            <w:r>
              <w:rPr>
                <w:rFonts w:ascii="Times New Roman"/>
                <w:b w:val="false"/>
                <w:i w:val="false"/>
                <w:color w:val="000000"/>
                <w:sz w:val="20"/>
              </w:rPr>
              <w:t>(с 1 января следующего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встреч с руководителями крупных, средних профильных частных предприятий по повышению заработной платы производственного персонала на уровень инфляции +2-3% с закреплением в коллективных договорах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столицы, областей, городов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p>
            <w:pPr>
              <w:spacing w:after="20"/>
              <w:ind w:left="20"/>
              <w:jc w:val="both"/>
            </w:pPr>
            <w:r>
              <w:rPr>
                <w:rFonts w:ascii="Times New Roman"/>
                <w:b w:val="false"/>
                <w:i w:val="false"/>
                <w:color w:val="000000"/>
                <w:sz w:val="20"/>
              </w:rPr>
              <w:t>(с 1 января следующего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встреч акимов регионов и руководителей ЦГО с крупными ритейлерами и другими торговыми сетями по повышению зарплаты персонала (кассиры, технички, грузчики, администраторы и другие)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столицы, областей, городов республиканского значения, МТИ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p>
            <w:pPr>
              <w:spacing w:after="20"/>
              <w:ind w:left="20"/>
              <w:jc w:val="both"/>
            </w:pPr>
            <w:r>
              <w:rPr>
                <w:rFonts w:ascii="Times New Roman"/>
                <w:b w:val="false"/>
                <w:i w:val="false"/>
                <w:color w:val="000000"/>
                <w:sz w:val="20"/>
              </w:rPr>
              <w:t>(с 1 января следующего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Сокращение межотраслевых дифференциаций в уровнях оплаты труда работников организаций сфер водоотведения, водо- тепло- и электроснабжения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МЭ, МПС,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повышения заработной платы гражданских служащих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1"/>
          <w:p>
            <w:pPr>
              <w:spacing w:after="20"/>
              <w:ind w:left="20"/>
              <w:jc w:val="both"/>
            </w:pPr>
            <w:r>
              <w:rPr>
                <w:rFonts w:ascii="Times New Roman"/>
                <w:b w:val="false"/>
                <w:i w:val="false"/>
                <w:color w:val="000000"/>
                <w:sz w:val="20"/>
              </w:rPr>
              <w:t>
МТСЗН, МНЭ, МФ, МЗ, МКИ, МНВО, МП, МЧС, МЮ, МСХ, МЭПР, МВРИ, МТС, МО, МВД, КНБ (по согласованию),</w:t>
            </w:r>
          </w:p>
          <w:bookmarkEnd w:id="131"/>
          <w:p>
            <w:pPr>
              <w:spacing w:after="20"/>
              <w:ind w:left="20"/>
              <w:jc w:val="both"/>
            </w:pPr>
            <w:r>
              <w:rPr>
                <w:rFonts w:ascii="Times New Roman"/>
                <w:b w:val="false"/>
                <w:i w:val="false"/>
                <w:color w:val="000000"/>
                <w:sz w:val="20"/>
              </w:rPr>
              <w:t>
акиматы столицы, областей, городов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подлежит определению при утверждении РБ с указанием конкретных сумм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формирования РБ,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индексации должностных окладов государственных служащих, в том числе дифференцированно с акцентом на средние и низкие звенья, с 1 января 2029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АДГС (по согласованию), МИИЦР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формирования РБ, МБ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формирования РБ,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предложений по улучшению условий оплаты труда с учетом пилотного проекта по внедрению горизонтального карьерного продвижения государственных служащих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АДГС (по согласованию), МФ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формирования РБ, МБ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формирования РБ,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Создание качественных рабочих мест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качественных рабочих мест в разрезе основных видов экономической деятельности до 3,8 млн человек к 2029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2"/>
          <w:p>
            <w:pPr>
              <w:spacing w:after="20"/>
              <w:ind w:left="20"/>
              <w:jc w:val="both"/>
            </w:pPr>
            <w:r>
              <w:rPr>
                <w:rFonts w:ascii="Times New Roman"/>
                <w:b w:val="false"/>
                <w:i w:val="false"/>
                <w:color w:val="000000"/>
                <w:sz w:val="20"/>
              </w:rPr>
              <w:t>
МТСЗН, заинтересованные государственные органы,</w:t>
            </w:r>
          </w:p>
          <w:bookmarkEnd w:id="132"/>
          <w:p>
            <w:pPr>
              <w:spacing w:after="20"/>
              <w:ind w:left="20"/>
              <w:jc w:val="both"/>
            </w:pPr>
            <w:r>
              <w:rPr>
                <w:rFonts w:ascii="Times New Roman"/>
                <w:b w:val="false"/>
                <w:i w:val="false"/>
                <w:color w:val="000000"/>
                <w:sz w:val="20"/>
              </w:rPr>
              <w:t>
акиматы столицы, областей, городов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средств, предусмотренных в РБ, МБ, внебюджетные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средств, предусмотренных в РБ, МБ, внебюджетные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рабочих мест в рамках запуска и реализации 17 крупных кластерных проектов, определенных Правительством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МЭ, МСХ, МТС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инвестиционных проектов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инвестиционных проектов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3"/>
          <w:p>
            <w:pPr>
              <w:spacing w:after="20"/>
              <w:ind w:left="20"/>
              <w:jc w:val="both"/>
            </w:pPr>
            <w:r>
              <w:rPr>
                <w:rFonts w:ascii="Times New Roman"/>
                <w:b w:val="false"/>
                <w:i w:val="false"/>
                <w:color w:val="000000"/>
                <w:sz w:val="20"/>
              </w:rPr>
              <w:t>
16</w:t>
            </w:r>
          </w:p>
          <w:bookmarkEnd w:id="133"/>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4"/>
          <w:p>
            <w:pPr>
              <w:spacing w:after="20"/>
              <w:ind w:left="20"/>
              <w:jc w:val="both"/>
            </w:pPr>
            <w:r>
              <w:rPr>
                <w:rFonts w:ascii="Times New Roman"/>
                <w:b w:val="false"/>
                <w:i w:val="false"/>
                <w:color w:val="000000"/>
                <w:sz w:val="20"/>
              </w:rPr>
              <w:t>
Проведение отбора проектов по критериям, включающим:</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стратегическую значимость и вклад в достижение национальных приоритетов (увеличение ВВП, экспортного потенциала, занятости и производительности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потенциала экспорта и импортозамещения и локализации производств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стоимость проекта не ниже 15 млрд тенге, за исключением проектов в отрасли АПК, машиностроения и экспортных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постоянных рабочих мест с приоритетом для регионов с низкой инвестиционной активностью;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подтвержденной финансовой модели и источников софинансирования, обеспечивающих окупаемость проекта в среднесрочной перспективе;</w:t>
            </w:r>
          </w:p>
          <w:p>
            <w:pPr>
              <w:spacing w:after="20"/>
              <w:ind w:left="20"/>
              <w:jc w:val="both"/>
            </w:pPr>
            <w:r>
              <w:rPr>
                <w:rFonts w:ascii="Times New Roman"/>
                <w:b w:val="false"/>
                <w:i w:val="false"/>
                <w:color w:val="000000"/>
                <w:sz w:val="20"/>
              </w:rPr>
              <w:t xml:space="preserve">
осуществление финансирования АО "НИХ "Байтерек" оборотного капитала исключительно в рамках инвестиционных проектов, при этом доля финансирования оборотных средств не должна превышать </w:t>
            </w:r>
          </w:p>
          <w:p>
            <w:pPr>
              <w:spacing w:after="20"/>
              <w:ind w:left="20"/>
              <w:jc w:val="both"/>
            </w:pPr>
            <w:r>
              <w:rPr>
                <w:rFonts w:ascii="Times New Roman"/>
                <w:b w:val="false"/>
                <w:i w:val="false"/>
                <w:color w:val="000000"/>
                <w:sz w:val="20"/>
              </w:rPr>
              <w:t>20 % от суммы займа, а не менее 80 % займа направляться на инвестиционные цели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5"/>
          <w:p>
            <w:pPr>
              <w:spacing w:after="20"/>
              <w:ind w:left="20"/>
              <w:jc w:val="both"/>
            </w:pPr>
            <w:r>
              <w:rPr>
                <w:rFonts w:ascii="Times New Roman"/>
                <w:b w:val="false"/>
                <w:i w:val="false"/>
                <w:color w:val="000000"/>
                <w:sz w:val="20"/>
              </w:rPr>
              <w:t xml:space="preserve">
АО "НИХ "Байтерек" (по согласованию), МПС, МЭ, МСХ, МИД, </w:t>
            </w:r>
          </w:p>
          <w:bookmarkEnd w:id="135"/>
          <w:p>
            <w:pPr>
              <w:spacing w:after="20"/>
              <w:ind w:left="20"/>
              <w:jc w:val="both"/>
            </w:pPr>
            <w:r>
              <w:rPr>
                <w:rFonts w:ascii="Times New Roman"/>
                <w:b w:val="false"/>
                <w:i w:val="false"/>
                <w:color w:val="000000"/>
                <w:sz w:val="20"/>
              </w:rPr>
              <w:t>
АО "НК "Kazakh Invest" (по согласованию), МТСЗН, акиматы столицы, областей, городов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рабочих мест в рамках реализации инвестиционных проектов в АПК, в том числе по кредитованию проектов в сфере АПК (тиражирование опыта Северо-Казахстанской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столицы, областей, городов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средств, предусмотренных в РБ, МБ, внебюджетные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средств, предусмотренных в РБ, МБ, внебюджетные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социальных инвестиционных проектов крупными нефтегазовыми горно- металлургическими компаниями (ТШО, КПО, НКОК и др.), в том числе за счет градообразующих предприятий моногородов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МНЭ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столицы, областей, городов республиканского значения, МЭ, МНЭ, МФ, МПС, АО "ФНБ "Самрук-Қазына" (по согласованию), АО "НК "КазМунайГаз" (по согласованию), АО "НК "QazaqGaz" (по согласованию), предприятия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инвестиционных программ недропользователей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недропользователей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роста производительности труда в отдельных секторах экономики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МПС, МЭ, МТС, МЗ, МСХ, МТИ, МТ, МИИЦР, МКИ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планов развития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планов развития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трудоустройством в рамках национальных проектов; свободных вакансий в рамках электронной биржи труда; создания рабочих мест в рамках частных инициатив; субсидируемых рабочих 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 МФ, МПС, МЭ, МСХ, МКИ, МТС, МП, МНВО, МТИ, МИИЦР, МЭПР, МВРИ, МТ, МЗ, акиматы столицы, областей, городов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6"/>
          <w:p>
            <w:pPr>
              <w:spacing w:after="20"/>
              <w:ind w:left="20"/>
              <w:jc w:val="both"/>
            </w:pPr>
            <w:r>
              <w:rPr>
                <w:rFonts w:ascii="Times New Roman"/>
                <w:b w:val="false"/>
                <w:i w:val="false"/>
                <w:color w:val="000000"/>
                <w:sz w:val="20"/>
              </w:rPr>
              <w:t>
декабрь 2026 года</w:t>
            </w:r>
          </w:p>
          <w:bookmarkEnd w:id="13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средств, предусмотренных в РБ, МБ, внебюджетные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средств, предусмотренных в РБ, МБ, внебюджетные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части ставки вознаграждения в рамках программы "Іскер аймақ"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предоставлении государственной поддержки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7"/>
          <w:p>
            <w:pPr>
              <w:spacing w:after="20"/>
              <w:ind w:left="20"/>
              <w:jc w:val="both"/>
            </w:pPr>
            <w:r>
              <w:rPr>
                <w:rFonts w:ascii="Times New Roman"/>
                <w:b w:val="false"/>
                <w:i w:val="false"/>
                <w:color w:val="000000"/>
                <w:sz w:val="20"/>
              </w:rPr>
              <w:t xml:space="preserve">
МНЭ, </w:t>
            </w:r>
          </w:p>
          <w:bookmarkEnd w:id="137"/>
          <w:p>
            <w:pPr>
              <w:spacing w:after="20"/>
              <w:ind w:left="20"/>
              <w:jc w:val="both"/>
            </w:pPr>
            <w:r>
              <w:rPr>
                <w:rFonts w:ascii="Times New Roman"/>
                <w:b w:val="false"/>
                <w:i w:val="false"/>
                <w:color w:val="000000"/>
                <w:sz w:val="20"/>
              </w:rPr>
              <w:t>
акиматы столицы, областей, городов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Гарантирование по кредитам в рамках гарантийных фондов на базе Фонда "Даму"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предоставлении государственной поддержки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8"/>
          <w:p>
            <w:pPr>
              <w:spacing w:after="20"/>
              <w:ind w:left="20"/>
              <w:jc w:val="both"/>
            </w:pPr>
            <w:r>
              <w:rPr>
                <w:rFonts w:ascii="Times New Roman"/>
                <w:b w:val="false"/>
                <w:i w:val="false"/>
                <w:color w:val="000000"/>
                <w:sz w:val="20"/>
              </w:rPr>
              <w:t xml:space="preserve">
МНЭ, </w:t>
            </w:r>
          </w:p>
          <w:bookmarkEnd w:id="138"/>
          <w:p>
            <w:pPr>
              <w:spacing w:after="20"/>
              <w:ind w:left="20"/>
              <w:jc w:val="both"/>
            </w:pPr>
            <w:r>
              <w:rPr>
                <w:rFonts w:ascii="Times New Roman"/>
                <w:b w:val="false"/>
                <w:i w:val="false"/>
                <w:color w:val="000000"/>
                <w:sz w:val="20"/>
              </w:rPr>
              <w:t>
акиматы столицы, областей, городов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9"/>
          <w:p>
            <w:pPr>
              <w:spacing w:after="20"/>
              <w:ind w:left="20"/>
              <w:jc w:val="both"/>
            </w:pPr>
            <w:r>
              <w:rPr>
                <w:rFonts w:ascii="Times New Roman"/>
                <w:b w:val="false"/>
                <w:i w:val="false"/>
                <w:color w:val="000000"/>
                <w:sz w:val="20"/>
              </w:rPr>
              <w:t xml:space="preserve">
2026 – </w:t>
            </w:r>
          </w:p>
          <w:bookmarkEnd w:id="139"/>
          <w:p>
            <w:pPr>
              <w:spacing w:after="20"/>
              <w:ind w:left="20"/>
              <w:jc w:val="both"/>
            </w:pPr>
            <w:r>
              <w:rPr>
                <w:rFonts w:ascii="Times New Roman"/>
                <w:b w:val="false"/>
                <w:i w:val="false"/>
                <w:color w:val="000000"/>
                <w:sz w:val="20"/>
              </w:rPr>
              <w:t>
2029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Льготное финансирование в рамках программы "Өрлеу"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предоставлении государственной поддержки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0"/>
          <w:p>
            <w:pPr>
              <w:spacing w:after="20"/>
              <w:ind w:left="20"/>
              <w:jc w:val="both"/>
            </w:pPr>
            <w:r>
              <w:rPr>
                <w:rFonts w:ascii="Times New Roman"/>
                <w:b w:val="false"/>
                <w:i w:val="false"/>
                <w:color w:val="000000"/>
                <w:sz w:val="20"/>
              </w:rPr>
              <w:t xml:space="preserve">
МНЭ, </w:t>
            </w:r>
          </w:p>
          <w:bookmarkEnd w:id="140"/>
          <w:p>
            <w:pPr>
              <w:spacing w:after="20"/>
              <w:ind w:left="20"/>
              <w:jc w:val="both"/>
            </w:pPr>
            <w:r>
              <w:rPr>
                <w:rFonts w:ascii="Times New Roman"/>
                <w:b w:val="false"/>
                <w:i w:val="false"/>
                <w:color w:val="000000"/>
                <w:sz w:val="20"/>
              </w:rPr>
              <w:t>
акиматы столицы, областей, городов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инструментов государственной поддержки развития креативных индустрий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АО "Qazaqstan Investment Corporation" (по согласованию), акиматы столицы, областей, городов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средств, предусмотренных в МБ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работы по передаче государственного имущества в аренду МСБ с учетом расходов на его содержание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НПП "Атамекен"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Микрокредитование населения в сельских населенных пунктах и малых городах в рамках проекта "Ауыл аманаты" с целью развития предпринимательства, включая развитие личных подсобных хозяйств, сельскохозяйственной кооперации, производственной кооперации, а также несельскохозяйственных и иных видов деятельности, с применением указанных подходов с начала реализации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акиматы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подлежит определению при утверждении РБ с указанием конкретных сумм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формирования РБ,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агрокомпетенциям прокредитованных ЛПХ и управляющих кооперативами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государственных закупках работ и услуг на обучение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НАО "НАНОЦ" (по согласованию), партия "AMANAT" (по согласованию), акиматы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средств, предусмотренных в РБ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средств, предусмотренных в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1"/>
          <w:p>
            <w:pPr>
              <w:spacing w:after="20"/>
              <w:ind w:left="20"/>
              <w:jc w:val="both"/>
            </w:pPr>
            <w:r>
              <w:rPr>
                <w:rFonts w:ascii="Times New Roman"/>
                <w:b w:val="false"/>
                <w:i w:val="false"/>
                <w:color w:val="000000"/>
                <w:sz w:val="20"/>
              </w:rPr>
              <w:t>
Повышение заработных плат работников сельского хозяйства</w:t>
            </w:r>
          </w:p>
          <w:bookmarkEnd w:id="141"/>
          <w:p>
            <w:pPr>
              <w:spacing w:after="20"/>
              <w:ind w:left="20"/>
              <w:jc w:val="both"/>
            </w:pPr>
            <w:r>
              <w:rPr>
                <w:rFonts w:ascii="Times New Roman"/>
                <w:b w:val="false"/>
                <w:i w:val="false"/>
                <w:color w:val="000000"/>
                <w:sz w:val="20"/>
              </w:rPr>
              <w:t>
(за счҰт модернизации производства, внедрения технологий, повышения производительности и развития кооперации)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МТСЗН, акиматы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формирования РБ, МБ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формирования РБ,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2"/>
          <w:p>
            <w:pPr>
              <w:spacing w:after="20"/>
              <w:ind w:left="20"/>
              <w:jc w:val="both"/>
            </w:pPr>
            <w:r>
              <w:rPr>
                <w:rFonts w:ascii="Times New Roman"/>
                <w:b w:val="false"/>
                <w:i w:val="false"/>
                <w:color w:val="000000"/>
                <w:sz w:val="20"/>
              </w:rPr>
              <w:t>
Развитие диверсифицированной занятости в сельской местности посредством вовлечения крупных землепользователей, занимающихся растениеводством, в животноводство путем включения требований для землепользователей, имеющих пахотные угодья свыше 10 тысяч га, но не занимающихся животноводством, по использованию не менее 15 % посевных площадей под кормовые культуры</w:t>
            </w:r>
          </w:p>
          <w:bookmarkEnd w:id="14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акиматы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сельскохозяйственной кооперации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 НПП "Атамекен" (по согласованию), АО "НИХ "Байтерек" (по согласованию), АО "QazIndustry" (по согласованию), АО "QazTrade" (по согласованию), АО "АКК" и акиматы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средств, предусмотренных в РБ, МБ, внебюджетные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рамках средств, предусмотренных в РБ, МБ, внебюджетные средства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Развитие человеческого капитала и повышение занятости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в организациях ТиПО в соответствии с потребностями реального сектора: целевая подготовка кадров по заявкам предприятий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заинтересованные государственные органы, акиматы столицы, областей, городов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средств, предусмотренных в МБ, внебюджетные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средств, предусмотренных в МБ, внебюджетные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спектра взаимодействия долгосрочного партнерства организаций ТиПО с предприятиями (организациями) для увеличения охвата студентов дуальным обучением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3"/>
          <w:p>
            <w:pPr>
              <w:spacing w:after="20"/>
              <w:ind w:left="20"/>
              <w:jc w:val="both"/>
            </w:pPr>
            <w:r>
              <w:rPr>
                <w:rFonts w:ascii="Times New Roman"/>
                <w:b w:val="false"/>
                <w:i w:val="false"/>
                <w:color w:val="000000"/>
                <w:sz w:val="20"/>
              </w:rPr>
              <w:t xml:space="preserve">
МП, акиматы столицы, областей, городов республиканского значения, </w:t>
            </w:r>
          </w:p>
          <w:bookmarkEnd w:id="143"/>
          <w:p>
            <w:pPr>
              <w:spacing w:after="20"/>
              <w:ind w:left="20"/>
              <w:jc w:val="both"/>
            </w:pPr>
            <w:r>
              <w:rPr>
                <w:rFonts w:ascii="Times New Roman"/>
                <w:b w:val="false"/>
                <w:i w:val="false"/>
                <w:color w:val="000000"/>
                <w:sz w:val="20"/>
              </w:rPr>
              <w:t>
НПП "Атамекен"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института наставничества на предприятиях и в организациях, в том числе в рамках проекта "Молодежная практика" (не менее 15 тысяч наставников)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НПП "Атамекен"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2029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4. Снижение инфляции и рост реальных доходов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"зелҰного коридора" для приоритетной и бесперебойной поставки СЗПТ в межсезонный и пиковый периоды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МТ, МСХ, МТИ, МВД, акиматы столицы, областей, городов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за соблюдением 15 % торговой надбавки на СЗПТ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акиматы столицы, областей, городов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Сдерживание тарифов на пассажирские перевозки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4"/>
          <w:p>
            <w:pPr>
              <w:spacing w:after="20"/>
              <w:ind w:left="20"/>
              <w:jc w:val="both"/>
            </w:pPr>
            <w:r>
              <w:rPr>
                <w:rFonts w:ascii="Times New Roman"/>
                <w:b w:val="false"/>
                <w:i w:val="false"/>
                <w:color w:val="000000"/>
                <w:sz w:val="20"/>
              </w:rPr>
              <w:t>
МТ, МНЭ, МФ,</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АО "НК "ҚТЖ"</w:t>
            </w:r>
          </w:p>
          <w:p>
            <w:pPr>
              <w:spacing w:after="20"/>
              <w:ind w:left="20"/>
              <w:jc w:val="both"/>
            </w:pPr>
            <w:r>
              <w:rPr>
                <w:rFonts w:ascii="Times New Roman"/>
                <w:b w:val="false"/>
                <w:i w:val="false"/>
                <w:color w:val="000000"/>
                <w:sz w:val="20"/>
              </w:rPr>
              <w:t>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Cнижение тарифа на железнодорожные перевозки СЗПТ на 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5"/>
          <w:p>
            <w:pPr>
              <w:spacing w:after="20"/>
              <w:ind w:left="20"/>
              <w:jc w:val="both"/>
            </w:pPr>
            <w:r>
              <w:rPr>
                <w:rFonts w:ascii="Times New Roman"/>
                <w:b w:val="false"/>
                <w:i w:val="false"/>
                <w:color w:val="000000"/>
                <w:sz w:val="20"/>
              </w:rPr>
              <w:t>
КРЕМ, МТИ, МТ,</w:t>
            </w:r>
          </w:p>
          <w:bookmarkEnd w:id="145"/>
          <w:p>
            <w:pPr>
              <w:spacing w:after="20"/>
              <w:ind w:left="20"/>
              <w:jc w:val="both"/>
            </w:pPr>
            <w:r>
              <w:rPr>
                <w:rFonts w:ascii="Times New Roman"/>
                <w:b w:val="false"/>
                <w:i w:val="false"/>
                <w:color w:val="000000"/>
                <w:sz w:val="20"/>
              </w:rPr>
              <w:t>
АО "НК "ҚТЖ"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6"/>
          <w:p>
            <w:pPr>
              <w:spacing w:after="20"/>
              <w:ind w:left="20"/>
              <w:jc w:val="both"/>
            </w:pPr>
            <w:r>
              <w:rPr>
                <w:rFonts w:ascii="Times New Roman"/>
                <w:b w:val="false"/>
                <w:i w:val="false"/>
                <w:color w:val="000000"/>
                <w:sz w:val="20"/>
              </w:rPr>
              <w:t>
январь</w:t>
            </w:r>
          </w:p>
          <w:bookmarkEnd w:id="146"/>
          <w:p>
            <w:pPr>
              <w:spacing w:after="20"/>
              <w:ind w:left="20"/>
              <w:jc w:val="both"/>
            </w:pPr>
            <w:r>
              <w:rPr>
                <w:rFonts w:ascii="Times New Roman"/>
                <w:b w:val="false"/>
                <w:i w:val="false"/>
                <w:color w:val="000000"/>
                <w:sz w:val="20"/>
              </w:rPr>
              <w:t>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еженедельных сельскохозяйственных ярмарок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столицы, областей, городов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стабилизационных фондов социально значимых продовольственных товаров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товарных интервенций для стабилизации цен на потребительском рынке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МТИ, акиматы столицы, областей, городов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на локальном и внешнем рынках финансовых ресурсов в объеме до 7,0 трлн тенге, в том числе от БВУ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7"/>
          <w:p>
            <w:pPr>
              <w:spacing w:after="20"/>
              <w:ind w:left="20"/>
              <w:jc w:val="both"/>
            </w:pPr>
            <w:r>
              <w:rPr>
                <w:rFonts w:ascii="Times New Roman"/>
                <w:b w:val="false"/>
                <w:i w:val="false"/>
                <w:color w:val="000000"/>
                <w:sz w:val="20"/>
              </w:rPr>
              <w:t>
АО "НИХ "Байтерек" (по согласованию),</w:t>
            </w:r>
          </w:p>
          <w:bookmarkEnd w:id="147"/>
          <w:p>
            <w:pPr>
              <w:spacing w:after="20"/>
              <w:ind w:left="20"/>
              <w:jc w:val="both"/>
            </w:pPr>
            <w:r>
              <w:rPr>
                <w:rFonts w:ascii="Times New Roman"/>
                <w:b w:val="false"/>
                <w:i w:val="false"/>
                <w:color w:val="000000"/>
                <w:sz w:val="20"/>
              </w:rPr>
              <w:t>
АО "БРК" (по согласованию),АО "ФРП" (по согласованию), НБ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рынка, в том числе БВУ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рынка, в том числе БВУ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дополнительных регуляторных мер, направленных на стимулирование кредитования бизнеса со стороны БВУ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НБ (по согласованию), МСХ, МНЭ, МФ, АО "НИХ "Байтерек" (по согласованию), ОЮЛ "Ассоциация финансистов Казахстана"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 Налоговые и социальные меры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восстановлению полного налогового вычета по ипотечным процентам с 2029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Правительство Республики Казахстан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НБ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Проактивное применение инструментов социальной поддержки в отношении семей с доходами ниже черты бедности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СМС-уведомления претендентам на получение социальной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МИИЦР,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проактивного формата оказания социальной поддержки граждан через "социальный кошелек"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 МТИ, МП, МНВО, МФ, МНЭ, акиматы столицы, областей, городов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совершенствованию мер государственной поддержки субъектов социального предпринимательства, включая вопросы налогового стимулирования, имущественной поддержки, доступа к государственным закупкам и финансовым инструментам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8"/>
          <w:p>
            <w:pPr>
              <w:spacing w:after="20"/>
              <w:ind w:left="20"/>
              <w:jc w:val="both"/>
            </w:pPr>
            <w:r>
              <w:rPr>
                <w:rFonts w:ascii="Times New Roman"/>
                <w:b w:val="false"/>
                <w:i w:val="false"/>
                <w:color w:val="000000"/>
                <w:sz w:val="20"/>
              </w:rPr>
              <w:t>
МНЭ,</w:t>
            </w:r>
          </w:p>
          <w:bookmarkEnd w:id="148"/>
          <w:p>
            <w:pPr>
              <w:spacing w:after="20"/>
              <w:ind w:left="20"/>
              <w:jc w:val="both"/>
            </w:pPr>
            <w:r>
              <w:rPr>
                <w:rFonts w:ascii="Times New Roman"/>
                <w:b w:val="false"/>
                <w:i w:val="false"/>
                <w:color w:val="000000"/>
                <w:sz w:val="20"/>
              </w:rPr>
              <w:t>
заинтересованные государственные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Реструктуризация займов субъектов социального предпринимательства с субсидированием части ставки вознаграждения в размере до 50 % номинальной ставки, но не более 24 % годовых, в целях обеспечения занятости социально уязвимых категорий населения и снижения уровня безработицы в регионах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государственной поддержки в рамках действующих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9"/>
          <w:p>
            <w:pPr>
              <w:spacing w:after="20"/>
              <w:ind w:left="20"/>
              <w:jc w:val="both"/>
            </w:pPr>
            <w:r>
              <w:rPr>
                <w:rFonts w:ascii="Times New Roman"/>
                <w:b w:val="false"/>
                <w:i w:val="false"/>
                <w:color w:val="000000"/>
                <w:sz w:val="20"/>
              </w:rPr>
              <w:t xml:space="preserve">
МНЭ, </w:t>
            </w:r>
          </w:p>
          <w:bookmarkEnd w:id="149"/>
          <w:p>
            <w:pPr>
              <w:spacing w:after="20"/>
              <w:ind w:left="20"/>
              <w:jc w:val="both"/>
            </w:pPr>
            <w:r>
              <w:rPr>
                <w:rFonts w:ascii="Times New Roman"/>
                <w:b w:val="false"/>
                <w:i w:val="false"/>
                <w:color w:val="000000"/>
                <w:sz w:val="20"/>
              </w:rPr>
              <w:t>
АО "НИХ "Байтерек" (по согласованию), акиматы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формирования РБ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формирования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отдельных категорий граждан бесплатными лекарственными средствами в рамках ГОБМП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ТОО "СК-Фармация"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6. Снижение долговой нагрузки и улучшение финансовой активности населения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Урегулирование просроченной задолженности граждан по потребительским кредитам в банках и МФО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0"/>
          <w:p>
            <w:pPr>
              <w:spacing w:after="20"/>
              <w:ind w:left="20"/>
              <w:jc w:val="both"/>
            </w:pPr>
            <w:r>
              <w:rPr>
                <w:rFonts w:ascii="Times New Roman"/>
                <w:b w:val="false"/>
                <w:i w:val="false"/>
                <w:color w:val="000000"/>
                <w:sz w:val="20"/>
              </w:rPr>
              <w:t>
АРРФР (по согласованию),</w:t>
            </w:r>
          </w:p>
          <w:bookmarkEnd w:id="150"/>
          <w:p>
            <w:pPr>
              <w:spacing w:after="20"/>
              <w:ind w:left="20"/>
              <w:jc w:val="both"/>
            </w:pPr>
            <w:r>
              <w:rPr>
                <w:rFonts w:ascii="Times New Roman"/>
                <w:b w:val="false"/>
                <w:i w:val="false"/>
                <w:color w:val="000000"/>
                <w:sz w:val="20"/>
              </w:rPr>
              <w:t>
акиматы столицы, областей, городов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на площадке банковского и микрофинансового омбудсманов единой платформы коллективного урегулирования задолженности по потребительским беззалоговым займам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и функционирование единой платформы коллективного урегулирования задолженности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НБ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методики расчета предельного уровня годовой эффективной ставки вознаграждения (ГЭСВ) по потребительским кредитам с учетом средневзвешенных рыночных значений ГЭСВ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НБ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системы гарантирования образовательных кредитов путем расширения перечня банков-участников, внедрения конкурентных условий участия и обеспечения снижения процентных ставок (ГСВ, ГЭСВ) по образовательным кредитам с учетом наличия государственной гарантии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1"/>
          <w:p>
            <w:pPr>
              <w:spacing w:after="20"/>
              <w:ind w:left="20"/>
              <w:jc w:val="both"/>
            </w:pPr>
            <w:r>
              <w:rPr>
                <w:rFonts w:ascii="Times New Roman"/>
                <w:b w:val="false"/>
                <w:i w:val="false"/>
                <w:color w:val="000000"/>
                <w:sz w:val="20"/>
              </w:rPr>
              <w:t xml:space="preserve">
МФ, МНВО, </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АРРФР (по согласованию), МНЭ, АО "Финансовый центр" (по согласованию),</w:t>
            </w:r>
          </w:p>
          <w:p>
            <w:pPr>
              <w:spacing w:after="20"/>
              <w:ind w:left="20"/>
              <w:jc w:val="both"/>
            </w:pPr>
            <w:r>
              <w:rPr>
                <w:rFonts w:ascii="Times New Roman"/>
                <w:b w:val="false"/>
                <w:i w:val="false"/>
                <w:color w:val="000000"/>
                <w:sz w:val="20"/>
              </w:rPr>
              <w:t xml:space="preserve">
банки второго уровня (по согласованию)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стандартизированного ключевого информационного документа по финансовым продуктам для обеспечения сопоставимости условий и осознанного выбора гражданами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НБ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требований по предотвращению недобросовестных практик при предоставлении финансовых услуг, включая навязывание дополнительных услуг, сокрытие существенных условий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НБ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разъяснительной работы среди населения по активному участию на фондовых рынках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МКИ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оценки пригодности потребительских займов с учетом платежеспособности, долговой нагрузки и признаков повышенного риска мошенничества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НБ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перечня комиссий и иных платежей, подлежащих взиманию при выдаче и обслуживании банковского займа физического лица, не связанного с предпринимательской деятельностью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НБ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Упрощение процедуры банкротства физических лиц для отдельных категорий социально уязвимых слоев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НБ (по согласованию), МФ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механизма проактивного банкротства физических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НБ (по согласованию), МФ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адресная социальная помощь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"АКК"</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"Аграрная кредитная корпорация"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АКФ "Астана Хаб"</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автономный кластерный фонд "Астана Хаб"</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ААЭ</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атомной энергии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СЗПТ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 значимые продовольственные товары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"НИХ" Байтерек"</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инвестиционный холдинг "Байтерек"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Союз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искусственный интеллект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искусственного интеллекта цифрового развития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ВДС</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ЛПХ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подсобное хозяйство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учебное заведение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"КЦГЧП"</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государственно-частного партнерства"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"БРК"</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"Банк Развития Казахстана"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Агентство Республики Казахстан по регулированию и развитию финансового рынка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КПО</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 "Карачаганак Петролиум Оперейтинг Б.В."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МФО</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микрофинансовая организация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НКОК</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 "Норт Каспиан Оперейтинг Компани Н.В."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развития промышленности"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"Самрук-Қазына"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национального благосостояния "Самрук-Қазына"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национальной статистики Агентства по стратегическому планированию и реформам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"СК-Фармация"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"СК-Фармация"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водных ресурсов и ирригации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туризма и спорта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ТШО</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"Тенгизшевройл"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"НАНОЦ"</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некомерческое акционерное общество "Национальный аграрный научно-образовательный центр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"НИТ"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"Национальные информационные технологии"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национальной безопасности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ЦПЦП</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поддержки цифрового Правительства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"КЦИЭ "QazIndustry"</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"Казахстанский центр индустрии и экспорта "QazIndustry" </w:t>
            </w:r>
          </w:p>
        </w:tc>
      </w:tr>
    </w:tbl>
    <w:p>
      <w:pPr>
        <w:spacing w:after="0"/>
        <w:ind w:left="0"/>
        <w:jc w:val="both"/>
      </w:pPr>
      <w:r>
        <w:rPr>
          <w:rFonts w:ascii="Times New Roman"/>
          <w:b w:val="false"/>
          <w:i w:val="false"/>
          <w:color w:val="000000"/>
          <w:sz w:val="28"/>
        </w:rPr>
        <w:t>
      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