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a413" w14:textId="e80a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866 "О некоторых вопросах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2026 года № 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866 "О некоторых вопросах Министерства культуры и информации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и информации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481-1)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"481-1) разработка и утверждение типовых правил присвоения звания "Почетный гражданин области (города и района)";";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496-72)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496-73)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496-74)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496-103), 496-104), 496-105), 496-106), 496-107), 496-108), 496-109), 496-110), 496-111), 496-112), 496-113), 496-114), 496-115), 496-116) и 496-117)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"496-103) разработка и утверждение методики определения перечня и расчета объемов товаров, необходимых для выполнения мобилизационного заказа в регулируемых сферах деятельности, по согласованию с уполномоченным органом в области мобилизационной подготовки;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496-104)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регулируемых сферах деятельности,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496-105) внесение предложений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496-106) внесение предложений в Правительство Республики Казахстан о разбронировании материальных ценностей государственного резерва для оказания гуманитарной помощи по согласованию с уполномоченным органом в области государственного материального резерва;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496-107) принятие решения о выпуске материальных ценностей из мобилизационного резерва в порядке заимствования по согласованию с уполномоченными органами в области государственного материального резерва и мобилизационной подготовки;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496-108) внесение предложений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о разбронировании материальных ценностей государственного резерва при изменении номенклатуры;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496-109) размещение заказа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496-110) принятие решения о выпуске материальных ценностей из мобилизационного резерва в порядке освежения;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496-111) осуществление передачи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 по решению уполномоченного органа по управлению государственным имуществом по согласованию с государственными органами – получателями и уполномоченным органом в области государственного материального резерва;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496-112) принятие решения о перемещении материальных ценностей мобилизационного резерва по согласованию с уполномоченным органом в области государственного материального резерва;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496-113) организация хранения и освежения материальных ценностей мобилизационного резерва;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496-114) осуществление рассмотрения проектов документов по стандартизации в пределах компетенции, а также подготовки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496-115) выполнение требований по предупреждению чрезвычайных ситуаций;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496-116) организация научных исследований, пропаганды знаний, обучения населения и специалистов в сфере гражданской защиты в пределах компетенции;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496-117) внесение предложений в Правительство Республики Казахстан по объему и структуре расходов по формированию и хранению материальных ценностей мобилизационного резерва;".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10 июня 2026 года;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шестого, седьмого, восьмого, девятого, десятого, одиннадцатого, двенадцатого, тринадцатого, четырнадцатого, пятнадцатого, шестнадцатого, семнадцатого, восемнадцатого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