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a96a" w14:textId="7a1a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Туркестана Туркестанской области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2026 года № 353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в целях обеспечения комплексного развития города Туркестана Туркестанской области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проект </w:t>
      </w:r>
      <w:r>
        <w:rPr>
          <w:rFonts w:ascii="Times New Roman"/>
          <w:b w:val="false"/>
          <w:i w:val="false"/>
          <w:color w:val="000000"/>
          <w:sz w:val="28"/>
        </w:rPr>
        <w:t>Генерального плана</w:t>
      </w:r>
      <w:r>
        <w:rPr>
          <w:rFonts w:ascii="Times New Roman"/>
          <w:b w:val="false"/>
          <w:i w:val="false"/>
          <w:color w:val="000000"/>
          <w:sz w:val="28"/>
        </w:rPr>
        <w:t xml:space="preserve"> города Туркестана Туркестанской области (включая основные положения), одобренный маслихатами Туркестанской области и города Туркестана. </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ноября 2020 года № 793 "О Генеральном плане города Туркестана Туркестанской области (включая основные положения)".</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 № 353</w:t>
            </w:r>
          </w:p>
        </w:tc>
      </w:tr>
    </w:tbl>
    <w:bookmarkStart w:name="z10" w:id="4"/>
    <w:p>
      <w:pPr>
        <w:spacing w:after="0"/>
        <w:ind w:left="0"/>
        <w:jc w:val="left"/>
      </w:pPr>
      <w:r>
        <w:rPr>
          <w:rFonts w:ascii="Times New Roman"/>
          <w:b/>
          <w:i w:val="false"/>
          <w:color w:val="000000"/>
        </w:rPr>
        <w:t xml:space="preserve"> Генеральный план города Туркестана Туркестанской области (включая основные положения)</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Генеральный план города Туркестана (далее - Генеральный план) является основным документом, определяющим комплексное развитие города, включая планировочную организацию территории, градостроительное зонирование, развитие социальной, транспортной и инженерной инфраструктуры, а также обеспечивающим устойчивый рост и развитие туристического сектора и благоустройство на долгосрочную перспективу.</w:t>
      </w:r>
    </w:p>
    <w:bookmarkEnd w:id="6"/>
    <w:bookmarkStart w:name="z13" w:id="7"/>
    <w:p>
      <w:pPr>
        <w:spacing w:after="0"/>
        <w:ind w:left="0"/>
        <w:jc w:val="both"/>
      </w:pPr>
      <w:r>
        <w:rPr>
          <w:rFonts w:ascii="Times New Roman"/>
          <w:b w:val="false"/>
          <w:i w:val="false"/>
          <w:color w:val="000000"/>
          <w:sz w:val="28"/>
        </w:rPr>
        <w:t>
      Максимизация вклада туризма в экономику региона достигается путем комплексного подхода, включающего развитие инфраструктуры, продвижение туристских дестинаций, создание новых туристических продуктов, повышение качества обслуживания и обеспечение устойчивости развития. </w:t>
      </w:r>
    </w:p>
    <w:bookmarkEnd w:id="7"/>
    <w:bookmarkStart w:name="z14" w:id="8"/>
    <w:p>
      <w:pPr>
        <w:spacing w:after="0"/>
        <w:ind w:left="0"/>
        <w:jc w:val="both"/>
      </w:pPr>
      <w:r>
        <w:rPr>
          <w:rFonts w:ascii="Times New Roman"/>
          <w:b w:val="false"/>
          <w:i w:val="false"/>
          <w:color w:val="000000"/>
          <w:sz w:val="28"/>
        </w:rPr>
        <w:t>
      В результате реализации Генерального плана ожидаются повышение инвестиционной привлекательности, развитие транспортной и инженерной инфраструктуры, формирование новых точек экономического роста, а также усиление туристического потенциала и сопутствующих отраслей, что приведет к повышению уровня жизни населения и устойчивости экономики региона.</w:t>
      </w:r>
    </w:p>
    <w:bookmarkEnd w:id="8"/>
    <w:bookmarkStart w:name="z15" w:id="9"/>
    <w:p>
      <w:pPr>
        <w:spacing w:after="0"/>
        <w:ind w:left="0"/>
        <w:jc w:val="both"/>
      </w:pPr>
      <w:r>
        <w:rPr>
          <w:rFonts w:ascii="Times New Roman"/>
          <w:b w:val="false"/>
          <w:i w:val="false"/>
          <w:color w:val="000000"/>
          <w:sz w:val="28"/>
        </w:rPr>
        <w:t>
      Генеральный план определяет долгосрочные перспективы территориального развития города Туркестана, формирования архитектурно-планировочной структуры, функционально-градостроительного зонирования территории, принципиальные решения по организации системы обслуживания и размещения объектов общегородского назначения, развития улично-дорожной сети и транспортного обслуживания, инженерной инфраструктуры, предложения по инженерной защите и подготовке территории, градостроительные мероприятия по улучшению экологической обстановки.</w:t>
      </w:r>
    </w:p>
    <w:bookmarkEnd w:id="9"/>
    <w:bookmarkStart w:name="z16" w:id="10"/>
    <w:p>
      <w:pPr>
        <w:spacing w:after="0"/>
        <w:ind w:left="0"/>
        <w:jc w:val="both"/>
      </w:pPr>
      <w:r>
        <w:rPr>
          <w:rFonts w:ascii="Times New Roman"/>
          <w:b w:val="false"/>
          <w:i w:val="false"/>
          <w:color w:val="000000"/>
          <w:sz w:val="28"/>
        </w:rPr>
        <w:t xml:space="preserve">
      Схема Генерального плана (основной чертеж) выполнена в границах перспективного территориального развития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Генеральному плану.</w:t>
      </w:r>
    </w:p>
    <w:bookmarkEnd w:id="10"/>
    <w:bookmarkStart w:name="z17" w:id="11"/>
    <w:p>
      <w:pPr>
        <w:spacing w:after="0"/>
        <w:ind w:left="0"/>
        <w:jc w:val="both"/>
      </w:pPr>
      <w:r>
        <w:rPr>
          <w:rFonts w:ascii="Times New Roman"/>
          <w:b w:val="false"/>
          <w:i w:val="false"/>
          <w:color w:val="000000"/>
          <w:sz w:val="28"/>
        </w:rPr>
        <w:t xml:space="preserve">
      В марте 2025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особом статусе города Туркестана", что позволит сформировать эффективную систему управления и сохранения памятников и объектов историко-культурного значения города, в том числе расположенных в охранной зоне мавзолея Ходжа Ахмеда Ясауи. Генеральным планом приняты следующие проектные периоды:</w:t>
      </w:r>
    </w:p>
    <w:bookmarkEnd w:id="11"/>
    <w:bookmarkStart w:name="z18" w:id="12"/>
    <w:p>
      <w:pPr>
        <w:spacing w:after="0"/>
        <w:ind w:left="0"/>
        <w:jc w:val="both"/>
      </w:pPr>
      <w:r>
        <w:rPr>
          <w:rFonts w:ascii="Times New Roman"/>
          <w:b w:val="false"/>
          <w:i w:val="false"/>
          <w:color w:val="000000"/>
          <w:sz w:val="28"/>
        </w:rPr>
        <w:t>
      Исходный год - 2024 год;</w:t>
      </w:r>
    </w:p>
    <w:bookmarkEnd w:id="12"/>
    <w:bookmarkStart w:name="z19" w:id="13"/>
    <w:p>
      <w:pPr>
        <w:spacing w:after="0"/>
        <w:ind w:left="0"/>
        <w:jc w:val="both"/>
      </w:pPr>
      <w:r>
        <w:rPr>
          <w:rFonts w:ascii="Times New Roman"/>
          <w:b w:val="false"/>
          <w:i w:val="false"/>
          <w:color w:val="000000"/>
          <w:sz w:val="28"/>
        </w:rPr>
        <w:t>
      Первый этап - 2031 год;</w:t>
      </w:r>
    </w:p>
    <w:bookmarkEnd w:id="13"/>
    <w:bookmarkStart w:name="z20" w:id="14"/>
    <w:p>
      <w:pPr>
        <w:spacing w:after="0"/>
        <w:ind w:left="0"/>
        <w:jc w:val="both"/>
      </w:pPr>
      <w:r>
        <w:rPr>
          <w:rFonts w:ascii="Times New Roman"/>
          <w:b w:val="false"/>
          <w:i w:val="false"/>
          <w:color w:val="000000"/>
          <w:sz w:val="28"/>
        </w:rPr>
        <w:t>
      Расчетный срок - 2044 год.</w:t>
      </w:r>
    </w:p>
    <w:bookmarkEnd w:id="14"/>
    <w:bookmarkStart w:name="z21" w:id="15"/>
    <w:p>
      <w:pPr>
        <w:spacing w:after="0"/>
        <w:ind w:left="0"/>
        <w:jc w:val="left"/>
      </w:pPr>
      <w:r>
        <w:rPr>
          <w:rFonts w:ascii="Times New Roman"/>
          <w:b/>
          <w:i w:val="false"/>
          <w:color w:val="000000"/>
        </w:rPr>
        <w:t xml:space="preserve"> 2. Сведения о городе Туркестане</w:t>
      </w:r>
    </w:p>
    <w:bookmarkEnd w:id="15"/>
    <w:bookmarkStart w:name="z22" w:id="16"/>
    <w:p>
      <w:pPr>
        <w:spacing w:after="0"/>
        <w:ind w:left="0"/>
        <w:jc w:val="both"/>
      </w:pPr>
      <w:r>
        <w:rPr>
          <w:rFonts w:ascii="Times New Roman"/>
          <w:b w:val="false"/>
          <w:i w:val="false"/>
          <w:color w:val="000000"/>
          <w:sz w:val="28"/>
        </w:rPr>
        <w:t>
      Город Туркестан - административный центр Туркестанской области, расположенный в 165 км от города республиканского значения Шымкента, является одним из древнейших городов Казахстана, расположен на автомобильных и железнодорожных транспортных магистралях республиканского значения, связывающих южные области Казахстана с западными и восточными его регионами. Исторические памятники религии и культуры расположены как в городе Туркестане, так и его окрестностях.</w:t>
      </w:r>
    </w:p>
    <w:bookmarkEnd w:id="16"/>
    <w:bookmarkStart w:name="z23" w:id="17"/>
    <w:p>
      <w:pPr>
        <w:spacing w:after="0"/>
        <w:ind w:left="0"/>
        <w:jc w:val="both"/>
      </w:pPr>
      <w:r>
        <w:rPr>
          <w:rFonts w:ascii="Times New Roman"/>
          <w:b w:val="false"/>
          <w:i w:val="false"/>
          <w:color w:val="000000"/>
          <w:sz w:val="28"/>
        </w:rPr>
        <w:t>
      Главная гордость города Туркестана - это мавзолей Ходжа Ахмеда Ясауи, расположенный в историческом ядре города с охранной зоной Древнего Туркестана. В 2000 году город Туркестан отметил свое 1500-летие на мировом уровне, в 2003 году мавзолей Ходжа Ахмеда Ясауи внесен в список Всемирного наследия ЮНЕСКО, в 2017 году на 34-м заседании постоянного Совета министров культуры стран-членов Международной организации тюркской культуры (ТЮРКСОЙ) город Туркестан был избран культурной столицей тюркского мира.</w:t>
      </w:r>
    </w:p>
    <w:bookmarkEnd w:id="17"/>
    <w:bookmarkStart w:name="z24" w:id="18"/>
    <w:p>
      <w:pPr>
        <w:spacing w:after="0"/>
        <w:ind w:left="0"/>
        <w:jc w:val="both"/>
      </w:pPr>
      <w:r>
        <w:rPr>
          <w:rFonts w:ascii="Times New Roman"/>
          <w:b w:val="false"/>
          <w:i w:val="false"/>
          <w:color w:val="000000"/>
          <w:sz w:val="28"/>
        </w:rPr>
        <w:t>
      Город Туркестан является одним из городов, появившихся на Великом шелковом пути, и выгодно расположен на торговых путях между Востоком и Западом. Первые упоминания о Туркестане, как городе, относятся к XV веку.</w:t>
      </w:r>
    </w:p>
    <w:bookmarkEnd w:id="18"/>
    <w:bookmarkStart w:name="z25" w:id="19"/>
    <w:p>
      <w:pPr>
        <w:spacing w:after="0"/>
        <w:ind w:left="0"/>
        <w:jc w:val="both"/>
      </w:pPr>
      <w:r>
        <w:rPr>
          <w:rFonts w:ascii="Times New Roman"/>
          <w:b w:val="false"/>
          <w:i w:val="false"/>
          <w:color w:val="000000"/>
          <w:sz w:val="28"/>
        </w:rPr>
        <w:t>
      Город Туркестан представляет собой крупнейшую жемчужину в ожерелье древних казахстанских городов, протянувшихся от Джунгарских гор через Семиречье и присырдарьинские степи до Аральского моря.</w:t>
      </w:r>
    </w:p>
    <w:bookmarkEnd w:id="19"/>
    <w:bookmarkStart w:name="z26" w:id="20"/>
    <w:p>
      <w:pPr>
        <w:spacing w:after="0"/>
        <w:ind w:left="0"/>
        <w:jc w:val="both"/>
      </w:pPr>
      <w:r>
        <w:rPr>
          <w:rFonts w:ascii="Times New Roman"/>
          <w:b w:val="false"/>
          <w:i w:val="false"/>
          <w:color w:val="000000"/>
          <w:sz w:val="28"/>
        </w:rPr>
        <w:t>
      Утвержденная граница города Туркестана составляет 22 370 гектаров.</w:t>
      </w:r>
    </w:p>
    <w:bookmarkEnd w:id="20"/>
    <w:bookmarkStart w:name="z27" w:id="21"/>
    <w:p>
      <w:pPr>
        <w:spacing w:after="0"/>
        <w:ind w:left="0"/>
        <w:jc w:val="left"/>
      </w:pPr>
      <w:r>
        <w:rPr>
          <w:rFonts w:ascii="Times New Roman"/>
          <w:b/>
          <w:i w:val="false"/>
          <w:color w:val="000000"/>
        </w:rPr>
        <w:t xml:space="preserve"> 3. Природно-климатические и инженерно-геологические аспекты 4.</w:t>
      </w:r>
    </w:p>
    <w:bookmarkEnd w:id="21"/>
    <w:bookmarkStart w:name="z28" w:id="22"/>
    <w:p>
      <w:pPr>
        <w:spacing w:after="0"/>
        <w:ind w:left="0"/>
        <w:jc w:val="both"/>
      </w:pPr>
      <w:r>
        <w:rPr>
          <w:rFonts w:ascii="Times New Roman"/>
          <w:b w:val="false"/>
          <w:i w:val="false"/>
          <w:color w:val="000000"/>
          <w:sz w:val="28"/>
        </w:rPr>
        <w:t>
      Согласно СП РК 2.04-01-2017 "Строительная климатология" территория города Туркестана относится к IVА подрайону, который характеризуется жарким, с перегревными условиями летом, относительно теплой и непродолжительной зимой, дефицитом атмосферных осадков и повышенной ветровой деятельностью. Годовой приток суммарной солнечной радиации на горизонтальную поверхность в городе Туркестане равен в среднем 7000 МДж/м² при ясном небе. Продолжительность солнечного сияния в летние месяцы равна 12-13 часам. Летний период длится 5 месяцев (с начала мая по сентябрь). В летний период преобладают высокие температуры (25-28℃), в дневные часы температура воздуха превышает 30℃. Почва нагревается до 50-55℃, а в отдельные дни и до 70℃. Зима непродолжительная и неустойчивая. Отрицательная температура воздуха регистрируется в декабре - феврале. Среднемесячная температура января равна - -5,4℃, средний максимум - -0,5℃, средний минимум - -9,5℃, абсолютный минимум равен -38℃.</w:t>
      </w:r>
    </w:p>
    <w:bookmarkEnd w:id="22"/>
    <w:bookmarkStart w:name="z29" w:id="23"/>
    <w:p>
      <w:pPr>
        <w:spacing w:after="0"/>
        <w:ind w:left="0"/>
        <w:jc w:val="both"/>
      </w:pPr>
      <w:r>
        <w:rPr>
          <w:rFonts w:ascii="Times New Roman"/>
          <w:b w:val="false"/>
          <w:i w:val="false"/>
          <w:color w:val="000000"/>
          <w:sz w:val="28"/>
        </w:rPr>
        <w:t xml:space="preserve">
      В течение всего года преобладают ветры восточного направления, в летний период высока повторяемость северо-восточных и северо-западных ветров, а в зимний период - восточных ветров и штилей. </w:t>
      </w:r>
    </w:p>
    <w:bookmarkEnd w:id="23"/>
    <w:bookmarkStart w:name="z30" w:id="24"/>
    <w:p>
      <w:pPr>
        <w:spacing w:after="0"/>
        <w:ind w:left="0"/>
        <w:jc w:val="both"/>
      </w:pPr>
      <w:r>
        <w:rPr>
          <w:rFonts w:ascii="Times New Roman"/>
          <w:b w:val="false"/>
          <w:i w:val="false"/>
          <w:color w:val="000000"/>
          <w:sz w:val="28"/>
        </w:rPr>
        <w:t>
      По территории города Туркестана протекают Арысь-Туркестанский магистральный канал (далее - АТК) и река Карашык.</w:t>
      </w:r>
    </w:p>
    <w:bookmarkEnd w:id="24"/>
    <w:bookmarkStart w:name="z31" w:id="25"/>
    <w:p>
      <w:pPr>
        <w:spacing w:after="0"/>
        <w:ind w:left="0"/>
        <w:jc w:val="both"/>
      </w:pPr>
      <w:r>
        <w:rPr>
          <w:rFonts w:ascii="Times New Roman"/>
          <w:b w:val="false"/>
          <w:i w:val="false"/>
          <w:color w:val="000000"/>
          <w:sz w:val="28"/>
        </w:rPr>
        <w:t>
      Река Карашык, временные водотоки, оросительные каналы, дренажные коллекторы составляют гидрографическую сеть на рассматриваемой территории. Длина реки Карашык составляет 198 км, общее падение - 1050 м, средний уклон - 0,0084. Арысь-Туркестанский оросительный канал построен в 1961 году, общая протяженность составляет 142 км, максимальная пропускная способность воды которого 45 м³/сек. Канал пересекает всю рассматриваемую территорию с юго-востока на северо-запад, проходит по северо-восточной границе города Туркестана и формирует на всем своем протяжении обширную четвертую зону ценных поливных сельскохозяйственных земель. Глубина канала составляет 3-4 м, ширина - 20-25 м. От магистрального водотока берет начало развитая сеть распределительных каналов.</w:t>
      </w:r>
    </w:p>
    <w:bookmarkEnd w:id="25"/>
    <w:bookmarkStart w:name="z32" w:id="26"/>
    <w:p>
      <w:pPr>
        <w:spacing w:after="0"/>
        <w:ind w:left="0"/>
        <w:jc w:val="left"/>
      </w:pPr>
      <w:r>
        <w:rPr>
          <w:rFonts w:ascii="Times New Roman"/>
          <w:b/>
          <w:i w:val="false"/>
          <w:color w:val="000000"/>
        </w:rPr>
        <w:t xml:space="preserve"> 4. Социально-экономическое развитие города Туркестана</w:t>
      </w:r>
    </w:p>
    <w:bookmarkEnd w:id="26"/>
    <w:bookmarkStart w:name="z33" w:id="27"/>
    <w:p>
      <w:pPr>
        <w:spacing w:after="0"/>
        <w:ind w:left="0"/>
        <w:jc w:val="both"/>
      </w:pPr>
      <w:r>
        <w:rPr>
          <w:rFonts w:ascii="Times New Roman"/>
          <w:b w:val="false"/>
          <w:i w:val="false"/>
          <w:color w:val="000000"/>
          <w:sz w:val="28"/>
        </w:rPr>
        <w:t>
      Туркестанская область является одним из развитых индустриально-аграрных регионов Республики Казахстан, располагает значительным производственно-экономическим потенциалом. Это один из самых трудоизбыточных регионов Казахстана. Область является крупным производителем и поставщиком хлопка, кожевенного сырья, растительного масла, фруктов, овощей, винограда, бахчевых, макаронных, табачных изделий, алкогольной и безалкогольной продукции. В области производятся также урановые руды, цемент, нефтепродукты, трансформаторы силовые, масляные выключатели, чулочно-носочные, швейные изделия, мебель.</w:t>
      </w:r>
    </w:p>
    <w:bookmarkEnd w:id="27"/>
    <w:bookmarkStart w:name="z34" w:id="28"/>
    <w:p>
      <w:pPr>
        <w:spacing w:after="0"/>
        <w:ind w:left="0"/>
        <w:jc w:val="both"/>
      </w:pPr>
      <w:r>
        <w:rPr>
          <w:rFonts w:ascii="Times New Roman"/>
          <w:b w:val="false"/>
          <w:i w:val="false"/>
          <w:color w:val="000000"/>
          <w:sz w:val="28"/>
        </w:rPr>
        <w:t>
      Пищевая промышленность</w:t>
      </w:r>
    </w:p>
    <w:bookmarkEnd w:id="28"/>
    <w:bookmarkStart w:name="z35" w:id="29"/>
    <w:p>
      <w:pPr>
        <w:spacing w:after="0"/>
        <w:ind w:left="0"/>
        <w:jc w:val="both"/>
      </w:pPr>
      <w:r>
        <w:rPr>
          <w:rFonts w:ascii="Times New Roman"/>
          <w:b w:val="false"/>
          <w:i w:val="false"/>
          <w:color w:val="000000"/>
          <w:sz w:val="28"/>
        </w:rPr>
        <w:t>
      Объем производства продуктов питания составил 1,2 млрд тенге. Пищевая промышленность города представлена в основном предприятиями, производящими хлебобулочные, кондитерские и колбасные изделия.</w:t>
      </w:r>
    </w:p>
    <w:bookmarkEnd w:id="29"/>
    <w:bookmarkStart w:name="z36" w:id="30"/>
    <w:p>
      <w:pPr>
        <w:spacing w:after="0"/>
        <w:ind w:left="0"/>
        <w:jc w:val="both"/>
      </w:pPr>
      <w:r>
        <w:rPr>
          <w:rFonts w:ascii="Times New Roman"/>
          <w:b w:val="false"/>
          <w:i w:val="false"/>
          <w:color w:val="000000"/>
          <w:sz w:val="28"/>
        </w:rPr>
        <w:t>
      Легкая промышленность</w:t>
      </w:r>
    </w:p>
    <w:bookmarkEnd w:id="30"/>
    <w:bookmarkStart w:name="z37" w:id="31"/>
    <w:p>
      <w:pPr>
        <w:spacing w:after="0"/>
        <w:ind w:left="0"/>
        <w:jc w:val="both"/>
      </w:pPr>
      <w:r>
        <w:rPr>
          <w:rFonts w:ascii="Times New Roman"/>
          <w:b w:val="false"/>
          <w:i w:val="false"/>
          <w:color w:val="000000"/>
          <w:sz w:val="28"/>
        </w:rPr>
        <w:t>
      Объем производства легкой промышленности составил 106,8 млн тенге (0,4% от общего объема промышленного производства города).</w:t>
      </w:r>
    </w:p>
    <w:bookmarkEnd w:id="31"/>
    <w:bookmarkStart w:name="z38" w:id="32"/>
    <w:p>
      <w:pPr>
        <w:spacing w:after="0"/>
        <w:ind w:left="0"/>
        <w:jc w:val="both"/>
      </w:pPr>
      <w:r>
        <w:rPr>
          <w:rFonts w:ascii="Times New Roman"/>
          <w:b w:val="false"/>
          <w:i w:val="false"/>
          <w:color w:val="000000"/>
          <w:sz w:val="28"/>
        </w:rPr>
        <w:t>
      На территории города работает фабрика "Turkistan Textile" проектной мощностью производства - 13 тыс. текстильных изделий в месяц, также ведут свою деятельность ТОО "Туркестан - Макта", ТОО "Комбинат фараб" по производству хлопковолокна.</w:t>
      </w:r>
    </w:p>
    <w:bookmarkEnd w:id="32"/>
    <w:bookmarkStart w:name="z39" w:id="33"/>
    <w:p>
      <w:pPr>
        <w:spacing w:after="0"/>
        <w:ind w:left="0"/>
        <w:jc w:val="both"/>
      </w:pPr>
      <w:r>
        <w:rPr>
          <w:rFonts w:ascii="Times New Roman"/>
          <w:b w:val="false"/>
          <w:i w:val="false"/>
          <w:color w:val="000000"/>
          <w:sz w:val="28"/>
        </w:rPr>
        <w:t>
      В городе Туркестане наблюдается рост промышленного производства, особенно в обрабатывающей промышленности, включая производство основных благородных и цветных металлов, продуктов питания и машиностроения. В городе функционируют специальные и индустриальные зоны, планируется реализация новых проектов, таких как производство строительных материалов и мебели.</w:t>
      </w:r>
    </w:p>
    <w:bookmarkEnd w:id="33"/>
    <w:bookmarkStart w:name="z40" w:id="34"/>
    <w:p>
      <w:pPr>
        <w:spacing w:after="0"/>
        <w:ind w:left="0"/>
        <w:jc w:val="both"/>
      </w:pPr>
      <w:r>
        <w:rPr>
          <w:rFonts w:ascii="Times New Roman"/>
          <w:b w:val="false"/>
          <w:i w:val="false"/>
          <w:color w:val="000000"/>
          <w:sz w:val="28"/>
        </w:rPr>
        <w:t>
      Развитие промышленности в городе Туркестане:</w:t>
      </w:r>
    </w:p>
    <w:bookmarkEnd w:id="34"/>
    <w:bookmarkStart w:name="z41" w:id="35"/>
    <w:p>
      <w:pPr>
        <w:spacing w:after="0"/>
        <w:ind w:left="0"/>
        <w:jc w:val="both"/>
      </w:pPr>
      <w:r>
        <w:rPr>
          <w:rFonts w:ascii="Times New Roman"/>
          <w:b w:val="false"/>
          <w:i w:val="false"/>
          <w:color w:val="000000"/>
          <w:sz w:val="28"/>
        </w:rPr>
        <w:t>
      1. Увеличение объемов производства. В последние годы наблюдается рост объемов производства в различных отраслях, таких как черная металлургия, производство продуктов нефтепереработки, напитков, неметаллической минеральной продукции, бумаги, а также легкая промышленность и производство мебели.</w:t>
      </w:r>
    </w:p>
    <w:bookmarkEnd w:id="35"/>
    <w:bookmarkStart w:name="z42" w:id="36"/>
    <w:p>
      <w:pPr>
        <w:spacing w:after="0"/>
        <w:ind w:left="0"/>
        <w:jc w:val="both"/>
      </w:pPr>
      <w:r>
        <w:rPr>
          <w:rFonts w:ascii="Times New Roman"/>
          <w:b w:val="false"/>
          <w:i w:val="false"/>
          <w:color w:val="000000"/>
          <w:sz w:val="28"/>
        </w:rPr>
        <w:t>
      2. Обрабатывающая промышленность. Наибольший вклад в обрабатывающую промышленность вносят производства основных благородных и цветных металлов, продуктов питания и машиностроение.</w:t>
      </w:r>
    </w:p>
    <w:bookmarkEnd w:id="36"/>
    <w:bookmarkStart w:name="z43" w:id="37"/>
    <w:p>
      <w:pPr>
        <w:spacing w:after="0"/>
        <w:ind w:left="0"/>
        <w:jc w:val="both"/>
      </w:pPr>
      <w:r>
        <w:rPr>
          <w:rFonts w:ascii="Times New Roman"/>
          <w:b w:val="false"/>
          <w:i w:val="false"/>
          <w:color w:val="000000"/>
          <w:sz w:val="28"/>
        </w:rPr>
        <w:t>
      3. Специальные и индустриальные зоны. В городе Туркестане функционируют специальная экономическая зона площадью 180 гектаров и индустриальная зона площадью 190 гектаров, которые способствуют развитию промышленности.</w:t>
      </w:r>
    </w:p>
    <w:bookmarkEnd w:id="37"/>
    <w:bookmarkStart w:name="z44" w:id="38"/>
    <w:p>
      <w:pPr>
        <w:spacing w:after="0"/>
        <w:ind w:left="0"/>
        <w:jc w:val="both"/>
      </w:pPr>
      <w:r>
        <w:rPr>
          <w:rFonts w:ascii="Times New Roman"/>
          <w:b w:val="false"/>
          <w:i w:val="false"/>
          <w:color w:val="000000"/>
          <w:sz w:val="28"/>
        </w:rPr>
        <w:t>
      4. Пищевая промышленность. Развитие пищевой промышленности, включая производство продуктов питания, является важной составляющей промышленного сектора города.</w:t>
      </w:r>
    </w:p>
    <w:bookmarkEnd w:id="38"/>
    <w:bookmarkStart w:name="z45" w:id="39"/>
    <w:p>
      <w:pPr>
        <w:spacing w:after="0"/>
        <w:ind w:left="0"/>
        <w:jc w:val="both"/>
      </w:pPr>
      <w:r>
        <w:rPr>
          <w:rFonts w:ascii="Times New Roman"/>
          <w:b w:val="false"/>
          <w:i w:val="false"/>
          <w:color w:val="000000"/>
          <w:sz w:val="28"/>
        </w:rPr>
        <w:t>
      Сельское хозяйство</w:t>
      </w:r>
    </w:p>
    <w:bookmarkEnd w:id="39"/>
    <w:bookmarkStart w:name="z46" w:id="40"/>
    <w:p>
      <w:pPr>
        <w:spacing w:after="0"/>
        <w:ind w:left="0"/>
        <w:jc w:val="both"/>
      </w:pPr>
      <w:r>
        <w:rPr>
          <w:rFonts w:ascii="Times New Roman"/>
          <w:b w:val="false"/>
          <w:i w:val="false"/>
          <w:color w:val="000000"/>
          <w:sz w:val="28"/>
        </w:rPr>
        <w:t>
      Сельскохозяйственное производство играет важную роль в развитии хозяйственного комплекса города Туркестана.</w:t>
      </w:r>
    </w:p>
    <w:bookmarkEnd w:id="40"/>
    <w:bookmarkStart w:name="z47" w:id="41"/>
    <w:p>
      <w:pPr>
        <w:spacing w:after="0"/>
        <w:ind w:left="0"/>
        <w:jc w:val="both"/>
      </w:pPr>
      <w:r>
        <w:rPr>
          <w:rFonts w:ascii="Times New Roman"/>
          <w:b w:val="false"/>
          <w:i w:val="false"/>
          <w:color w:val="000000"/>
          <w:sz w:val="28"/>
        </w:rPr>
        <w:t>
      Согласно данным Агентства по стратегическому планированию и реформам Республики Казахстан валовой выпуск продукции сельского хозяйства в 2023 году составил 9010,05 млн тенге, из них растениеводство составило 6041,0 млн тенге и животноводство 2969,5 млн тенге.</w:t>
      </w:r>
    </w:p>
    <w:bookmarkEnd w:id="41"/>
    <w:bookmarkStart w:name="z48" w:id="42"/>
    <w:p>
      <w:pPr>
        <w:spacing w:after="0"/>
        <w:ind w:left="0"/>
        <w:jc w:val="both"/>
      </w:pPr>
      <w:r>
        <w:rPr>
          <w:rFonts w:ascii="Times New Roman"/>
          <w:b w:val="false"/>
          <w:i w:val="false"/>
          <w:color w:val="000000"/>
          <w:sz w:val="28"/>
        </w:rPr>
        <w:t>
      Основные направления развития агропромышленного комплекса включают:</w:t>
      </w:r>
    </w:p>
    <w:bookmarkEnd w:id="42"/>
    <w:bookmarkStart w:name="z49" w:id="43"/>
    <w:p>
      <w:pPr>
        <w:spacing w:after="0"/>
        <w:ind w:left="0"/>
        <w:jc w:val="both"/>
      </w:pPr>
      <w:r>
        <w:rPr>
          <w:rFonts w:ascii="Times New Roman"/>
          <w:b w:val="false"/>
          <w:i w:val="false"/>
          <w:color w:val="000000"/>
          <w:sz w:val="28"/>
        </w:rPr>
        <w:t>
      повышение эффективности сельскохозяйственного производства, внедрение новых технологий, таких как цифровизация, автоматизация и применение биотехнологий для улучшения сортов растений и пород животных;</w:t>
      </w:r>
    </w:p>
    <w:bookmarkEnd w:id="43"/>
    <w:bookmarkStart w:name="z50" w:id="44"/>
    <w:p>
      <w:pPr>
        <w:spacing w:after="0"/>
        <w:ind w:left="0"/>
        <w:jc w:val="both"/>
      </w:pPr>
      <w:r>
        <w:rPr>
          <w:rFonts w:ascii="Times New Roman"/>
          <w:b w:val="false"/>
          <w:i w:val="false"/>
          <w:color w:val="000000"/>
          <w:sz w:val="28"/>
        </w:rPr>
        <w:t>
      развитие перерабатывающей промышленности, модернизацию существующих и строительство новых перерабатывающих предприятий для увеличения доли переработанной продукции в общем объеме экспорта; </w:t>
      </w:r>
    </w:p>
    <w:bookmarkEnd w:id="44"/>
    <w:bookmarkStart w:name="z51" w:id="45"/>
    <w:p>
      <w:pPr>
        <w:spacing w:after="0"/>
        <w:ind w:left="0"/>
        <w:jc w:val="both"/>
      </w:pPr>
      <w:r>
        <w:rPr>
          <w:rFonts w:ascii="Times New Roman"/>
          <w:b w:val="false"/>
          <w:i w:val="false"/>
          <w:color w:val="000000"/>
          <w:sz w:val="28"/>
        </w:rPr>
        <w:t>
      обеспечение продовольственной безопасности, увеличение производства основных видов сельскохозяйственной продукции для удовлетворения потребностей населения и снижения зависимости от импорта;</w:t>
      </w:r>
    </w:p>
    <w:bookmarkEnd w:id="45"/>
    <w:bookmarkStart w:name="z52" w:id="46"/>
    <w:p>
      <w:pPr>
        <w:spacing w:after="0"/>
        <w:ind w:left="0"/>
        <w:jc w:val="both"/>
      </w:pPr>
      <w:r>
        <w:rPr>
          <w:rFonts w:ascii="Times New Roman"/>
          <w:b w:val="false"/>
          <w:i w:val="false"/>
          <w:color w:val="000000"/>
          <w:sz w:val="28"/>
        </w:rPr>
        <w:t>
      поддержку малых форм хозяйствования, оказание финансовой и организационной помощи фермерским хозяйствам и малым предприятиям; </w:t>
      </w:r>
    </w:p>
    <w:bookmarkEnd w:id="46"/>
    <w:bookmarkStart w:name="z53" w:id="47"/>
    <w:p>
      <w:pPr>
        <w:spacing w:after="0"/>
        <w:ind w:left="0"/>
        <w:jc w:val="both"/>
      </w:pPr>
      <w:r>
        <w:rPr>
          <w:rFonts w:ascii="Times New Roman"/>
          <w:b w:val="false"/>
          <w:i w:val="false"/>
          <w:color w:val="000000"/>
          <w:sz w:val="28"/>
        </w:rPr>
        <w:t>
      развитие сельских территорий, улучшение инфраструктуры, повышение уровня жизни населения в сельской местности;</w:t>
      </w:r>
    </w:p>
    <w:bookmarkEnd w:id="47"/>
    <w:bookmarkStart w:name="z54" w:id="48"/>
    <w:p>
      <w:pPr>
        <w:spacing w:after="0"/>
        <w:ind w:left="0"/>
        <w:jc w:val="both"/>
      </w:pPr>
      <w:r>
        <w:rPr>
          <w:rFonts w:ascii="Times New Roman"/>
          <w:b w:val="false"/>
          <w:i w:val="false"/>
          <w:color w:val="000000"/>
          <w:sz w:val="28"/>
        </w:rPr>
        <w:t>
      экологизацию производства, внедрение принципов устойчивого развития, снижение негативного воздействия на окружающую среду и повышение экологической безопасности;</w:t>
      </w:r>
    </w:p>
    <w:bookmarkEnd w:id="48"/>
    <w:bookmarkStart w:name="z55" w:id="49"/>
    <w:p>
      <w:pPr>
        <w:spacing w:after="0"/>
        <w:ind w:left="0"/>
        <w:jc w:val="both"/>
      </w:pPr>
      <w:r>
        <w:rPr>
          <w:rFonts w:ascii="Times New Roman"/>
          <w:b w:val="false"/>
          <w:i w:val="false"/>
          <w:color w:val="000000"/>
          <w:sz w:val="28"/>
        </w:rPr>
        <w:t>
      экспорт продукции АПК, увеличение объемов экспорта переработанной сельскохозяйственной продукции, выход на новые рынки. </w:t>
      </w:r>
    </w:p>
    <w:bookmarkEnd w:id="49"/>
    <w:bookmarkStart w:name="z56" w:id="50"/>
    <w:p>
      <w:pPr>
        <w:spacing w:after="0"/>
        <w:ind w:left="0"/>
        <w:jc w:val="both"/>
      </w:pPr>
      <w:r>
        <w:rPr>
          <w:rFonts w:ascii="Times New Roman"/>
          <w:b w:val="false"/>
          <w:i w:val="false"/>
          <w:color w:val="000000"/>
          <w:sz w:val="28"/>
        </w:rPr>
        <w:t>
      В целом развитие агропромышленного комплекса является важным фактором социально-экономического развития страны, обеспечивающим продовольственную безопасность, занятость населения и устойчивое развитие сельских территорий. </w:t>
      </w:r>
    </w:p>
    <w:bookmarkEnd w:id="50"/>
    <w:bookmarkStart w:name="z57" w:id="51"/>
    <w:p>
      <w:pPr>
        <w:spacing w:after="0"/>
        <w:ind w:left="0"/>
        <w:jc w:val="both"/>
      </w:pPr>
      <w:r>
        <w:rPr>
          <w:rFonts w:ascii="Times New Roman"/>
          <w:b w:val="false"/>
          <w:i w:val="false"/>
          <w:color w:val="000000"/>
          <w:sz w:val="28"/>
        </w:rPr>
        <w:t>
      Развитие туризма</w:t>
      </w:r>
    </w:p>
    <w:bookmarkEnd w:id="51"/>
    <w:bookmarkStart w:name="z58" w:id="52"/>
    <w:p>
      <w:pPr>
        <w:spacing w:after="0"/>
        <w:ind w:left="0"/>
        <w:jc w:val="both"/>
      </w:pPr>
      <w:r>
        <w:rPr>
          <w:rFonts w:ascii="Times New Roman"/>
          <w:b w:val="false"/>
          <w:i w:val="false"/>
          <w:color w:val="000000"/>
          <w:sz w:val="28"/>
        </w:rPr>
        <w:t>
      Перенос в 2018 году административного центра области из Шымкента в город Туркестан открыл новые возможности для культурного и социально-экономического развития древнего города. Город Туркестан кардинально преобразился и можно сказать вступил в новую эпоху. Географическое положение и колоритная история Туркестана открывают большие возможности для организации взаимовыгодного партнерства с соседями. Город Туркестан кардинально преобразился, став настоящей жемчужиной региона и страны. Здесь уже сданы в эксплуатацию и функционируют административный центр, дворец бракосочетаний, амфитеатр, дворец спорта с бассейном, стадион на семь тыс. мест, конгресс-холл, уникальная научно-техническая библиотека, мечеть на пять тыс. человек, поражающий воображение гребной канал, новые парки и многое другое.</w:t>
      </w:r>
    </w:p>
    <w:bookmarkEnd w:id="52"/>
    <w:bookmarkStart w:name="z59" w:id="53"/>
    <w:p>
      <w:pPr>
        <w:spacing w:after="0"/>
        <w:ind w:left="0"/>
        <w:jc w:val="both"/>
      </w:pPr>
      <w:r>
        <w:rPr>
          <w:rFonts w:ascii="Times New Roman"/>
          <w:b w:val="false"/>
          <w:i w:val="false"/>
          <w:color w:val="000000"/>
          <w:sz w:val="28"/>
        </w:rPr>
        <w:t>
      Особое внимание уделено исторической части города, которая сегодня воспроизводит атмосферу и дух средневековья. Большим событием стало открытие в Туркестане крупнейшего в Центральной Азии многофункционального туристического комплекса "Керуен-сарай", строительство которого началось в декабре 2019 года. Объект расположен на площади 20,5 гектаров в буферной зоне культурного заповедника "Азрет-Султан" напротив мавзолея Ходжа Ахмеда Ясауи. Комплекс включает улицу торговцев и ремесленников времен Шелкового пути, "летучий театр", амфитеатр для проведения конного шоу, восточный базар, торговые ряды и бутики. Все сооружения связаны водным каналом, где проводится театрализованное шоу на воде "Парад лодок".</w:t>
      </w:r>
    </w:p>
    <w:bookmarkEnd w:id="53"/>
    <w:bookmarkStart w:name="z60" w:id="54"/>
    <w:p>
      <w:pPr>
        <w:spacing w:after="0"/>
        <w:ind w:left="0"/>
        <w:jc w:val="both"/>
      </w:pPr>
      <w:r>
        <w:rPr>
          <w:rFonts w:ascii="Times New Roman"/>
          <w:b w:val="false"/>
          <w:i w:val="false"/>
          <w:color w:val="000000"/>
          <w:sz w:val="28"/>
        </w:rPr>
        <w:t>
      Настоящим украшением и мостиком от прошлого к будущему стали возведенные за счет средств частных инвесторов гостиничные комплексы "Rixos", "Hampton by hilton", "Нұр-Әлем", фитнес центр, огромный "Керуен сарай".</w:t>
      </w:r>
    </w:p>
    <w:bookmarkEnd w:id="54"/>
    <w:bookmarkStart w:name="z61" w:id="55"/>
    <w:p>
      <w:pPr>
        <w:spacing w:after="0"/>
        <w:ind w:left="0"/>
        <w:jc w:val="both"/>
      </w:pPr>
      <w:r>
        <w:rPr>
          <w:rFonts w:ascii="Times New Roman"/>
          <w:b w:val="false"/>
          <w:i w:val="false"/>
          <w:color w:val="000000"/>
          <w:sz w:val="28"/>
        </w:rPr>
        <w:t>
      Развитие Туркестана во многом строится на его туристическом потенциале. Можно добавить акцент на инфраструктуру для паломнического туризма.</w:t>
      </w:r>
    </w:p>
    <w:bookmarkEnd w:id="55"/>
    <w:bookmarkStart w:name="z62" w:id="56"/>
    <w:p>
      <w:pPr>
        <w:spacing w:after="0"/>
        <w:ind w:left="0"/>
        <w:jc w:val="both"/>
      </w:pPr>
      <w:r>
        <w:rPr>
          <w:rFonts w:ascii="Times New Roman"/>
          <w:b w:val="false"/>
          <w:i w:val="false"/>
          <w:color w:val="000000"/>
          <w:sz w:val="28"/>
        </w:rPr>
        <w:t>
      Сейчас мировая практика показывает, что туристические города часто делают ставку на глобальную узнаваемость бренда. В этой связи предлагается создание единой концепции брендинга Туркестана, включающего культурные символы, туристические маршруты и национальную идентичность.</w:t>
      </w:r>
    </w:p>
    <w:bookmarkEnd w:id="56"/>
    <w:bookmarkStart w:name="z63" w:id="57"/>
    <w:p>
      <w:pPr>
        <w:spacing w:after="0"/>
        <w:ind w:left="0"/>
        <w:jc w:val="both"/>
      </w:pPr>
      <w:r>
        <w:rPr>
          <w:rFonts w:ascii="Times New Roman"/>
          <w:b w:val="false"/>
          <w:i w:val="false"/>
          <w:color w:val="000000"/>
          <w:sz w:val="28"/>
        </w:rPr>
        <w:t>
      Развитие туризма в Туркестане сосредоточено на развитии инфраструктуры, привлечении инвестиций и продвижении исторического и культурного наследия, что привело к росту туристического потока. Ключевые направления включают реставрацию объектов, строительство новых гостиниц и аквапарков, развитие цифровых сервисов, а также проведение национальных фестивалей и создание этноаулов для демонстрации казахской культуры. Туркестан получил статус туристической столицы тюркского мира, что способствовало его международному признанию и дальнейшему развитию.</w:t>
      </w:r>
    </w:p>
    <w:bookmarkEnd w:id="57"/>
    <w:bookmarkStart w:name="z64" w:id="58"/>
    <w:p>
      <w:pPr>
        <w:spacing w:after="0"/>
        <w:ind w:left="0"/>
        <w:jc w:val="both"/>
      </w:pPr>
      <w:r>
        <w:rPr>
          <w:rFonts w:ascii="Times New Roman"/>
          <w:b w:val="false"/>
          <w:i w:val="false"/>
          <w:color w:val="000000"/>
          <w:sz w:val="28"/>
        </w:rPr>
        <w:t>
      Экономический эффект</w:t>
      </w:r>
    </w:p>
    <w:bookmarkEnd w:id="58"/>
    <w:bookmarkStart w:name="z65" w:id="59"/>
    <w:p>
      <w:pPr>
        <w:spacing w:after="0"/>
        <w:ind w:left="0"/>
        <w:jc w:val="both"/>
      </w:pPr>
      <w:r>
        <w:rPr>
          <w:rFonts w:ascii="Times New Roman"/>
          <w:b w:val="false"/>
          <w:i w:val="false"/>
          <w:color w:val="000000"/>
          <w:sz w:val="28"/>
        </w:rPr>
        <w:t>
      Развитие туристической отрасли положительно сказывается на экономике региона и страны в целом. Расходы казахстанских домашних хозяйств на поездки за 2024 год составили 957,7 млрд тенге, что на 10,2 % больше, чем за 2023 год. Для сравнения, годом ранее этот показатель вырос на 34,9 %.</w:t>
      </w:r>
    </w:p>
    <w:bookmarkEnd w:id="59"/>
    <w:bookmarkStart w:name="z66" w:id="60"/>
    <w:p>
      <w:pPr>
        <w:spacing w:after="0"/>
        <w:ind w:left="0"/>
        <w:jc w:val="both"/>
      </w:pPr>
      <w:r>
        <w:rPr>
          <w:rFonts w:ascii="Times New Roman"/>
          <w:b w:val="false"/>
          <w:i w:val="false"/>
          <w:color w:val="000000"/>
          <w:sz w:val="28"/>
        </w:rPr>
        <w:t>
      Активное продвижение экологического и культурного туризма происходит в рамках инициативы "Таза Қазақстан", направленной на усиление экологической и духовной культуры. Эксперты отрасли отмечают, что устойчивый рост туристических показателей в Туркестане свидетельствует об эффективности государственных программ по развитию внутреннего туризма и повышению туристической привлекательности Казахстана на международной арене.</w:t>
      </w:r>
    </w:p>
    <w:bookmarkEnd w:id="60"/>
    <w:bookmarkStart w:name="z67" w:id="61"/>
    <w:p>
      <w:pPr>
        <w:spacing w:after="0"/>
        <w:ind w:left="0"/>
        <w:jc w:val="both"/>
      </w:pPr>
      <w:r>
        <w:rPr>
          <w:rFonts w:ascii="Times New Roman"/>
          <w:b w:val="false"/>
          <w:i w:val="false"/>
          <w:color w:val="000000"/>
          <w:sz w:val="28"/>
        </w:rPr>
        <w:t>
      Торговля</w:t>
      </w:r>
    </w:p>
    <w:bookmarkEnd w:id="61"/>
    <w:bookmarkStart w:name="z68" w:id="62"/>
    <w:p>
      <w:pPr>
        <w:spacing w:after="0"/>
        <w:ind w:left="0"/>
        <w:jc w:val="both"/>
      </w:pPr>
      <w:r>
        <w:rPr>
          <w:rFonts w:ascii="Times New Roman"/>
          <w:b w:val="false"/>
          <w:i w:val="false"/>
          <w:color w:val="000000"/>
          <w:sz w:val="28"/>
        </w:rPr>
        <w:t>
      Согласно данным Агентства по стратегическому планированию и реформам Республики Казахстан объем реализации розничной торговли в городе Туркестане на 2023 год составил 79,5 млрд тенге, оптовой 36,5 млрд тенге.</w:t>
      </w:r>
    </w:p>
    <w:bookmarkEnd w:id="62"/>
    <w:bookmarkStart w:name="z69" w:id="63"/>
    <w:p>
      <w:pPr>
        <w:spacing w:after="0"/>
        <w:ind w:left="0"/>
        <w:jc w:val="both"/>
      </w:pPr>
      <w:r>
        <w:rPr>
          <w:rFonts w:ascii="Times New Roman"/>
          <w:b w:val="false"/>
          <w:i w:val="false"/>
          <w:color w:val="000000"/>
          <w:sz w:val="28"/>
        </w:rPr>
        <w:t>
      Услуги по предоставлению продуктов питания и напитков составили 14,9 млрд тенге.</w:t>
      </w:r>
    </w:p>
    <w:bookmarkEnd w:id="63"/>
    <w:bookmarkStart w:name="z70" w:id="64"/>
    <w:p>
      <w:pPr>
        <w:spacing w:after="0"/>
        <w:ind w:left="0"/>
        <w:jc w:val="both"/>
      </w:pPr>
      <w:r>
        <w:rPr>
          <w:rFonts w:ascii="Times New Roman"/>
          <w:b w:val="false"/>
          <w:i w:val="false"/>
          <w:color w:val="000000"/>
          <w:sz w:val="28"/>
        </w:rPr>
        <w:t>
      Развитие торговли в Туркестане в значительной степени связано с его особым статусом как духовного, историко-культурного и туристического центра. Увеличение туристического потока, вызванное этим статусом, способствует росту спроса на товары и услуги, что в свою очередь стимулирует развитие торговли. </w:t>
      </w:r>
    </w:p>
    <w:bookmarkEnd w:id="64"/>
    <w:bookmarkStart w:name="z71" w:id="65"/>
    <w:p>
      <w:pPr>
        <w:spacing w:after="0"/>
        <w:ind w:left="0"/>
        <w:jc w:val="both"/>
      </w:pPr>
      <w:r>
        <w:rPr>
          <w:rFonts w:ascii="Times New Roman"/>
          <w:b w:val="false"/>
          <w:i w:val="false"/>
          <w:color w:val="000000"/>
          <w:sz w:val="28"/>
        </w:rPr>
        <w:t>
      Строительство</w:t>
      </w:r>
    </w:p>
    <w:bookmarkEnd w:id="65"/>
    <w:bookmarkStart w:name="z72" w:id="66"/>
    <w:p>
      <w:pPr>
        <w:spacing w:after="0"/>
        <w:ind w:left="0"/>
        <w:jc w:val="both"/>
      </w:pPr>
      <w:r>
        <w:rPr>
          <w:rFonts w:ascii="Times New Roman"/>
          <w:b w:val="false"/>
          <w:i w:val="false"/>
          <w:color w:val="000000"/>
          <w:sz w:val="28"/>
        </w:rPr>
        <w:t>
      Общая площадь жилого фонда составляет 4213,6 тыс. м², из них жилая площадь - 2872,8 тыс. м². Количество жилых домов составляет 31837 штук, из них индивидуальные жилые дома - 31179 штук, многоквартирные дома - 658 штук. Обеспеченность жильем составляет 19 м²/чел.</w:t>
      </w:r>
    </w:p>
    <w:bookmarkEnd w:id="66"/>
    <w:bookmarkStart w:name="z73" w:id="67"/>
    <w:p>
      <w:pPr>
        <w:spacing w:after="0"/>
        <w:ind w:left="0"/>
        <w:jc w:val="both"/>
      </w:pPr>
      <w:r>
        <w:rPr>
          <w:rFonts w:ascii="Times New Roman"/>
          <w:b w:val="false"/>
          <w:i w:val="false"/>
          <w:color w:val="000000"/>
          <w:sz w:val="28"/>
        </w:rPr>
        <w:t>
      Объем строительства за 2023 год составил 219,6 млрд тенге, на 103,3 % к прошлому году.</w:t>
      </w:r>
    </w:p>
    <w:bookmarkEnd w:id="67"/>
    <w:bookmarkStart w:name="z74" w:id="68"/>
    <w:p>
      <w:pPr>
        <w:spacing w:after="0"/>
        <w:ind w:left="0"/>
        <w:jc w:val="both"/>
      </w:pPr>
      <w:r>
        <w:rPr>
          <w:rFonts w:ascii="Times New Roman"/>
          <w:b w:val="false"/>
          <w:i w:val="false"/>
          <w:color w:val="000000"/>
          <w:sz w:val="28"/>
        </w:rPr>
        <w:t>
      Новое строительство предполагает создание объектов с учетом будущих потребностей и изменений, а также использованием современных технологий и материалов. Это включает в себя не только возведение новых зданий и сооружений, но и реконструкцию существующих, с акцентом на устойчивость, энергоэффективность и адаптивность к изменяющимся условиям.</w:t>
      </w:r>
    </w:p>
    <w:bookmarkEnd w:id="68"/>
    <w:bookmarkStart w:name="z75" w:id="69"/>
    <w:p>
      <w:pPr>
        <w:spacing w:after="0"/>
        <w:ind w:left="0"/>
        <w:jc w:val="both"/>
      </w:pPr>
      <w:r>
        <w:rPr>
          <w:rFonts w:ascii="Times New Roman"/>
          <w:b w:val="false"/>
          <w:i w:val="false"/>
          <w:color w:val="000000"/>
          <w:sz w:val="28"/>
        </w:rPr>
        <w:t>
      Инвестиции</w:t>
      </w:r>
    </w:p>
    <w:bookmarkEnd w:id="69"/>
    <w:bookmarkStart w:name="z76" w:id="70"/>
    <w:p>
      <w:pPr>
        <w:spacing w:after="0"/>
        <w:ind w:left="0"/>
        <w:jc w:val="both"/>
      </w:pPr>
      <w:r>
        <w:rPr>
          <w:rFonts w:ascii="Times New Roman"/>
          <w:b w:val="false"/>
          <w:i w:val="false"/>
          <w:color w:val="000000"/>
          <w:sz w:val="28"/>
        </w:rPr>
        <w:t>
      Согласно данным Агентства по стратегическому планированию и реформам Республики Казахстан общий объем инвестиций в основной капитал за 2023 год составил 323,5 млрд тенге.</w:t>
      </w:r>
    </w:p>
    <w:bookmarkEnd w:id="70"/>
    <w:bookmarkStart w:name="z77" w:id="71"/>
    <w:p>
      <w:pPr>
        <w:spacing w:after="0"/>
        <w:ind w:left="0"/>
        <w:jc w:val="both"/>
      </w:pPr>
      <w:r>
        <w:rPr>
          <w:rFonts w:ascii="Times New Roman"/>
          <w:b w:val="false"/>
          <w:i w:val="false"/>
          <w:color w:val="000000"/>
          <w:sz w:val="28"/>
        </w:rPr>
        <w:t>
      Уменьшилась доля инвестиций в работы по строительству и ремонту зданий и сооружений с 327760,0 млн тенге в 2020 году на 274480,8 млн тенге в 2023 году.</w:t>
      </w:r>
    </w:p>
    <w:bookmarkEnd w:id="71"/>
    <w:bookmarkStart w:name="z78" w:id="72"/>
    <w:p>
      <w:pPr>
        <w:spacing w:after="0"/>
        <w:ind w:left="0"/>
        <w:jc w:val="both"/>
      </w:pPr>
      <w:r>
        <w:rPr>
          <w:rFonts w:ascii="Times New Roman"/>
          <w:b w:val="false"/>
          <w:i w:val="false"/>
          <w:color w:val="000000"/>
          <w:sz w:val="28"/>
        </w:rPr>
        <w:t>
      За период с 2020 по 2023 годы основная доля инвестиций приходится на операции с недвижимым имуществом, промышленность.</w:t>
      </w:r>
    </w:p>
    <w:bookmarkEnd w:id="72"/>
    <w:bookmarkStart w:name="z79" w:id="73"/>
    <w:p>
      <w:pPr>
        <w:spacing w:after="0"/>
        <w:ind w:left="0"/>
        <w:jc w:val="both"/>
      </w:pPr>
      <w:r>
        <w:rPr>
          <w:rFonts w:ascii="Times New Roman"/>
          <w:b w:val="false"/>
          <w:i w:val="false"/>
          <w:color w:val="000000"/>
          <w:sz w:val="28"/>
        </w:rPr>
        <w:t>
      Образование</w:t>
      </w:r>
    </w:p>
    <w:bookmarkEnd w:id="73"/>
    <w:bookmarkStart w:name="z80" w:id="74"/>
    <w:p>
      <w:pPr>
        <w:spacing w:after="0"/>
        <w:ind w:left="0"/>
        <w:jc w:val="both"/>
      </w:pPr>
      <w:r>
        <w:rPr>
          <w:rFonts w:ascii="Times New Roman"/>
          <w:b w:val="false"/>
          <w:i w:val="false"/>
          <w:color w:val="000000"/>
          <w:sz w:val="28"/>
        </w:rPr>
        <w:t>
      На территории города расположены 46 общеобразовательных школ проектной мощностью 25214 обучающихся, преподавание ведется на казахском и русском языках обучения.</w:t>
      </w:r>
    </w:p>
    <w:bookmarkEnd w:id="74"/>
    <w:bookmarkStart w:name="z81" w:id="75"/>
    <w:p>
      <w:pPr>
        <w:spacing w:after="0"/>
        <w:ind w:left="0"/>
        <w:jc w:val="both"/>
      </w:pPr>
      <w:r>
        <w:rPr>
          <w:rFonts w:ascii="Times New Roman"/>
          <w:b w:val="false"/>
          <w:i w:val="false"/>
          <w:color w:val="000000"/>
          <w:sz w:val="28"/>
        </w:rPr>
        <w:t>
      Дошкольное образование: на базе школ имеются мини центры, также ведут свою деятельность отдельно стоящие детские сады в количестве 20 штук проектной мощностью 3630 мест.</w:t>
      </w:r>
    </w:p>
    <w:bookmarkEnd w:id="75"/>
    <w:bookmarkStart w:name="z82" w:id="76"/>
    <w:p>
      <w:pPr>
        <w:spacing w:after="0"/>
        <w:ind w:left="0"/>
        <w:jc w:val="both"/>
      </w:pPr>
      <w:r>
        <w:rPr>
          <w:rFonts w:ascii="Times New Roman"/>
          <w:b w:val="false"/>
          <w:i w:val="false"/>
          <w:color w:val="000000"/>
          <w:sz w:val="28"/>
        </w:rPr>
        <w:t>
      В городе Туркестане есть 2 университета - Международный университет имени Ходжа Ахмеда Ясауи и Международный университет туризма и гостеприимства, на начало 2023/2024 учебного года число студентов составило 10787 человек.</w:t>
      </w:r>
    </w:p>
    <w:bookmarkEnd w:id="76"/>
    <w:bookmarkStart w:name="z83" w:id="77"/>
    <w:p>
      <w:pPr>
        <w:spacing w:after="0"/>
        <w:ind w:left="0"/>
        <w:jc w:val="both"/>
      </w:pPr>
      <w:r>
        <w:rPr>
          <w:rFonts w:ascii="Times New Roman"/>
          <w:b w:val="false"/>
          <w:i w:val="false"/>
          <w:color w:val="000000"/>
          <w:sz w:val="28"/>
        </w:rPr>
        <w:t>
      Развитие Туркестана возможно в нижеследующих направлениях:</w:t>
      </w:r>
    </w:p>
    <w:bookmarkEnd w:id="77"/>
    <w:bookmarkStart w:name="z84" w:id="78"/>
    <w:p>
      <w:pPr>
        <w:spacing w:after="0"/>
        <w:ind w:left="0"/>
        <w:jc w:val="both"/>
      </w:pPr>
      <w:r>
        <w:rPr>
          <w:rFonts w:ascii="Times New Roman"/>
          <w:b w:val="false"/>
          <w:i w:val="false"/>
          <w:color w:val="000000"/>
          <w:sz w:val="28"/>
        </w:rPr>
        <w:t>
      1)  увеличение текстильного сырья, хлопка, шелка и шерсти с доведением развития до полного удовлетворения нужд государства в этих видах сырья;</w:t>
      </w:r>
    </w:p>
    <w:bookmarkEnd w:id="78"/>
    <w:bookmarkStart w:name="z85" w:id="79"/>
    <w:p>
      <w:pPr>
        <w:spacing w:after="0"/>
        <w:ind w:left="0"/>
        <w:jc w:val="both"/>
      </w:pPr>
      <w:r>
        <w:rPr>
          <w:rFonts w:ascii="Times New Roman"/>
          <w:b w:val="false"/>
          <w:i w:val="false"/>
          <w:color w:val="000000"/>
          <w:sz w:val="28"/>
        </w:rPr>
        <w:t>
      2) выделение всякого рода жировых веществ - растительного (хлопкового) и животного происхождения - на еду в твердом виде, густого мыла, масла экстра, белого мыла, чистого мыла, колесной мази, гудрона, олеина, стеарина, жировой муки, жировой пыли и т. п. с доведением развития до полной переработки соответствующего сырья, получающегося в хлопководстве и скотоводстве (хлопковые семена и отбросы при заготовке мяса, консервов и замороженного мяса);</w:t>
      </w:r>
    </w:p>
    <w:bookmarkEnd w:id="79"/>
    <w:bookmarkStart w:name="z86" w:id="80"/>
    <w:p>
      <w:pPr>
        <w:spacing w:after="0"/>
        <w:ind w:left="0"/>
        <w:jc w:val="both"/>
      </w:pPr>
      <w:r>
        <w:rPr>
          <w:rFonts w:ascii="Times New Roman"/>
          <w:b w:val="false"/>
          <w:i w:val="false"/>
          <w:color w:val="000000"/>
          <w:sz w:val="28"/>
        </w:rPr>
        <w:t>
      3) выделение целлюлозы из делинта и стеблей хлопчатника, то есть в направлении получения сырья для бумажного производства, а также для производства взрывчатых веществ, искусственного шелка, фибры, искусственного конского волоса и т.п.;</w:t>
      </w:r>
    </w:p>
    <w:bookmarkEnd w:id="80"/>
    <w:bookmarkStart w:name="z87" w:id="81"/>
    <w:p>
      <w:pPr>
        <w:spacing w:after="0"/>
        <w:ind w:left="0"/>
        <w:jc w:val="both"/>
      </w:pPr>
      <w:r>
        <w:rPr>
          <w:rFonts w:ascii="Times New Roman"/>
          <w:b w:val="false"/>
          <w:i w:val="false"/>
          <w:color w:val="000000"/>
          <w:sz w:val="28"/>
        </w:rPr>
        <w:t>
      4) выделение сахаристых веществ - сахара из свеклы, винограда, меда, всевозможных изделий в виде пюре, варенья, консервов и прочего, из фруктов и винограда, в виде сушеных фруктов и т.п.;</w:t>
      </w:r>
    </w:p>
    <w:bookmarkEnd w:id="81"/>
    <w:bookmarkStart w:name="z88" w:id="82"/>
    <w:p>
      <w:pPr>
        <w:spacing w:after="0"/>
        <w:ind w:left="0"/>
        <w:jc w:val="both"/>
      </w:pPr>
      <w:r>
        <w:rPr>
          <w:rFonts w:ascii="Times New Roman"/>
          <w:b w:val="false"/>
          <w:i w:val="false"/>
          <w:color w:val="000000"/>
          <w:sz w:val="28"/>
        </w:rPr>
        <w:t>
      5) добычи солей - калийных (KCl), глауберовой (Na2S04), поваренной (NaCl) и прочих видов сульфатов и хлоридов, имеющихся в легкодоступных для разработки солончаках города Туркестана (запасы солей исчисляются млрд пудов);</w:t>
      </w:r>
    </w:p>
    <w:bookmarkEnd w:id="82"/>
    <w:bookmarkStart w:name="z89" w:id="83"/>
    <w:p>
      <w:pPr>
        <w:spacing w:after="0"/>
        <w:ind w:left="0"/>
        <w:jc w:val="both"/>
      </w:pPr>
      <w:r>
        <w:rPr>
          <w:rFonts w:ascii="Times New Roman"/>
          <w:b w:val="false"/>
          <w:i w:val="false"/>
          <w:color w:val="000000"/>
          <w:sz w:val="28"/>
        </w:rPr>
        <w:t>
      6)  организации на месте производства из вышеперечисленных видов сырья тех конечных продуктов и в таком количестве, которые необходимы для самого города Туркестана и сопредельных с ним стран, т. е.:</w:t>
      </w:r>
    </w:p>
    <w:bookmarkEnd w:id="83"/>
    <w:bookmarkStart w:name="z90" w:id="84"/>
    <w:p>
      <w:pPr>
        <w:spacing w:after="0"/>
        <w:ind w:left="0"/>
        <w:jc w:val="both"/>
      </w:pPr>
      <w:r>
        <w:rPr>
          <w:rFonts w:ascii="Times New Roman"/>
          <w:b w:val="false"/>
          <w:i w:val="false"/>
          <w:color w:val="000000"/>
          <w:sz w:val="28"/>
        </w:rPr>
        <w:t>
      а) хлопчатобумажных тканей различных сортов;</w:t>
      </w:r>
    </w:p>
    <w:bookmarkEnd w:id="84"/>
    <w:bookmarkStart w:name="z91" w:id="85"/>
    <w:p>
      <w:pPr>
        <w:spacing w:after="0"/>
        <w:ind w:left="0"/>
        <w:jc w:val="both"/>
      </w:pPr>
      <w:r>
        <w:rPr>
          <w:rFonts w:ascii="Times New Roman"/>
          <w:b w:val="false"/>
          <w:i w:val="false"/>
          <w:color w:val="000000"/>
          <w:sz w:val="28"/>
        </w:rPr>
        <w:t>
      б) шелковых тканей различных сортов;</w:t>
      </w:r>
    </w:p>
    <w:bookmarkEnd w:id="85"/>
    <w:bookmarkStart w:name="z92" w:id="86"/>
    <w:p>
      <w:pPr>
        <w:spacing w:after="0"/>
        <w:ind w:left="0"/>
        <w:jc w:val="both"/>
      </w:pPr>
      <w:r>
        <w:rPr>
          <w:rFonts w:ascii="Times New Roman"/>
          <w:b w:val="false"/>
          <w:i w:val="false"/>
          <w:color w:val="000000"/>
          <w:sz w:val="28"/>
        </w:rPr>
        <w:t>
      в) шерстяных тканей различных сортов;</w:t>
      </w:r>
    </w:p>
    <w:bookmarkEnd w:id="86"/>
    <w:bookmarkStart w:name="z93" w:id="87"/>
    <w:p>
      <w:pPr>
        <w:spacing w:after="0"/>
        <w:ind w:left="0"/>
        <w:jc w:val="both"/>
      </w:pPr>
      <w:r>
        <w:rPr>
          <w:rFonts w:ascii="Times New Roman"/>
          <w:b w:val="false"/>
          <w:i w:val="false"/>
          <w:color w:val="000000"/>
          <w:sz w:val="28"/>
        </w:rPr>
        <w:t>
      г) бумаги различных сортов;</w:t>
      </w:r>
    </w:p>
    <w:bookmarkEnd w:id="87"/>
    <w:bookmarkStart w:name="z94" w:id="88"/>
    <w:p>
      <w:pPr>
        <w:spacing w:after="0"/>
        <w:ind w:left="0"/>
        <w:jc w:val="both"/>
      </w:pPr>
      <w:r>
        <w:rPr>
          <w:rFonts w:ascii="Times New Roman"/>
          <w:b w:val="false"/>
          <w:i w:val="false"/>
          <w:color w:val="000000"/>
          <w:sz w:val="28"/>
        </w:rPr>
        <w:t>
      д) взрывчатых веществ;</w:t>
      </w:r>
    </w:p>
    <w:bookmarkEnd w:id="88"/>
    <w:bookmarkStart w:name="z95" w:id="89"/>
    <w:p>
      <w:pPr>
        <w:spacing w:after="0"/>
        <w:ind w:left="0"/>
        <w:jc w:val="both"/>
      </w:pPr>
      <w:r>
        <w:rPr>
          <w:rFonts w:ascii="Times New Roman"/>
          <w:b w:val="false"/>
          <w:i w:val="false"/>
          <w:color w:val="000000"/>
          <w:sz w:val="28"/>
        </w:rPr>
        <w:t>
      е) сахара;</w:t>
      </w:r>
    </w:p>
    <w:bookmarkEnd w:id="89"/>
    <w:bookmarkStart w:name="z96" w:id="90"/>
    <w:p>
      <w:pPr>
        <w:spacing w:after="0"/>
        <w:ind w:left="0"/>
        <w:jc w:val="both"/>
      </w:pPr>
      <w:r>
        <w:rPr>
          <w:rFonts w:ascii="Times New Roman"/>
          <w:b w:val="false"/>
          <w:i w:val="false"/>
          <w:color w:val="000000"/>
          <w:sz w:val="28"/>
        </w:rPr>
        <w:t>
      ж) ценных химических продуктов, соды, едкого натра, серной кислоты и других;</w:t>
      </w:r>
    </w:p>
    <w:bookmarkEnd w:id="90"/>
    <w:bookmarkStart w:name="z97" w:id="91"/>
    <w:p>
      <w:pPr>
        <w:spacing w:after="0"/>
        <w:ind w:left="0"/>
        <w:jc w:val="both"/>
      </w:pPr>
      <w:r>
        <w:rPr>
          <w:rFonts w:ascii="Times New Roman"/>
          <w:b w:val="false"/>
          <w:i w:val="false"/>
          <w:color w:val="000000"/>
          <w:sz w:val="28"/>
        </w:rPr>
        <w:t>
      з) кож различной обработки.</w:t>
      </w:r>
    </w:p>
    <w:bookmarkEnd w:id="91"/>
    <w:bookmarkStart w:name="z98" w:id="92"/>
    <w:p>
      <w:pPr>
        <w:spacing w:after="0"/>
        <w:ind w:left="0"/>
        <w:jc w:val="left"/>
      </w:pPr>
      <w:r>
        <w:rPr>
          <w:rFonts w:ascii="Times New Roman"/>
          <w:b/>
          <w:i w:val="false"/>
          <w:color w:val="000000"/>
        </w:rPr>
        <w:t xml:space="preserve"> 5. Анализ демографической ситуации и прогноз численности населения</w:t>
      </w:r>
    </w:p>
    <w:bookmarkEnd w:id="92"/>
    <w:bookmarkStart w:name="z99" w:id="93"/>
    <w:p>
      <w:pPr>
        <w:spacing w:after="0"/>
        <w:ind w:left="0"/>
        <w:jc w:val="both"/>
      </w:pPr>
      <w:r>
        <w:rPr>
          <w:rFonts w:ascii="Times New Roman"/>
          <w:b w:val="false"/>
          <w:i w:val="false"/>
          <w:color w:val="000000"/>
          <w:sz w:val="28"/>
        </w:rPr>
        <w:t>
      На начало 2024 года численность населения города Туркестана составила 228,1 тыс. человек. По сравнению с результатами переписи населения 2009 года она возросла на 85,1 тыс. человек или на 37,3 % (таблица 4.1.1).</w:t>
      </w:r>
    </w:p>
    <w:bookmarkEnd w:id="93"/>
    <w:bookmarkStart w:name="z100" w:id="94"/>
    <w:p>
      <w:pPr>
        <w:spacing w:after="0"/>
        <w:ind w:left="0"/>
        <w:jc w:val="both"/>
      </w:pPr>
      <w:r>
        <w:rPr>
          <w:rFonts w:ascii="Times New Roman"/>
          <w:b w:val="false"/>
          <w:i w:val="false"/>
          <w:color w:val="000000"/>
          <w:sz w:val="28"/>
        </w:rPr>
        <w:t>
      Численность города Туркестана за 2019 - 2024 годы выросла в 1,4 раза с 164,7 тыс. человек до 228,1 тыс. человек.</w:t>
      </w:r>
    </w:p>
    <w:bookmarkEnd w:id="94"/>
    <w:bookmarkStart w:name="z101" w:id="95"/>
    <w:p>
      <w:pPr>
        <w:spacing w:after="0"/>
        <w:ind w:left="0"/>
        <w:jc w:val="both"/>
      </w:pPr>
      <w:r>
        <w:rPr>
          <w:rFonts w:ascii="Times New Roman"/>
          <w:b w:val="false"/>
          <w:i w:val="false"/>
          <w:color w:val="000000"/>
          <w:sz w:val="28"/>
        </w:rPr>
        <w:t>
      Прогноз численности населения города Туркестана выполнен согласно международному стандарту ООН методом демографического прогнозирования.</w:t>
      </w:r>
    </w:p>
    <w:bookmarkEnd w:id="95"/>
    <w:bookmarkStart w:name="z102" w:id="96"/>
    <w:p>
      <w:pPr>
        <w:spacing w:after="0"/>
        <w:ind w:left="0"/>
        <w:jc w:val="both"/>
      </w:pPr>
      <w:r>
        <w:rPr>
          <w:rFonts w:ascii="Times New Roman"/>
          <w:b w:val="false"/>
          <w:i w:val="false"/>
          <w:color w:val="000000"/>
          <w:sz w:val="28"/>
        </w:rPr>
        <w:t>
      Таким образом, прогнозная численность населения составит:</w:t>
      </w:r>
    </w:p>
    <w:bookmarkEnd w:id="96"/>
    <w:bookmarkStart w:name="z103" w:id="97"/>
    <w:p>
      <w:pPr>
        <w:spacing w:after="0"/>
        <w:ind w:left="0"/>
        <w:jc w:val="both"/>
      </w:pPr>
      <w:r>
        <w:rPr>
          <w:rFonts w:ascii="Times New Roman"/>
          <w:b w:val="false"/>
          <w:i w:val="false"/>
          <w:color w:val="000000"/>
          <w:sz w:val="28"/>
        </w:rPr>
        <w:t>
      1) численность населения на исходный год - 228,1 тыс. человек;</w:t>
      </w:r>
    </w:p>
    <w:bookmarkEnd w:id="97"/>
    <w:bookmarkStart w:name="z104" w:id="98"/>
    <w:p>
      <w:pPr>
        <w:spacing w:after="0"/>
        <w:ind w:left="0"/>
        <w:jc w:val="both"/>
      </w:pPr>
      <w:r>
        <w:rPr>
          <w:rFonts w:ascii="Times New Roman"/>
          <w:b w:val="false"/>
          <w:i w:val="false"/>
          <w:color w:val="000000"/>
          <w:sz w:val="28"/>
        </w:rPr>
        <w:t>
      2) численность населения на 1- ом этапе - 280,0 тыс. человек;</w:t>
      </w:r>
    </w:p>
    <w:bookmarkEnd w:id="98"/>
    <w:bookmarkStart w:name="z105" w:id="99"/>
    <w:p>
      <w:pPr>
        <w:spacing w:after="0"/>
        <w:ind w:left="0"/>
        <w:jc w:val="both"/>
      </w:pPr>
      <w:r>
        <w:rPr>
          <w:rFonts w:ascii="Times New Roman"/>
          <w:b w:val="false"/>
          <w:i w:val="false"/>
          <w:color w:val="000000"/>
          <w:sz w:val="28"/>
        </w:rPr>
        <w:t>
      3) численность населения на расчетный срок - 400,0 тыс. человек.</w:t>
      </w:r>
    </w:p>
    <w:bookmarkEnd w:id="99"/>
    <w:bookmarkStart w:name="z106" w:id="100"/>
    <w:p>
      <w:pPr>
        <w:spacing w:after="0"/>
        <w:ind w:left="0"/>
        <w:jc w:val="left"/>
      </w:pPr>
      <w:r>
        <w:rPr>
          <w:rFonts w:ascii="Times New Roman"/>
          <w:b/>
          <w:i w:val="false"/>
          <w:color w:val="000000"/>
        </w:rPr>
        <w:t xml:space="preserve"> 6. Жилищно-гражданское строительство</w:t>
      </w:r>
    </w:p>
    <w:bookmarkEnd w:id="100"/>
    <w:bookmarkStart w:name="z107" w:id="101"/>
    <w:p>
      <w:pPr>
        <w:spacing w:after="0"/>
        <w:ind w:left="0"/>
        <w:jc w:val="both"/>
      </w:pPr>
      <w:r>
        <w:rPr>
          <w:rFonts w:ascii="Times New Roman"/>
          <w:b w:val="false"/>
          <w:i w:val="false"/>
          <w:color w:val="000000"/>
          <w:sz w:val="28"/>
        </w:rPr>
        <w:t>
      По состоянию на 1 января 2024 года жилищный фонд города составил 4 213,5 тыс. м² общей площади. Для характеристики существующей застройки были использованы материалы Бюро национальной статистики и данные поквартального обследования территории.</w:t>
      </w:r>
    </w:p>
    <w:bookmarkEnd w:id="101"/>
    <w:bookmarkStart w:name="z108" w:id="102"/>
    <w:p>
      <w:pPr>
        <w:spacing w:after="0"/>
        <w:ind w:left="0"/>
        <w:jc w:val="both"/>
      </w:pPr>
      <w:r>
        <w:rPr>
          <w:rFonts w:ascii="Times New Roman"/>
          <w:b w:val="false"/>
          <w:i w:val="false"/>
          <w:color w:val="000000"/>
          <w:sz w:val="28"/>
        </w:rPr>
        <w:t>
      Существующий жилищный фонд представлен преимущественно индивидуальными жилыми домами. Внутри многоквартирного жилищного фонда преобладает 5-9 этажная застройка, также 12-этажная по новому жилому фонду. Из общего количества жилищного фонда государственный фонд составляет 1 %, негосударственный, частный фонд - 99%,</w:t>
      </w:r>
    </w:p>
    <w:bookmarkEnd w:id="102"/>
    <w:bookmarkStart w:name="z109" w:id="103"/>
    <w:p>
      <w:pPr>
        <w:spacing w:after="0"/>
        <w:ind w:left="0"/>
        <w:jc w:val="both"/>
      </w:pPr>
      <w:r>
        <w:rPr>
          <w:rFonts w:ascii="Times New Roman"/>
          <w:b w:val="false"/>
          <w:i w:val="false"/>
          <w:color w:val="000000"/>
          <w:sz w:val="28"/>
        </w:rPr>
        <w:t>
      Жилые дома в аварийном состоянии в городе Туркестане составляют по данным Департамента БНС на 01 января 2024 года - 0,1 тыс. м² общей площади в количестве 1 дома с численностью проживающих 1 человек. Это аварийное жилье подлежит первоочередному сносу, как непригодное для дальнейшей эксплуатации.</w:t>
      </w:r>
    </w:p>
    <w:bookmarkEnd w:id="103"/>
    <w:bookmarkStart w:name="z110" w:id="104"/>
    <w:p>
      <w:pPr>
        <w:spacing w:after="0"/>
        <w:ind w:left="0"/>
        <w:jc w:val="both"/>
      </w:pPr>
      <w:r>
        <w:rPr>
          <w:rFonts w:ascii="Times New Roman"/>
          <w:b w:val="false"/>
          <w:i w:val="false"/>
          <w:color w:val="000000"/>
          <w:sz w:val="28"/>
        </w:rPr>
        <w:t>
      В территориальном отношении ввиду разного уровня освоенности планировочных районов и функционального зонирования жилищный фонд также распределен неравномерно, 22 % и 23 % существующего индивидуального жилого фонда размещено в районе Шаухар и Бекзат, по многоквартирному жилому фонду 80 % размещено в районе Отырар.</w:t>
      </w:r>
    </w:p>
    <w:bookmarkEnd w:id="104"/>
    <w:bookmarkStart w:name="z111" w:id="105"/>
    <w:p>
      <w:pPr>
        <w:spacing w:after="0"/>
        <w:ind w:left="0"/>
        <w:jc w:val="both"/>
      </w:pPr>
      <w:r>
        <w:rPr>
          <w:rFonts w:ascii="Times New Roman"/>
          <w:b w:val="false"/>
          <w:i w:val="false"/>
          <w:color w:val="000000"/>
          <w:sz w:val="28"/>
        </w:rPr>
        <w:t>
      Обеспеченность общей площадью жилья по городу в отчетном году составила 18 м² на человека.</w:t>
      </w:r>
    </w:p>
    <w:bookmarkEnd w:id="105"/>
    <w:bookmarkStart w:name="z112" w:id="106"/>
    <w:p>
      <w:pPr>
        <w:spacing w:after="0"/>
        <w:ind w:left="0"/>
        <w:jc w:val="both"/>
      </w:pPr>
      <w:r>
        <w:rPr>
          <w:rFonts w:ascii="Times New Roman"/>
          <w:b w:val="false"/>
          <w:i w:val="false"/>
          <w:color w:val="000000"/>
          <w:sz w:val="28"/>
        </w:rPr>
        <w:t xml:space="preserve">
      Генеральным планом предлагается максимальное сохранение существующей застройки. За весь проектный период необходимо построить 8093,6 тыс. м² общей площади жилищного фонда, в том числе на первую очередь строительства - 3557,4 тыс. м² общей площади. К расчетному сроку жилищный фонд увеличится до 11199,8 тыс. м² общей площади. </w:t>
      </w:r>
    </w:p>
    <w:bookmarkEnd w:id="106"/>
    <w:bookmarkStart w:name="z113" w:id="107"/>
    <w:p>
      <w:pPr>
        <w:spacing w:after="0"/>
        <w:ind w:left="0"/>
        <w:jc w:val="both"/>
      </w:pPr>
      <w:r>
        <w:rPr>
          <w:rFonts w:ascii="Times New Roman"/>
          <w:b w:val="false"/>
          <w:i w:val="false"/>
          <w:color w:val="000000"/>
          <w:sz w:val="28"/>
        </w:rPr>
        <w:t>
      Современное состояние и проектные предложения по формированию системы обслуживания населения</w:t>
      </w:r>
    </w:p>
    <w:bookmarkEnd w:id="107"/>
    <w:bookmarkStart w:name="z114" w:id="108"/>
    <w:p>
      <w:pPr>
        <w:spacing w:after="0"/>
        <w:ind w:left="0"/>
        <w:jc w:val="both"/>
      </w:pPr>
      <w:r>
        <w:rPr>
          <w:rFonts w:ascii="Times New Roman"/>
          <w:b w:val="false"/>
          <w:i w:val="false"/>
          <w:color w:val="000000"/>
          <w:sz w:val="28"/>
        </w:rPr>
        <w:t>
      В Генеральном плане развитие социальной инфраструктуры на перспективу ориентировано на новые градостроительные и социально - экономические условия и содержит следующие направления:</w:t>
      </w:r>
    </w:p>
    <w:bookmarkEnd w:id="108"/>
    <w:bookmarkStart w:name="z115" w:id="109"/>
    <w:p>
      <w:pPr>
        <w:spacing w:after="0"/>
        <w:ind w:left="0"/>
        <w:jc w:val="both"/>
      </w:pPr>
      <w:r>
        <w:rPr>
          <w:rFonts w:ascii="Times New Roman"/>
          <w:b w:val="false"/>
          <w:i w:val="false"/>
          <w:color w:val="000000"/>
          <w:sz w:val="28"/>
        </w:rPr>
        <w:t>
      формирование системы обслуживания должно быть направлено на доведение до нормативов социально значимых объектов гарантированного уровня;</w:t>
      </w:r>
    </w:p>
    <w:bookmarkEnd w:id="109"/>
    <w:bookmarkStart w:name="z116" w:id="110"/>
    <w:p>
      <w:pPr>
        <w:spacing w:after="0"/>
        <w:ind w:left="0"/>
        <w:jc w:val="both"/>
      </w:pPr>
      <w:r>
        <w:rPr>
          <w:rFonts w:ascii="Times New Roman"/>
          <w:b w:val="false"/>
          <w:i w:val="false"/>
          <w:color w:val="000000"/>
          <w:sz w:val="28"/>
        </w:rPr>
        <w:t>
      создание равноценных социально-культурных и социально - бытовых условий проживания населения во всех районах города за счет увеличения новых видов и типов предприятий обслуживания;</w:t>
      </w:r>
    </w:p>
    <w:bookmarkEnd w:id="110"/>
    <w:bookmarkStart w:name="z117" w:id="111"/>
    <w:p>
      <w:pPr>
        <w:spacing w:after="0"/>
        <w:ind w:left="0"/>
        <w:jc w:val="both"/>
      </w:pPr>
      <w:r>
        <w:rPr>
          <w:rFonts w:ascii="Times New Roman"/>
          <w:b w:val="false"/>
          <w:i w:val="false"/>
          <w:color w:val="000000"/>
          <w:sz w:val="28"/>
        </w:rPr>
        <w:t>
      развитие системы обслуживания на базе сложившейся сети объектов социальной сферы, развивающихся транспортных связей и новых районов жилищно-гражданского строительства;</w:t>
      </w:r>
    </w:p>
    <w:bookmarkEnd w:id="111"/>
    <w:bookmarkStart w:name="z118" w:id="112"/>
    <w:p>
      <w:pPr>
        <w:spacing w:after="0"/>
        <w:ind w:left="0"/>
        <w:jc w:val="both"/>
      </w:pPr>
      <w:r>
        <w:rPr>
          <w:rFonts w:ascii="Times New Roman"/>
          <w:b w:val="false"/>
          <w:i w:val="false"/>
          <w:color w:val="000000"/>
          <w:sz w:val="28"/>
        </w:rPr>
        <w:t>
      постоянное увеличение фонда объектов обслуживания, сохранение существующих учреждений социальной сферы, отвечающих своему назначению.</w:t>
      </w:r>
    </w:p>
    <w:bookmarkEnd w:id="112"/>
    <w:bookmarkStart w:name="z119" w:id="113"/>
    <w:p>
      <w:pPr>
        <w:spacing w:after="0"/>
        <w:ind w:left="0"/>
        <w:jc w:val="both"/>
      </w:pPr>
      <w:r>
        <w:rPr>
          <w:rFonts w:ascii="Times New Roman"/>
          <w:b w:val="false"/>
          <w:i w:val="false"/>
          <w:color w:val="000000"/>
          <w:sz w:val="28"/>
        </w:rPr>
        <w:t>
      Развитие социальной инфраструктуры</w:t>
      </w:r>
    </w:p>
    <w:bookmarkEnd w:id="113"/>
    <w:bookmarkStart w:name="z120" w:id="114"/>
    <w:p>
      <w:pPr>
        <w:spacing w:after="0"/>
        <w:ind w:left="0"/>
        <w:jc w:val="both"/>
      </w:pPr>
      <w:r>
        <w:rPr>
          <w:rFonts w:ascii="Times New Roman"/>
          <w:b w:val="false"/>
          <w:i w:val="false"/>
          <w:color w:val="000000"/>
          <w:sz w:val="28"/>
        </w:rPr>
        <w:t>
      При формировании системы культурно-бытового обслуживания основные усилия должны быть направлены на преодоление отставания в различных видах обслуживания от жилищного строительства и роста численности населения. Генеральным планом предусматривается система культурно-бытового обслуживания, основанная на полном и всестороннем обеспечении жителей города всеми видами культурно-бытового обслуживания.</w:t>
      </w:r>
    </w:p>
    <w:bookmarkEnd w:id="114"/>
    <w:bookmarkStart w:name="z121" w:id="115"/>
    <w:p>
      <w:pPr>
        <w:spacing w:after="0"/>
        <w:ind w:left="0"/>
        <w:jc w:val="both"/>
      </w:pPr>
      <w:r>
        <w:rPr>
          <w:rFonts w:ascii="Times New Roman"/>
          <w:b w:val="false"/>
          <w:i w:val="false"/>
          <w:color w:val="000000"/>
          <w:sz w:val="28"/>
        </w:rPr>
        <w:t>
      Необходимая потребность в составе и вместимости учреждений и предприятий обслуживания на расчетный срок в целом по городу и по территории нового перспективного развития определена в соответствии с проектной численностью населения на 2031 и 2044 год и учетом существующего положения в организации обслуживания населения города.</w:t>
      </w:r>
    </w:p>
    <w:bookmarkEnd w:id="115"/>
    <w:bookmarkStart w:name="z122" w:id="116"/>
    <w:p>
      <w:pPr>
        <w:spacing w:after="0"/>
        <w:ind w:left="0"/>
        <w:jc w:val="both"/>
      </w:pPr>
      <w:r>
        <w:rPr>
          <w:rFonts w:ascii="Times New Roman"/>
          <w:b w:val="false"/>
          <w:i w:val="false"/>
          <w:color w:val="000000"/>
          <w:sz w:val="28"/>
        </w:rPr>
        <w:t>
      Расчет учреждений и предприятий обслуживания производился в соответствии со СП РК 3.01-101-2013 "Градостроительство. Планировка и застройка городских и сельских населенных пунктов", СН РК 3.01-01-2013 "Градостроительство. Планировка и застройка городских и сельских населенных пунктов", СП РК 3.01-01-2008 "Методические указания по разработке проектов планировки частей городов и других населенных пунктов", СП РК 3.01-102-2012 "Планировка и застройка районов индивидуального жилищного строительства" по каждому жилому району решения принимаются в соответствии с рекомендуемым составом застройки, установленными нормами и численностью проживающего населения".</w:t>
      </w:r>
    </w:p>
    <w:bookmarkEnd w:id="116"/>
    <w:bookmarkStart w:name="z123" w:id="117"/>
    <w:p>
      <w:pPr>
        <w:spacing w:after="0"/>
        <w:ind w:left="0"/>
        <w:jc w:val="both"/>
      </w:pPr>
      <w:r>
        <w:rPr>
          <w:rFonts w:ascii="Times New Roman"/>
          <w:b w:val="false"/>
          <w:i w:val="false"/>
          <w:color w:val="000000"/>
          <w:sz w:val="28"/>
        </w:rPr>
        <w:t>
      Образование</w:t>
      </w:r>
    </w:p>
    <w:bookmarkEnd w:id="117"/>
    <w:bookmarkStart w:name="z124" w:id="118"/>
    <w:p>
      <w:pPr>
        <w:spacing w:after="0"/>
        <w:ind w:left="0"/>
        <w:jc w:val="both"/>
      </w:pPr>
      <w:r>
        <w:rPr>
          <w:rFonts w:ascii="Times New Roman"/>
          <w:b w:val="false"/>
          <w:i w:val="false"/>
          <w:color w:val="000000"/>
          <w:sz w:val="28"/>
        </w:rPr>
        <w:t>
      Дошкольные учреждения</w:t>
      </w:r>
    </w:p>
    <w:bookmarkEnd w:id="118"/>
    <w:bookmarkStart w:name="z125" w:id="119"/>
    <w:p>
      <w:pPr>
        <w:spacing w:after="0"/>
        <w:ind w:left="0"/>
        <w:jc w:val="both"/>
      </w:pPr>
      <w:r>
        <w:rPr>
          <w:rFonts w:ascii="Times New Roman"/>
          <w:b w:val="false"/>
          <w:i w:val="false"/>
          <w:color w:val="000000"/>
          <w:sz w:val="28"/>
        </w:rPr>
        <w:t xml:space="preserve">
      В настоящее время в городе имеется 20 постоянных дошкольных учреждений, проектная вместимость которых составляет 3630 мест. </w:t>
      </w:r>
    </w:p>
    <w:bookmarkEnd w:id="119"/>
    <w:bookmarkStart w:name="z126" w:id="120"/>
    <w:p>
      <w:pPr>
        <w:spacing w:after="0"/>
        <w:ind w:left="0"/>
        <w:jc w:val="both"/>
      </w:pPr>
      <w:r>
        <w:rPr>
          <w:rFonts w:ascii="Times New Roman"/>
          <w:b w:val="false"/>
          <w:i w:val="false"/>
          <w:color w:val="000000"/>
          <w:sz w:val="28"/>
        </w:rPr>
        <w:t>
      Имеется 136 дошкольных учреждений негосударственных, находящихся в частной собственности, на 16227 мест.</w:t>
      </w:r>
    </w:p>
    <w:bookmarkEnd w:id="120"/>
    <w:bookmarkStart w:name="z127" w:id="121"/>
    <w:p>
      <w:pPr>
        <w:spacing w:after="0"/>
        <w:ind w:left="0"/>
        <w:jc w:val="both"/>
      </w:pPr>
      <w:r>
        <w:rPr>
          <w:rFonts w:ascii="Times New Roman"/>
          <w:b w:val="false"/>
          <w:i w:val="false"/>
          <w:color w:val="000000"/>
          <w:sz w:val="28"/>
        </w:rPr>
        <w:t>
      Общая вместимость объектов дошкольного воспитания (государственных) к концу расчетного периода составит 24690 мест. Финансирование нового строительства намечается как за счет бюджетных средств, так и за счет частных инвесторов. На первую очередь предусмотрено 52 детских сада общей вместимостью 11500 мест. На расчетный срок предусмотрено размещение 48 детских сада общей вместимостью 9560 мест.</w:t>
      </w:r>
    </w:p>
    <w:bookmarkEnd w:id="121"/>
    <w:bookmarkStart w:name="z128" w:id="122"/>
    <w:p>
      <w:pPr>
        <w:spacing w:after="0"/>
        <w:ind w:left="0"/>
        <w:jc w:val="both"/>
      </w:pPr>
      <w:r>
        <w:rPr>
          <w:rFonts w:ascii="Times New Roman"/>
          <w:b w:val="false"/>
          <w:i w:val="false"/>
          <w:color w:val="000000"/>
          <w:sz w:val="28"/>
        </w:rPr>
        <w:t>
      Общеобразовательные учреждения</w:t>
      </w:r>
    </w:p>
    <w:bookmarkEnd w:id="122"/>
    <w:bookmarkStart w:name="z129" w:id="123"/>
    <w:p>
      <w:pPr>
        <w:spacing w:after="0"/>
        <w:ind w:left="0"/>
        <w:jc w:val="both"/>
      </w:pPr>
      <w:r>
        <w:rPr>
          <w:rFonts w:ascii="Times New Roman"/>
          <w:b w:val="false"/>
          <w:i w:val="false"/>
          <w:color w:val="000000"/>
          <w:sz w:val="28"/>
        </w:rPr>
        <w:t>
      Генеральным планом предусматривается расширение сети общеобразовательных учреждений до масштабов полного охвата неполным средним образованием и до 75% охвата детей средним образованием при обучении в одну смену. Исходя из этого, общая вместимость общеобразовательных школ на конец расчетного срока должна составить 90,0 тыс. обучающихся. На первую очередь планируется размещение 35 школ общей вместимостью 45630 обучающихся, на расчетный срок 18 школ общей вместимостью 19100 обучающихся.</w:t>
      </w:r>
    </w:p>
    <w:bookmarkEnd w:id="123"/>
    <w:bookmarkStart w:name="z130" w:id="124"/>
    <w:p>
      <w:pPr>
        <w:spacing w:after="0"/>
        <w:ind w:left="0"/>
        <w:jc w:val="both"/>
      </w:pPr>
      <w:r>
        <w:rPr>
          <w:rFonts w:ascii="Times New Roman"/>
          <w:b w:val="false"/>
          <w:i w:val="false"/>
          <w:color w:val="000000"/>
          <w:sz w:val="28"/>
        </w:rPr>
        <w:t>
      Средние специальные, профессионально-технические и высшие учебные заведения</w:t>
      </w:r>
    </w:p>
    <w:bookmarkEnd w:id="124"/>
    <w:bookmarkStart w:name="z131" w:id="125"/>
    <w:p>
      <w:pPr>
        <w:spacing w:after="0"/>
        <w:ind w:left="0"/>
        <w:jc w:val="both"/>
      </w:pPr>
      <w:r>
        <w:rPr>
          <w:rFonts w:ascii="Times New Roman"/>
          <w:b w:val="false"/>
          <w:i w:val="false"/>
          <w:color w:val="000000"/>
          <w:sz w:val="28"/>
        </w:rPr>
        <w:t>
      В городе Туркестане 9 учебных заведений, из них 3 учреждения государственные, 6 учреждений негосударственных.</w:t>
      </w:r>
    </w:p>
    <w:bookmarkEnd w:id="125"/>
    <w:bookmarkStart w:name="z132" w:id="126"/>
    <w:p>
      <w:pPr>
        <w:spacing w:after="0"/>
        <w:ind w:left="0"/>
        <w:jc w:val="both"/>
      </w:pPr>
      <w:r>
        <w:rPr>
          <w:rFonts w:ascii="Times New Roman"/>
          <w:b w:val="false"/>
          <w:i w:val="false"/>
          <w:color w:val="000000"/>
          <w:sz w:val="28"/>
        </w:rPr>
        <w:t xml:space="preserve">
      В городе расположен Международный казахско-турецкий университет имени Ходжа Ахмеда Ясауи. МКТУ имени Ходжа Ахмеда Ясауи является первым в Казахстане международным высшим учебным заведением и единственным среди тюркоязычных стран, получившим статус международного. Образовательная деятельность осуществляется по 54-ми специальностям бакалавриата, 30-ти специальностям магистратуры, 11-ти специальностям докторантуры, 3-м - резидентуры и 7-ми интернатуры. Обучение ведется на казахском, турецком, русском и английском языках. Всего в МКТУ имени Ходжа Ахмеда Ясауи обучается 7036 студентов. Преподавательский состав составляют 913 преподавателей. </w:t>
      </w:r>
    </w:p>
    <w:bookmarkEnd w:id="126"/>
    <w:bookmarkStart w:name="z133" w:id="127"/>
    <w:p>
      <w:pPr>
        <w:spacing w:after="0"/>
        <w:ind w:left="0"/>
        <w:jc w:val="both"/>
      </w:pPr>
      <w:r>
        <w:rPr>
          <w:rFonts w:ascii="Times New Roman"/>
          <w:b w:val="false"/>
          <w:i w:val="false"/>
          <w:color w:val="000000"/>
          <w:sz w:val="28"/>
        </w:rPr>
        <w:t>
      Также на территории города расположен Международный университет туризма и гостеприимства, в котором обучается 2068 студентов, с преподавательским составом в 107 преподавателей.</w:t>
      </w:r>
    </w:p>
    <w:bookmarkEnd w:id="127"/>
    <w:bookmarkStart w:name="z134" w:id="128"/>
    <w:p>
      <w:pPr>
        <w:spacing w:after="0"/>
        <w:ind w:left="0"/>
        <w:jc w:val="both"/>
      </w:pPr>
      <w:r>
        <w:rPr>
          <w:rFonts w:ascii="Times New Roman"/>
          <w:b w:val="false"/>
          <w:i w:val="false"/>
          <w:color w:val="000000"/>
          <w:sz w:val="28"/>
        </w:rPr>
        <w:t>
      К частным колледжам относятся: колледж "Болашақ", колледж "Тұран", колледж "Дарын", многопрофильный медицинский колледж "Туркестан", Туркестанский индустриально-педагогический колледж, Туркестанский профессионально-педагогический колледж, этнопедагогический колледж.</w:t>
      </w:r>
    </w:p>
    <w:bookmarkEnd w:id="128"/>
    <w:bookmarkStart w:name="z135" w:id="129"/>
    <w:p>
      <w:pPr>
        <w:spacing w:after="0"/>
        <w:ind w:left="0"/>
        <w:jc w:val="left"/>
      </w:pPr>
      <w:r>
        <w:rPr>
          <w:rFonts w:ascii="Times New Roman"/>
          <w:b/>
          <w:i w:val="false"/>
          <w:color w:val="000000"/>
        </w:rPr>
        <w:t xml:space="preserve"> 7. Инженерная подготовка территории</w:t>
      </w:r>
    </w:p>
    <w:bookmarkEnd w:id="129"/>
    <w:bookmarkStart w:name="z136" w:id="130"/>
    <w:p>
      <w:pPr>
        <w:spacing w:after="0"/>
        <w:ind w:left="0"/>
        <w:jc w:val="both"/>
      </w:pPr>
      <w:r>
        <w:rPr>
          <w:rFonts w:ascii="Times New Roman"/>
          <w:b w:val="false"/>
          <w:i w:val="false"/>
          <w:color w:val="000000"/>
          <w:sz w:val="28"/>
        </w:rPr>
        <w:t>
      Система высот - Балтийская, система координат - местная.</w:t>
      </w:r>
    </w:p>
    <w:bookmarkEnd w:id="130"/>
    <w:bookmarkStart w:name="z137" w:id="131"/>
    <w:p>
      <w:pPr>
        <w:spacing w:after="0"/>
        <w:ind w:left="0"/>
        <w:jc w:val="both"/>
      </w:pPr>
      <w:r>
        <w:rPr>
          <w:rFonts w:ascii="Times New Roman"/>
          <w:b w:val="false"/>
          <w:i w:val="false"/>
          <w:color w:val="000000"/>
          <w:sz w:val="28"/>
        </w:rPr>
        <w:t xml:space="preserve">
      Рельеф местности имеет уклон с северо-востока на юго-запад 3.20 ‰ (19.9 километоров от выезда на Кентау до выезда в село Балтаколь). </w:t>
      </w:r>
    </w:p>
    <w:bookmarkEnd w:id="131"/>
    <w:bookmarkStart w:name="z138" w:id="132"/>
    <w:p>
      <w:pPr>
        <w:spacing w:after="0"/>
        <w:ind w:left="0"/>
        <w:jc w:val="both"/>
      </w:pPr>
      <w:r>
        <w:rPr>
          <w:rFonts w:ascii="Times New Roman"/>
          <w:b w:val="false"/>
          <w:i w:val="false"/>
          <w:color w:val="000000"/>
          <w:sz w:val="28"/>
        </w:rPr>
        <w:t>
      Поверхность проектируемой территории имеет уклон от 3 ‰ до 36 ‰ (за исключением уклонов магистральной дороги республиканского значения) в соответствии с СН РК 4.01-03-2011 и СП РК 3.01-01-2008. Во избежание скопления поверхностных (ливневых) вод и снижения объемов земляных работ был принят уклон минимально 3‰. Данный уклон был достигнут путем организации контруклонов с поднятием проектных отметок (с насыпью грунтов).</w:t>
      </w:r>
    </w:p>
    <w:bookmarkEnd w:id="132"/>
    <w:bookmarkStart w:name="z139" w:id="133"/>
    <w:p>
      <w:pPr>
        <w:spacing w:after="0"/>
        <w:ind w:left="0"/>
        <w:jc w:val="both"/>
      </w:pPr>
      <w:r>
        <w:rPr>
          <w:rFonts w:ascii="Times New Roman"/>
          <w:b w:val="false"/>
          <w:i w:val="false"/>
          <w:color w:val="000000"/>
          <w:sz w:val="28"/>
        </w:rPr>
        <w:t>
      Сброс поверхностных вод с проезжей части, а также с внутриквартальной территории осуществляется в водоотводные каналы (арыки), устраиваемые вдоль проезжей части. При этом ноль/угловые отметки здания необходимо принимать в пределах 0,1-0,4 м от заданной проектной отметки перекрестка.</w:t>
      </w:r>
    </w:p>
    <w:bookmarkEnd w:id="133"/>
    <w:bookmarkStart w:name="z140" w:id="134"/>
    <w:p>
      <w:pPr>
        <w:spacing w:after="0"/>
        <w:ind w:left="0"/>
        <w:jc w:val="left"/>
      </w:pPr>
      <w:r>
        <w:rPr>
          <w:rFonts w:ascii="Times New Roman"/>
          <w:b/>
          <w:i w:val="false"/>
          <w:color w:val="000000"/>
        </w:rPr>
        <w:t xml:space="preserve"> 8. Транспорт и улично-дорожная сеть</w:t>
      </w:r>
    </w:p>
    <w:bookmarkEnd w:id="134"/>
    <w:bookmarkStart w:name="z141" w:id="135"/>
    <w:p>
      <w:pPr>
        <w:spacing w:after="0"/>
        <w:ind w:left="0"/>
        <w:jc w:val="both"/>
      </w:pPr>
      <w:r>
        <w:rPr>
          <w:rFonts w:ascii="Times New Roman"/>
          <w:b w:val="false"/>
          <w:i w:val="false"/>
          <w:color w:val="000000"/>
          <w:sz w:val="28"/>
        </w:rPr>
        <w:t>
      Воздушный транспорт</w:t>
      </w:r>
    </w:p>
    <w:bookmarkEnd w:id="135"/>
    <w:bookmarkStart w:name="z142" w:id="136"/>
    <w:p>
      <w:pPr>
        <w:spacing w:after="0"/>
        <w:ind w:left="0"/>
        <w:jc w:val="both"/>
      </w:pPr>
      <w:r>
        <w:rPr>
          <w:rFonts w:ascii="Times New Roman"/>
          <w:b w:val="false"/>
          <w:i w:val="false"/>
          <w:color w:val="000000"/>
          <w:sz w:val="28"/>
        </w:rPr>
        <w:t>
      Международной аэропорт с пропускной способностью 250 пассажиров в час (3,0 млн пассажиров в год) размещен и функционирует за пределами города, в 16 км северо-восточнее границы города, в 3-х км от села Шага.</w:t>
      </w:r>
    </w:p>
    <w:bookmarkEnd w:id="136"/>
    <w:bookmarkStart w:name="z143" w:id="137"/>
    <w:p>
      <w:pPr>
        <w:spacing w:after="0"/>
        <w:ind w:left="0"/>
        <w:jc w:val="both"/>
      </w:pPr>
      <w:r>
        <w:rPr>
          <w:rFonts w:ascii="Times New Roman"/>
          <w:b w:val="false"/>
          <w:i w:val="false"/>
          <w:color w:val="000000"/>
          <w:sz w:val="28"/>
        </w:rPr>
        <w:t>
      Аэропорт и прилегающие к нему земли на ближайшую перспективу станут инвестиционно-привлекательными для создания бизнес-парков с грузовыми и складскими терминалами, выставочными комплексами, торговыми центрами и т.д. Будущее аэропорта Туркестана связано не только с возрастающими пассажирскими сообщениями как внутри страны, так из-за рубежа, но и наблюдаемыми сегодня темпами роста авиагрузоперевозок. Создание условий для будущего авиационного "хаба" - это завтрашний день города Туркестана.</w:t>
      </w:r>
    </w:p>
    <w:bookmarkEnd w:id="137"/>
    <w:bookmarkStart w:name="z144" w:id="138"/>
    <w:p>
      <w:pPr>
        <w:spacing w:after="0"/>
        <w:ind w:left="0"/>
        <w:jc w:val="both"/>
      </w:pPr>
      <w:r>
        <w:rPr>
          <w:rFonts w:ascii="Times New Roman"/>
          <w:b w:val="false"/>
          <w:i w:val="false"/>
          <w:color w:val="000000"/>
          <w:sz w:val="28"/>
        </w:rPr>
        <w:t>
      Железнодорожный транспорт</w:t>
      </w:r>
    </w:p>
    <w:bookmarkEnd w:id="138"/>
    <w:bookmarkStart w:name="z145" w:id="139"/>
    <w:p>
      <w:pPr>
        <w:spacing w:after="0"/>
        <w:ind w:left="0"/>
        <w:jc w:val="both"/>
      </w:pPr>
      <w:r>
        <w:rPr>
          <w:rFonts w:ascii="Times New Roman"/>
          <w:b w:val="false"/>
          <w:i w:val="false"/>
          <w:color w:val="000000"/>
          <w:sz w:val="28"/>
        </w:rPr>
        <w:t>
      Придание городу Туркестану статуса областного центра, рост численности населения города и пригородной зоны, возобновление деятельности и строительство ряда крупных предприятий вызвали необходимость дальнейшего развития железнодорожного транспорта станции Туркестан с улучшением обслуживания грузопассажирских перевозок.</w:t>
      </w:r>
    </w:p>
    <w:bookmarkEnd w:id="139"/>
    <w:bookmarkStart w:name="z146" w:id="140"/>
    <w:p>
      <w:pPr>
        <w:spacing w:after="0"/>
        <w:ind w:left="0"/>
        <w:jc w:val="both"/>
      </w:pPr>
      <w:r>
        <w:rPr>
          <w:rFonts w:ascii="Times New Roman"/>
          <w:b w:val="false"/>
          <w:i w:val="false"/>
          <w:color w:val="000000"/>
          <w:sz w:val="28"/>
        </w:rPr>
        <w:t>
      На расчетный срок предлагается электрифицировать весь участок железнодорожной магистрали "Туркестан - Шымкент". Завершение электрификации железнодорожной магистрали "Туркестан - Шымкент" (участок 108 км Арысь II-Туркестан) не входит в рамки транспортной инфраструктуры города Туркестана и отмечено в Генеральном плане в виде стратегии "Возрождение туристического маршрута Великого шелкового пути" в Туркестанской области.</w:t>
      </w:r>
    </w:p>
    <w:bookmarkEnd w:id="140"/>
    <w:bookmarkStart w:name="z147" w:id="141"/>
    <w:p>
      <w:pPr>
        <w:spacing w:after="0"/>
        <w:ind w:left="0"/>
        <w:jc w:val="both"/>
      </w:pPr>
      <w:r>
        <w:rPr>
          <w:rFonts w:ascii="Times New Roman"/>
          <w:b w:val="false"/>
          <w:i w:val="false"/>
          <w:color w:val="000000"/>
          <w:sz w:val="28"/>
        </w:rPr>
        <w:t>
      Существующий железнодорожный вокзал на настоящий момент не отвечает требованиям перевозки пассажиров железнодорожным транспортом, имеет статус памятника архитектуры и не может быть реконструирован.</w:t>
      </w:r>
    </w:p>
    <w:bookmarkEnd w:id="141"/>
    <w:bookmarkStart w:name="z148" w:id="142"/>
    <w:p>
      <w:pPr>
        <w:spacing w:after="0"/>
        <w:ind w:left="0"/>
        <w:jc w:val="both"/>
      </w:pPr>
      <w:r>
        <w:rPr>
          <w:rFonts w:ascii="Times New Roman"/>
          <w:b w:val="false"/>
          <w:i w:val="false"/>
          <w:color w:val="000000"/>
          <w:sz w:val="28"/>
        </w:rPr>
        <w:t>
      Данным Генеральным планом предусматривается размещение нового железнодорожного вокзала вдоль существующей железнодорожной ветки Шымкент - Туркестан, в южной части города. Пропускная способность нового железнодорожного вокзала составит 5000 пассажиров в сутки.</w:t>
      </w:r>
    </w:p>
    <w:bookmarkEnd w:id="142"/>
    <w:bookmarkStart w:name="z149" w:id="143"/>
    <w:p>
      <w:pPr>
        <w:spacing w:after="0"/>
        <w:ind w:left="0"/>
        <w:jc w:val="both"/>
      </w:pPr>
      <w:r>
        <w:rPr>
          <w:rFonts w:ascii="Times New Roman"/>
          <w:b w:val="false"/>
          <w:i w:val="false"/>
          <w:color w:val="000000"/>
          <w:sz w:val="28"/>
        </w:rPr>
        <w:t>
      Строительство нового вокзала предусмотрено на расчетный срок.</w:t>
      </w:r>
    </w:p>
    <w:bookmarkEnd w:id="143"/>
    <w:bookmarkStart w:name="z150" w:id="144"/>
    <w:p>
      <w:pPr>
        <w:spacing w:after="0"/>
        <w:ind w:left="0"/>
        <w:jc w:val="both"/>
      </w:pPr>
      <w:r>
        <w:rPr>
          <w:rFonts w:ascii="Times New Roman"/>
          <w:b w:val="false"/>
          <w:i w:val="false"/>
          <w:color w:val="000000"/>
          <w:sz w:val="28"/>
        </w:rPr>
        <w:t>
      Внешние автомобильные дороги</w:t>
      </w:r>
    </w:p>
    <w:bookmarkEnd w:id="144"/>
    <w:bookmarkStart w:name="z151" w:id="145"/>
    <w:p>
      <w:pPr>
        <w:spacing w:after="0"/>
        <w:ind w:left="0"/>
        <w:jc w:val="both"/>
      </w:pPr>
      <w:r>
        <w:rPr>
          <w:rFonts w:ascii="Times New Roman"/>
          <w:b w:val="false"/>
          <w:i w:val="false"/>
          <w:color w:val="000000"/>
          <w:sz w:val="28"/>
        </w:rPr>
        <w:t>
      Внешняя автодорожная сеть города Туркестана представлена дорогами международного, республиканского, областного и местного значения:</w:t>
      </w:r>
    </w:p>
    <w:bookmarkEnd w:id="145"/>
    <w:bookmarkStart w:name="z152" w:id="146"/>
    <w:p>
      <w:pPr>
        <w:spacing w:after="0"/>
        <w:ind w:left="0"/>
        <w:jc w:val="both"/>
      </w:pPr>
      <w:r>
        <w:rPr>
          <w:rFonts w:ascii="Times New Roman"/>
          <w:b w:val="false"/>
          <w:i w:val="false"/>
          <w:color w:val="000000"/>
          <w:sz w:val="28"/>
        </w:rPr>
        <w:t>
      1) международная автодорога I категории "Западная Европа - Западный Китай";</w:t>
      </w:r>
    </w:p>
    <w:bookmarkEnd w:id="146"/>
    <w:bookmarkStart w:name="z153" w:id="147"/>
    <w:p>
      <w:pPr>
        <w:spacing w:after="0"/>
        <w:ind w:left="0"/>
        <w:jc w:val="both"/>
      </w:pPr>
      <w:r>
        <w:rPr>
          <w:rFonts w:ascii="Times New Roman"/>
          <w:b w:val="false"/>
          <w:i w:val="false"/>
          <w:color w:val="000000"/>
          <w:sz w:val="28"/>
        </w:rPr>
        <w:t>
      2) республиканская автодорога II категории: "Туркестан - Кентау";</w:t>
      </w:r>
    </w:p>
    <w:bookmarkEnd w:id="147"/>
    <w:bookmarkStart w:name="z154" w:id="148"/>
    <w:p>
      <w:pPr>
        <w:spacing w:after="0"/>
        <w:ind w:left="0"/>
        <w:jc w:val="both"/>
      </w:pPr>
      <w:r>
        <w:rPr>
          <w:rFonts w:ascii="Times New Roman"/>
          <w:b w:val="false"/>
          <w:i w:val="false"/>
          <w:color w:val="000000"/>
          <w:sz w:val="28"/>
        </w:rPr>
        <w:t>
      3) республиканская автодорога III категории: "Туркестан - Шаулдер";</w:t>
      </w:r>
    </w:p>
    <w:bookmarkEnd w:id="148"/>
    <w:bookmarkStart w:name="z155" w:id="149"/>
    <w:p>
      <w:pPr>
        <w:spacing w:after="0"/>
        <w:ind w:left="0"/>
        <w:jc w:val="both"/>
      </w:pPr>
      <w:r>
        <w:rPr>
          <w:rFonts w:ascii="Times New Roman"/>
          <w:b w:val="false"/>
          <w:i w:val="false"/>
          <w:color w:val="000000"/>
          <w:sz w:val="28"/>
        </w:rPr>
        <w:t>
      4) областная автодорога III категории: "Туркестан - Балтаколь";</w:t>
      </w:r>
    </w:p>
    <w:bookmarkEnd w:id="149"/>
    <w:bookmarkStart w:name="z156" w:id="150"/>
    <w:p>
      <w:pPr>
        <w:spacing w:after="0"/>
        <w:ind w:left="0"/>
        <w:jc w:val="both"/>
      </w:pPr>
      <w:r>
        <w:rPr>
          <w:rFonts w:ascii="Times New Roman"/>
          <w:b w:val="false"/>
          <w:i w:val="false"/>
          <w:color w:val="000000"/>
          <w:sz w:val="28"/>
        </w:rPr>
        <w:t>
      5) областная автодорога III категории: "Туркестан - Карнак".</w:t>
      </w:r>
    </w:p>
    <w:bookmarkEnd w:id="150"/>
    <w:bookmarkStart w:name="z157" w:id="151"/>
    <w:p>
      <w:pPr>
        <w:spacing w:after="0"/>
        <w:ind w:left="0"/>
        <w:jc w:val="both"/>
      </w:pPr>
      <w:r>
        <w:rPr>
          <w:rFonts w:ascii="Times New Roman"/>
          <w:b w:val="false"/>
          <w:i w:val="false"/>
          <w:color w:val="000000"/>
          <w:sz w:val="28"/>
        </w:rPr>
        <w:t>
      В настоящее время участок автодороги международного значения "Западная Европа - Западный Китай" протяженностью 16 км проходит по территории города Туркестана. На расчетный срок данная дорога становится городской магистралью.</w:t>
      </w:r>
    </w:p>
    <w:bookmarkEnd w:id="151"/>
    <w:bookmarkStart w:name="z158" w:id="152"/>
    <w:p>
      <w:pPr>
        <w:spacing w:after="0"/>
        <w:ind w:left="0"/>
        <w:jc w:val="both"/>
      </w:pPr>
      <w:r>
        <w:rPr>
          <w:rFonts w:ascii="Times New Roman"/>
          <w:b w:val="false"/>
          <w:i w:val="false"/>
          <w:color w:val="000000"/>
          <w:sz w:val="28"/>
        </w:rPr>
        <w:t>
      Кроме того, к городу Туркестану подходят автодороги областного значения 3-й технической категории. Для выноса грузовых и транзитных машинопотоков за пределы селитебных территорий Генеральным планом предусмотрены Южный и Северный обходы города. Предлагаемый Генеральным планом автодорожный обход города (южный обход) обеспечит беспрерывное и высокоскоростное движение транзитного автотранспорта по международному коридору "Западная Европа - Западный Китай".</w:t>
      </w:r>
    </w:p>
    <w:bookmarkEnd w:id="152"/>
    <w:bookmarkStart w:name="z159" w:id="153"/>
    <w:p>
      <w:pPr>
        <w:spacing w:after="0"/>
        <w:ind w:left="0"/>
        <w:jc w:val="both"/>
      </w:pPr>
      <w:r>
        <w:rPr>
          <w:rFonts w:ascii="Times New Roman"/>
          <w:b w:val="false"/>
          <w:i w:val="false"/>
          <w:color w:val="000000"/>
          <w:sz w:val="28"/>
        </w:rPr>
        <w:t>
      Для выноса грузовых и транзитных машинопотоков за пределы селитебных территорий Генеральным планом предусмотрены северный и южный обходы города (протяженность 30 и 32 км соответственно). Предлагаемый Генеральным планом автодорожный обход города обеспечит беспрерывное и высокоскоростное движение транзитного автотранспорта по международному коридору "Западная Европа - Западный Китай".</w:t>
      </w:r>
    </w:p>
    <w:bookmarkEnd w:id="153"/>
    <w:bookmarkStart w:name="z160" w:id="154"/>
    <w:p>
      <w:pPr>
        <w:spacing w:after="0"/>
        <w:ind w:left="0"/>
        <w:jc w:val="both"/>
      </w:pPr>
      <w:r>
        <w:rPr>
          <w:rFonts w:ascii="Times New Roman"/>
          <w:b w:val="false"/>
          <w:i w:val="false"/>
          <w:color w:val="000000"/>
          <w:sz w:val="28"/>
        </w:rPr>
        <w:t>
      В городе Туркестане имеются автостанция "Саяхат" и автовокзал на 1000 пассажиров в сутки. В связи с территориальным развитием города Туркестана, увеличением численности населения и повышением значимости города как культурно-духовного и туристского центра предполагается увеличение объема перевозок экскурсантов и туристов международными, междугородными и пригородными автобусными маршрутами.</w:t>
      </w:r>
    </w:p>
    <w:bookmarkEnd w:id="154"/>
    <w:bookmarkStart w:name="z161" w:id="155"/>
    <w:p>
      <w:pPr>
        <w:spacing w:after="0"/>
        <w:ind w:left="0"/>
        <w:jc w:val="both"/>
      </w:pPr>
      <w:r>
        <w:rPr>
          <w:rFonts w:ascii="Times New Roman"/>
          <w:b w:val="false"/>
          <w:i w:val="false"/>
          <w:color w:val="000000"/>
          <w:sz w:val="28"/>
        </w:rPr>
        <w:t xml:space="preserve">
      В целях организации внешних пассажирских автоперевозок существует современный международный автовокзал на 5000 пассажиров, который осуществляет маршруты регионального, казахстанского и международного значения. </w:t>
      </w:r>
    </w:p>
    <w:bookmarkEnd w:id="155"/>
    <w:bookmarkStart w:name="z162" w:id="156"/>
    <w:p>
      <w:pPr>
        <w:spacing w:after="0"/>
        <w:ind w:left="0"/>
        <w:jc w:val="both"/>
      </w:pPr>
      <w:r>
        <w:rPr>
          <w:rFonts w:ascii="Times New Roman"/>
          <w:b w:val="false"/>
          <w:i w:val="false"/>
          <w:color w:val="000000"/>
          <w:sz w:val="28"/>
        </w:rPr>
        <w:t>
      Городской пассажирский транспорт</w:t>
      </w:r>
    </w:p>
    <w:bookmarkEnd w:id="156"/>
    <w:bookmarkStart w:name="z163" w:id="157"/>
    <w:p>
      <w:pPr>
        <w:spacing w:after="0"/>
        <w:ind w:left="0"/>
        <w:jc w:val="both"/>
      </w:pPr>
      <w:r>
        <w:rPr>
          <w:rFonts w:ascii="Times New Roman"/>
          <w:b w:val="false"/>
          <w:i w:val="false"/>
          <w:color w:val="000000"/>
          <w:sz w:val="28"/>
        </w:rPr>
        <w:t xml:space="preserve">
      В городе эксплуатируется один вид общественного пассажирского транспорта - автобусы и микроавтобусы. Вспомогательный транспорт - такси. Организовано 20 городских маршрутов, связывающих основные жилые районы с центром и промышленными зонами. </w:t>
      </w:r>
    </w:p>
    <w:bookmarkEnd w:id="157"/>
    <w:bookmarkStart w:name="z164" w:id="158"/>
    <w:p>
      <w:pPr>
        <w:spacing w:after="0"/>
        <w:ind w:left="0"/>
        <w:jc w:val="both"/>
      </w:pPr>
      <w:r>
        <w:rPr>
          <w:rFonts w:ascii="Times New Roman"/>
          <w:b w:val="false"/>
          <w:i w:val="false"/>
          <w:color w:val="000000"/>
          <w:sz w:val="28"/>
        </w:rPr>
        <w:t>
      На перспективу - основным видом транспорта остается автобус. Предлагаются новые маршруты внутригородского пассажирского транспорта, связывающие районы перспективного развития с существующей частью города и промышленной зоной. Для улучшения транспортного обслуживания населения города Туркестана предлагаются четкая организация работы пассажирского транспорта, кардинальные изменения в структуре эксплуатации подвижного состава, замена микроавтобусов и автобусов малой вместимости на комфортные и конкурентоспособные автобусы средней и большой вместимости.</w:t>
      </w:r>
    </w:p>
    <w:bookmarkEnd w:id="158"/>
    <w:bookmarkStart w:name="z165" w:id="159"/>
    <w:p>
      <w:pPr>
        <w:spacing w:after="0"/>
        <w:ind w:left="0"/>
        <w:jc w:val="both"/>
      </w:pPr>
      <w:r>
        <w:rPr>
          <w:rFonts w:ascii="Times New Roman"/>
          <w:b w:val="false"/>
          <w:i w:val="false"/>
          <w:color w:val="000000"/>
          <w:sz w:val="28"/>
        </w:rPr>
        <w:t>
      К расчетному сроку основными видами пассажирского транспорта будут автобус и BRT. Для улучшения транспортного обслуживания населения города предлагается изменить подход к эксплуатации автобусного транспорта путем более четкой организации обеспечения регулярности движения, соблюдения необходимых интервалов на маршрутах и гибкого использования подвижного состава различной вместимости. На 1-очереди строительства необходимо создать муниципальный автобусный парк с собственной производственно-технической базой и подвижным составом. Для улучшения обслуживания пассажиров на магистральных улицах предлагается широкое внедрение на проезжих частях выделенных полос для движения автобусов. Это значительно повысит скорость передвижения пассажирского транспорта.</w:t>
      </w:r>
    </w:p>
    <w:bookmarkEnd w:id="159"/>
    <w:bookmarkStart w:name="z166" w:id="160"/>
    <w:p>
      <w:pPr>
        <w:spacing w:after="0"/>
        <w:ind w:left="0"/>
        <w:jc w:val="both"/>
      </w:pPr>
      <w:r>
        <w:rPr>
          <w:rFonts w:ascii="Times New Roman"/>
          <w:b w:val="false"/>
          <w:i w:val="false"/>
          <w:color w:val="000000"/>
          <w:sz w:val="28"/>
        </w:rPr>
        <w:t>
      Схемой улично-дорожной сети и движения транспорта Генерального плана предлагается широкое внедрение в городе скоростных видов общественного транспорта BRT.</w:t>
      </w:r>
    </w:p>
    <w:bookmarkEnd w:id="160"/>
    <w:bookmarkStart w:name="z167" w:id="161"/>
    <w:p>
      <w:pPr>
        <w:spacing w:after="0"/>
        <w:ind w:left="0"/>
        <w:jc w:val="both"/>
      </w:pPr>
      <w:r>
        <w:rPr>
          <w:rFonts w:ascii="Times New Roman"/>
          <w:b w:val="false"/>
          <w:i w:val="false"/>
          <w:color w:val="000000"/>
          <w:sz w:val="28"/>
        </w:rPr>
        <w:t>
      Улично-дорожная сеть</w:t>
      </w:r>
    </w:p>
    <w:bookmarkEnd w:id="161"/>
    <w:bookmarkStart w:name="z168" w:id="162"/>
    <w:p>
      <w:pPr>
        <w:spacing w:after="0"/>
        <w:ind w:left="0"/>
        <w:jc w:val="both"/>
      </w:pPr>
      <w:r>
        <w:rPr>
          <w:rFonts w:ascii="Times New Roman"/>
          <w:b w:val="false"/>
          <w:i w:val="false"/>
          <w:color w:val="000000"/>
          <w:sz w:val="28"/>
        </w:rPr>
        <w:t>
      Увеличение в городе за последние годы парка легковых автомобилей и перспектива роста уровня автомобилизации обуславливают необходимость пересмотра ряда основных принципов организации транспортного обслуживания городского населения, создания мощных систем магистралей, автомобильных стоянок и обслуживающей сферы автотранспортных услуг. На сегодняшний день по данным Департамента полиции в городе зарегистрировано 45 237 автомобилей, из них 38 085 легковых автомобилей.</w:t>
      </w:r>
    </w:p>
    <w:bookmarkEnd w:id="162"/>
    <w:bookmarkStart w:name="z169" w:id="163"/>
    <w:p>
      <w:pPr>
        <w:spacing w:after="0"/>
        <w:ind w:left="0"/>
        <w:jc w:val="both"/>
      </w:pPr>
      <w:r>
        <w:rPr>
          <w:rFonts w:ascii="Times New Roman"/>
          <w:b w:val="false"/>
          <w:i w:val="false"/>
          <w:color w:val="000000"/>
          <w:sz w:val="28"/>
        </w:rPr>
        <w:t>
      В то же время, ранее при разработке мероприятий и рекомендаций по созданию или реконструкции транспортной системы учитывалась определенная ограниченность капиталовложений, то есть увязывались финансовые возможности городского бюджета. При обосновании развития улично-дорожной сети необходимо максимально использовать имеющиеся возможности по увеличению коэффициента пропускной способности узлов существующей сети путем перепланировки отдельных перекрестков, пробивки новых участков улиц, восстановления движения на закрытых когда-то участках, реконструкции и строительства новых мостов и переходов, реконструкции улиц и строительства транспортных развязок в разных уровнях.</w:t>
      </w:r>
    </w:p>
    <w:bookmarkEnd w:id="163"/>
    <w:bookmarkStart w:name="z170" w:id="164"/>
    <w:p>
      <w:pPr>
        <w:spacing w:after="0"/>
        <w:ind w:left="0"/>
        <w:jc w:val="both"/>
      </w:pPr>
      <w:r>
        <w:rPr>
          <w:rFonts w:ascii="Times New Roman"/>
          <w:b w:val="false"/>
          <w:i w:val="false"/>
          <w:color w:val="000000"/>
          <w:sz w:val="28"/>
        </w:rPr>
        <w:t>
      Современная улично-дорожная сеть города Туркестана представлена прямоугольной системой улиц с довольно частой нарезкой кварталов. В районе старого города сохранилась исторически сложившаяся радиально-кольцевая система улиц.</w:t>
      </w:r>
    </w:p>
    <w:bookmarkEnd w:id="164"/>
    <w:bookmarkStart w:name="z171" w:id="165"/>
    <w:p>
      <w:pPr>
        <w:spacing w:after="0"/>
        <w:ind w:left="0"/>
        <w:jc w:val="both"/>
      </w:pPr>
      <w:r>
        <w:rPr>
          <w:rFonts w:ascii="Times New Roman"/>
          <w:b w:val="false"/>
          <w:i w:val="false"/>
          <w:color w:val="000000"/>
          <w:sz w:val="28"/>
        </w:rPr>
        <w:t>
      Основными планировочными осями города являются в западном и восточном направлениях - проспект Б. Саттарханова с выходом на выездные магистрали трассы Шымкент и Кызылорда, в северном направлении - улицы Казыбек Би с выходом на выездную магистральную трассу Кентау, улицы Әл-Фараби и Наурызым с выходом на Карашык, в южном направлении - улицы Ерубаева - Жандосова с выходом на трассу Балтаколь, проспект Жибек жолы с выходом на Шаульдерское направление, а также трасса Вокзал-Аэропорт.</w:t>
      </w:r>
    </w:p>
    <w:bookmarkEnd w:id="165"/>
    <w:bookmarkStart w:name="z172" w:id="166"/>
    <w:p>
      <w:pPr>
        <w:spacing w:after="0"/>
        <w:ind w:left="0"/>
        <w:jc w:val="both"/>
      </w:pPr>
      <w:r>
        <w:rPr>
          <w:rFonts w:ascii="Times New Roman"/>
          <w:b w:val="false"/>
          <w:i w:val="false"/>
          <w:color w:val="000000"/>
          <w:sz w:val="28"/>
        </w:rPr>
        <w:t>
      Основным принципом новой планировочной структуры является выделение исторического центра, вокруг которого формируется внутреннее транспортное кольцо. Для его создания предлагается пробивка проспекта Жибек жолы в южной части города от проспекта Б. Саттарханова до улицы Майкотова, в северной части от улицы Казыбек би до улицы Ерубаева и строительство улицы Ортак до улицы Ерубаева.</w:t>
      </w:r>
    </w:p>
    <w:bookmarkEnd w:id="166"/>
    <w:bookmarkStart w:name="z173" w:id="167"/>
    <w:p>
      <w:pPr>
        <w:spacing w:after="0"/>
        <w:ind w:left="0"/>
        <w:jc w:val="both"/>
      </w:pPr>
      <w:r>
        <w:rPr>
          <w:rFonts w:ascii="Times New Roman"/>
          <w:b w:val="false"/>
          <w:i w:val="false"/>
          <w:color w:val="000000"/>
          <w:sz w:val="28"/>
        </w:rPr>
        <w:t>
      Кроме того, Генеральным планом предлагаются расширение улицы Казыбек би от проспекта Б.Саттарханова до улицы Жибек Жолы и расширение улицы Наурызым от улицы Кошанова до Северной объездной дороги.</w:t>
      </w:r>
    </w:p>
    <w:bookmarkEnd w:id="167"/>
    <w:bookmarkStart w:name="z174" w:id="168"/>
    <w:p>
      <w:pPr>
        <w:spacing w:after="0"/>
        <w:ind w:left="0"/>
        <w:jc w:val="both"/>
      </w:pPr>
      <w:r>
        <w:rPr>
          <w:rFonts w:ascii="Times New Roman"/>
          <w:b w:val="false"/>
          <w:i w:val="false"/>
          <w:color w:val="000000"/>
          <w:sz w:val="28"/>
        </w:rPr>
        <w:t>
      В историческом центре предусматривается также соединение проспекта Б.Саттарханова с проспектом Тауке хана через улицу Байбурт.</w:t>
      </w:r>
    </w:p>
    <w:bookmarkEnd w:id="168"/>
    <w:bookmarkStart w:name="z175" w:id="169"/>
    <w:p>
      <w:pPr>
        <w:spacing w:after="0"/>
        <w:ind w:left="0"/>
        <w:jc w:val="both"/>
      </w:pPr>
      <w:r>
        <w:rPr>
          <w:rFonts w:ascii="Times New Roman"/>
          <w:b w:val="false"/>
          <w:i w:val="false"/>
          <w:color w:val="000000"/>
          <w:sz w:val="28"/>
        </w:rPr>
        <w:t>
      Кроме того, предлагается строительство продолжения улицы Майкотова через железнодорожные линии до трассы Балтаколь. Классификация улиц и дорог, параметры в красных линиях приняты в соответствии с нормативно-техническими документами в области архитектуры и градостроительства.</w:t>
      </w:r>
    </w:p>
    <w:bookmarkEnd w:id="169"/>
    <w:bookmarkStart w:name="z176" w:id="170"/>
    <w:p>
      <w:pPr>
        <w:spacing w:after="0"/>
        <w:ind w:left="0"/>
        <w:jc w:val="both"/>
      </w:pPr>
      <w:r>
        <w:rPr>
          <w:rFonts w:ascii="Times New Roman"/>
          <w:b w:val="false"/>
          <w:i w:val="false"/>
          <w:color w:val="000000"/>
          <w:sz w:val="28"/>
        </w:rPr>
        <w:t>
      Строительство путепроводов над железной дорогой, в створе магистральных улиц общегородского значения и кольцевой обводной автодороги будет обеспечивать выход транспорта из общегородского центра в залинейную часть города и на Кольцевую обводную дорогу.</w:t>
      </w:r>
    </w:p>
    <w:bookmarkEnd w:id="170"/>
    <w:bookmarkStart w:name="z177" w:id="171"/>
    <w:p>
      <w:pPr>
        <w:spacing w:after="0"/>
        <w:ind w:left="0"/>
        <w:jc w:val="left"/>
      </w:pPr>
      <w:r>
        <w:rPr>
          <w:rFonts w:ascii="Times New Roman"/>
          <w:b/>
          <w:i w:val="false"/>
          <w:color w:val="000000"/>
        </w:rPr>
        <w:t xml:space="preserve"> 9. Инженерная инфраструктура</w:t>
      </w:r>
    </w:p>
    <w:bookmarkEnd w:id="171"/>
    <w:bookmarkStart w:name="z178" w:id="172"/>
    <w:p>
      <w:pPr>
        <w:spacing w:after="0"/>
        <w:ind w:left="0"/>
        <w:jc w:val="both"/>
      </w:pPr>
      <w:r>
        <w:rPr>
          <w:rFonts w:ascii="Times New Roman"/>
          <w:b w:val="false"/>
          <w:i w:val="false"/>
          <w:color w:val="000000"/>
          <w:sz w:val="28"/>
        </w:rPr>
        <w:t>
      Водоснабжение</w:t>
      </w:r>
    </w:p>
    <w:bookmarkEnd w:id="172"/>
    <w:bookmarkStart w:name="z179" w:id="173"/>
    <w:p>
      <w:pPr>
        <w:spacing w:after="0"/>
        <w:ind w:left="0"/>
        <w:jc w:val="both"/>
      </w:pPr>
      <w:r>
        <w:rPr>
          <w:rFonts w:ascii="Times New Roman"/>
          <w:b w:val="false"/>
          <w:i w:val="false"/>
          <w:color w:val="000000"/>
          <w:sz w:val="28"/>
        </w:rPr>
        <w:t>
      Город Туркестан обеспечивается централизованным водоснабжением примерно на 90 % населения. Основные источники - подземные месторождения Миргалимсайское, Биресек-Кантагинское, Икансу-Ктайское с суммарными запасами около 300 тыс. м³/сутки, что полностью покрывает перспективные потребности города.</w:t>
      </w:r>
    </w:p>
    <w:bookmarkEnd w:id="173"/>
    <w:bookmarkStart w:name="z180" w:id="174"/>
    <w:p>
      <w:pPr>
        <w:spacing w:after="0"/>
        <w:ind w:left="0"/>
        <w:jc w:val="both"/>
      </w:pPr>
      <w:r>
        <w:rPr>
          <w:rFonts w:ascii="Times New Roman"/>
          <w:b w:val="false"/>
          <w:i w:val="false"/>
          <w:color w:val="000000"/>
          <w:sz w:val="28"/>
        </w:rPr>
        <w:t>
      Существующая водопроводная сеть - 1738,5 км, износ старых участков составляет 60-65 %. Подача воды осуществляется через четыре основных водопроводных узла общей мощностью 81,2 тыс. м³/сутки.</w:t>
      </w:r>
    </w:p>
    <w:bookmarkEnd w:id="174"/>
    <w:bookmarkStart w:name="z181" w:id="175"/>
    <w:p>
      <w:pPr>
        <w:spacing w:after="0"/>
        <w:ind w:left="0"/>
        <w:jc w:val="both"/>
      </w:pPr>
      <w:r>
        <w:rPr>
          <w:rFonts w:ascii="Times New Roman"/>
          <w:b w:val="false"/>
          <w:i w:val="false"/>
          <w:color w:val="000000"/>
          <w:sz w:val="28"/>
        </w:rPr>
        <w:t>
      Потребление воды:</w:t>
      </w:r>
    </w:p>
    <w:bookmarkEnd w:id="175"/>
    <w:bookmarkStart w:name="z182" w:id="176"/>
    <w:p>
      <w:pPr>
        <w:spacing w:after="0"/>
        <w:ind w:left="0"/>
        <w:jc w:val="both"/>
      </w:pPr>
      <w:r>
        <w:rPr>
          <w:rFonts w:ascii="Times New Roman"/>
          <w:b w:val="false"/>
          <w:i w:val="false"/>
          <w:color w:val="000000"/>
          <w:sz w:val="28"/>
        </w:rPr>
        <w:t>
      первая очередь - 103,2 тыс. м³/сутки;</w:t>
      </w:r>
    </w:p>
    <w:bookmarkEnd w:id="176"/>
    <w:bookmarkStart w:name="z183" w:id="177"/>
    <w:p>
      <w:pPr>
        <w:spacing w:after="0"/>
        <w:ind w:left="0"/>
        <w:jc w:val="both"/>
      </w:pPr>
      <w:r>
        <w:rPr>
          <w:rFonts w:ascii="Times New Roman"/>
          <w:b w:val="false"/>
          <w:i w:val="false"/>
          <w:color w:val="000000"/>
          <w:sz w:val="28"/>
        </w:rPr>
        <w:t>
      расчетный срок - 164,4 тыс. м³/сутки.</w:t>
      </w:r>
    </w:p>
    <w:bookmarkEnd w:id="177"/>
    <w:bookmarkStart w:name="z184" w:id="178"/>
    <w:p>
      <w:pPr>
        <w:spacing w:after="0"/>
        <w:ind w:left="0"/>
        <w:jc w:val="both"/>
      </w:pPr>
      <w:r>
        <w:rPr>
          <w:rFonts w:ascii="Times New Roman"/>
          <w:b w:val="false"/>
          <w:i w:val="false"/>
          <w:color w:val="000000"/>
          <w:sz w:val="28"/>
        </w:rPr>
        <w:t>
      Наблюдается дефицит мощности на ближайший период (~2 тыс. м³/сутки), что требует модернизации.</w:t>
      </w:r>
    </w:p>
    <w:bookmarkEnd w:id="178"/>
    <w:bookmarkStart w:name="z185" w:id="179"/>
    <w:p>
      <w:pPr>
        <w:spacing w:after="0"/>
        <w:ind w:left="0"/>
        <w:jc w:val="both"/>
      </w:pPr>
      <w:r>
        <w:rPr>
          <w:rFonts w:ascii="Times New Roman"/>
          <w:b w:val="false"/>
          <w:i w:val="false"/>
          <w:color w:val="000000"/>
          <w:sz w:val="28"/>
        </w:rPr>
        <w:t>
      Проектные решения:</w:t>
      </w:r>
    </w:p>
    <w:bookmarkEnd w:id="179"/>
    <w:bookmarkStart w:name="z186" w:id="180"/>
    <w:p>
      <w:pPr>
        <w:spacing w:after="0"/>
        <w:ind w:left="0"/>
        <w:jc w:val="both"/>
      </w:pPr>
      <w:r>
        <w:rPr>
          <w:rFonts w:ascii="Times New Roman"/>
          <w:b w:val="false"/>
          <w:i w:val="false"/>
          <w:color w:val="000000"/>
          <w:sz w:val="28"/>
        </w:rPr>
        <w:t>
      строительство магистрального водовода от Икансу-Ктайского источника;</w:t>
      </w:r>
    </w:p>
    <w:bookmarkEnd w:id="180"/>
    <w:bookmarkStart w:name="z187" w:id="181"/>
    <w:p>
      <w:pPr>
        <w:spacing w:after="0"/>
        <w:ind w:left="0"/>
        <w:jc w:val="both"/>
      </w:pPr>
      <w:r>
        <w:rPr>
          <w:rFonts w:ascii="Times New Roman"/>
          <w:b w:val="false"/>
          <w:i w:val="false"/>
          <w:color w:val="000000"/>
          <w:sz w:val="28"/>
        </w:rPr>
        <w:t>
      создание новых водопроводных узлов (по 20 тыс. м³/сутки);</w:t>
      </w:r>
    </w:p>
    <w:bookmarkEnd w:id="181"/>
    <w:bookmarkStart w:name="z188" w:id="182"/>
    <w:p>
      <w:pPr>
        <w:spacing w:after="0"/>
        <w:ind w:left="0"/>
        <w:jc w:val="both"/>
      </w:pPr>
      <w:r>
        <w:rPr>
          <w:rFonts w:ascii="Times New Roman"/>
          <w:b w:val="false"/>
          <w:i w:val="false"/>
          <w:color w:val="000000"/>
          <w:sz w:val="28"/>
        </w:rPr>
        <w:t>
      замена изношенных сетей;</w:t>
      </w:r>
    </w:p>
    <w:bookmarkEnd w:id="182"/>
    <w:bookmarkStart w:name="z189" w:id="183"/>
    <w:p>
      <w:pPr>
        <w:spacing w:after="0"/>
        <w:ind w:left="0"/>
        <w:jc w:val="both"/>
      </w:pPr>
      <w:r>
        <w:rPr>
          <w:rFonts w:ascii="Times New Roman"/>
          <w:b w:val="false"/>
          <w:i w:val="false"/>
          <w:color w:val="000000"/>
          <w:sz w:val="28"/>
        </w:rPr>
        <w:t>
      контроль и мониторинг утечек воды с использованием системы SCADA;</w:t>
      </w:r>
    </w:p>
    <w:bookmarkEnd w:id="183"/>
    <w:bookmarkStart w:name="z190" w:id="184"/>
    <w:p>
      <w:pPr>
        <w:spacing w:after="0"/>
        <w:ind w:left="0"/>
        <w:jc w:val="both"/>
      </w:pPr>
      <w:r>
        <w:rPr>
          <w:rFonts w:ascii="Times New Roman"/>
          <w:b w:val="false"/>
          <w:i w:val="false"/>
          <w:color w:val="000000"/>
          <w:sz w:val="28"/>
        </w:rPr>
        <w:t>
      доочистка и резервирование мощностей.</w:t>
      </w:r>
    </w:p>
    <w:bookmarkEnd w:id="184"/>
    <w:bookmarkStart w:name="z191" w:id="185"/>
    <w:p>
      <w:pPr>
        <w:spacing w:after="0"/>
        <w:ind w:left="0"/>
        <w:jc w:val="left"/>
      </w:pPr>
      <w:r>
        <w:rPr>
          <w:rFonts w:ascii="Times New Roman"/>
          <w:b/>
          <w:i w:val="false"/>
          <w:color w:val="000000"/>
        </w:rPr>
        <w:t xml:space="preserve"> Технико-экономические показатели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узлов водопроводных сооружении, м³/сутки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литр/сутки/человек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м³/сутки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водоснабжением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92" w:id="186"/>
    <w:p>
      <w:pPr>
        <w:spacing w:after="0"/>
        <w:ind w:left="0"/>
        <w:jc w:val="both"/>
      </w:pPr>
      <w:r>
        <w:rPr>
          <w:rFonts w:ascii="Times New Roman"/>
          <w:b w:val="false"/>
          <w:i w:val="false"/>
          <w:color w:val="000000"/>
          <w:sz w:val="28"/>
        </w:rPr>
        <w:t>
      Водоотведение</w:t>
      </w:r>
    </w:p>
    <w:bookmarkEnd w:id="186"/>
    <w:bookmarkStart w:name="z193" w:id="187"/>
    <w:p>
      <w:pPr>
        <w:spacing w:after="0"/>
        <w:ind w:left="0"/>
        <w:jc w:val="both"/>
      </w:pPr>
      <w:r>
        <w:rPr>
          <w:rFonts w:ascii="Times New Roman"/>
          <w:b w:val="false"/>
          <w:i w:val="false"/>
          <w:color w:val="000000"/>
          <w:sz w:val="28"/>
        </w:rPr>
        <w:t>
      В Туркестане действует централизованная раздельная система водоотведения, охватывающая 17 % населения. Протяженность сетей составляет 127,5 км, износ старых труб достигает 80 %. Основные сточные воды поступают на городские канализационные очистные сооружения (далее - КОС) мощностью 20 тыс. м³/сутки, фактическая нагрузка ~7,2 тыс. м³/сутки. Качество очищенной воды соответствует нормам, но сооружения требуют модернизации.</w:t>
      </w:r>
    </w:p>
    <w:bookmarkEnd w:id="187"/>
    <w:bookmarkStart w:name="z194" w:id="188"/>
    <w:p>
      <w:pPr>
        <w:spacing w:after="0"/>
        <w:ind w:left="0"/>
        <w:jc w:val="both"/>
      </w:pPr>
      <w:r>
        <w:rPr>
          <w:rFonts w:ascii="Times New Roman"/>
          <w:b w:val="false"/>
          <w:i w:val="false"/>
          <w:color w:val="000000"/>
          <w:sz w:val="28"/>
        </w:rPr>
        <w:t>
      Формирование стоков:</w:t>
      </w:r>
    </w:p>
    <w:bookmarkEnd w:id="188"/>
    <w:bookmarkStart w:name="z195" w:id="189"/>
    <w:p>
      <w:pPr>
        <w:spacing w:after="0"/>
        <w:ind w:left="0"/>
        <w:jc w:val="both"/>
      </w:pPr>
      <w:r>
        <w:rPr>
          <w:rFonts w:ascii="Times New Roman"/>
          <w:b w:val="false"/>
          <w:i w:val="false"/>
          <w:color w:val="000000"/>
          <w:sz w:val="28"/>
        </w:rPr>
        <w:t>
      первая очередь: 69,4 тыс. м³/сутки;</w:t>
      </w:r>
    </w:p>
    <w:bookmarkEnd w:id="189"/>
    <w:bookmarkStart w:name="z196" w:id="190"/>
    <w:p>
      <w:pPr>
        <w:spacing w:after="0"/>
        <w:ind w:left="0"/>
        <w:jc w:val="both"/>
      </w:pPr>
      <w:r>
        <w:rPr>
          <w:rFonts w:ascii="Times New Roman"/>
          <w:b w:val="false"/>
          <w:i w:val="false"/>
          <w:color w:val="000000"/>
          <w:sz w:val="28"/>
        </w:rPr>
        <w:t>
      расчетный срок: 114,1 тыс. м³/сутки</w:t>
      </w:r>
    </w:p>
    <w:bookmarkEnd w:id="190"/>
    <w:bookmarkStart w:name="z197" w:id="191"/>
    <w:p>
      <w:pPr>
        <w:spacing w:after="0"/>
        <w:ind w:left="0"/>
        <w:jc w:val="both"/>
      </w:pPr>
      <w:r>
        <w:rPr>
          <w:rFonts w:ascii="Times New Roman"/>
          <w:b w:val="false"/>
          <w:i w:val="false"/>
          <w:color w:val="000000"/>
          <w:sz w:val="28"/>
        </w:rPr>
        <w:t>
      промпредприятия: 19,3 тыс. м³/сутки</w:t>
      </w:r>
    </w:p>
    <w:bookmarkEnd w:id="191"/>
    <w:bookmarkStart w:name="z198" w:id="192"/>
    <w:p>
      <w:pPr>
        <w:spacing w:after="0"/>
        <w:ind w:left="0"/>
        <w:jc w:val="both"/>
      </w:pPr>
      <w:r>
        <w:rPr>
          <w:rFonts w:ascii="Times New Roman"/>
          <w:b w:val="false"/>
          <w:i w:val="false"/>
          <w:color w:val="000000"/>
          <w:sz w:val="28"/>
        </w:rPr>
        <w:t>
      ливневка: ~18 тыс. м³/сутки.</w:t>
      </w:r>
    </w:p>
    <w:bookmarkEnd w:id="192"/>
    <w:bookmarkStart w:name="z199" w:id="193"/>
    <w:p>
      <w:pPr>
        <w:spacing w:after="0"/>
        <w:ind w:left="0"/>
        <w:jc w:val="both"/>
      </w:pPr>
      <w:r>
        <w:rPr>
          <w:rFonts w:ascii="Times New Roman"/>
          <w:b w:val="false"/>
          <w:i w:val="false"/>
          <w:color w:val="000000"/>
          <w:sz w:val="28"/>
        </w:rPr>
        <w:t>
      Для покрытия будущих объемов Генеральным планом предусмотрены:</w:t>
      </w:r>
    </w:p>
    <w:bookmarkEnd w:id="193"/>
    <w:bookmarkStart w:name="z200" w:id="194"/>
    <w:p>
      <w:pPr>
        <w:spacing w:after="0"/>
        <w:ind w:left="0"/>
        <w:jc w:val="both"/>
      </w:pPr>
      <w:r>
        <w:rPr>
          <w:rFonts w:ascii="Times New Roman"/>
          <w:b w:val="false"/>
          <w:i w:val="false"/>
          <w:color w:val="000000"/>
          <w:sz w:val="28"/>
        </w:rPr>
        <w:t>
      строительство КОС-2 мощностью 75 тыс. м³/сутки,</w:t>
      </w:r>
    </w:p>
    <w:bookmarkEnd w:id="194"/>
    <w:bookmarkStart w:name="z201" w:id="195"/>
    <w:p>
      <w:pPr>
        <w:spacing w:after="0"/>
        <w:ind w:left="0"/>
        <w:jc w:val="both"/>
      </w:pPr>
      <w:r>
        <w:rPr>
          <w:rFonts w:ascii="Times New Roman"/>
          <w:b w:val="false"/>
          <w:i w:val="false"/>
          <w:color w:val="000000"/>
          <w:sz w:val="28"/>
        </w:rPr>
        <w:t>
      реконструкция КОС-1 (+60 тыс. м³/сутки).</w:t>
      </w:r>
    </w:p>
    <w:bookmarkEnd w:id="195"/>
    <w:bookmarkStart w:name="z202" w:id="196"/>
    <w:p>
      <w:pPr>
        <w:spacing w:after="0"/>
        <w:ind w:left="0"/>
        <w:jc w:val="both"/>
      </w:pPr>
      <w:r>
        <w:rPr>
          <w:rFonts w:ascii="Times New Roman"/>
          <w:b w:val="false"/>
          <w:i w:val="false"/>
          <w:color w:val="000000"/>
          <w:sz w:val="28"/>
        </w:rPr>
        <w:t>
      Итоговая мощность системы - 160 тыс. м³/сутки, что обеспечивает перспективные потребности города.</w:t>
      </w:r>
    </w:p>
    <w:bookmarkEnd w:id="196"/>
    <w:bookmarkStart w:name="z203" w:id="197"/>
    <w:p>
      <w:pPr>
        <w:spacing w:after="0"/>
        <w:ind w:left="0"/>
        <w:jc w:val="left"/>
      </w:pPr>
      <w:r>
        <w:rPr>
          <w:rFonts w:ascii="Times New Roman"/>
          <w:b/>
          <w:i w:val="false"/>
          <w:color w:val="000000"/>
        </w:rPr>
        <w:t xml:space="preserve"> Технико-экономические показатели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КНС,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литр/сутки/человек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 Qср, м³/сутки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КОС, м³/сутки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водоотведение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bookmarkStart w:name="z204" w:id="198"/>
    <w:p>
      <w:pPr>
        <w:spacing w:after="0"/>
        <w:ind w:left="0"/>
        <w:jc w:val="left"/>
      </w:pPr>
      <w:r>
        <w:rPr>
          <w:rFonts w:ascii="Times New Roman"/>
          <w:b/>
          <w:i w:val="false"/>
          <w:color w:val="000000"/>
        </w:rPr>
        <w:t xml:space="preserve"> Технико-экономические показатели ливневой канализации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дождеприемников с насосной станцией,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Модульные очистные станции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ливневой канализацией населения,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bl>
    <w:bookmarkStart w:name="z205" w:id="199"/>
    <w:p>
      <w:pPr>
        <w:spacing w:after="0"/>
        <w:ind w:left="0"/>
        <w:jc w:val="both"/>
      </w:pPr>
      <w:r>
        <w:rPr>
          <w:rFonts w:ascii="Times New Roman"/>
          <w:b w:val="false"/>
          <w:i w:val="false"/>
          <w:color w:val="000000"/>
          <w:sz w:val="28"/>
        </w:rPr>
        <w:t>
      Теплоснабжение</w:t>
      </w:r>
    </w:p>
    <w:bookmarkEnd w:id="199"/>
    <w:bookmarkStart w:name="z206" w:id="200"/>
    <w:p>
      <w:pPr>
        <w:spacing w:after="0"/>
        <w:ind w:left="0"/>
        <w:jc w:val="both"/>
      </w:pPr>
      <w:r>
        <w:rPr>
          <w:rFonts w:ascii="Times New Roman"/>
          <w:b w:val="false"/>
          <w:i w:val="false"/>
          <w:color w:val="000000"/>
          <w:sz w:val="28"/>
        </w:rPr>
        <w:t>
      В Туркестане смешанная система: централизованные котельные + множество автономных (БМК, крышные), из них:</w:t>
      </w:r>
    </w:p>
    <w:bookmarkEnd w:id="200"/>
    <w:bookmarkStart w:name="z207" w:id="201"/>
    <w:p>
      <w:pPr>
        <w:spacing w:after="0"/>
        <w:ind w:left="0"/>
        <w:jc w:val="both"/>
      </w:pPr>
      <w:r>
        <w:rPr>
          <w:rFonts w:ascii="Times New Roman"/>
          <w:b w:val="false"/>
          <w:i w:val="false"/>
          <w:color w:val="000000"/>
          <w:sz w:val="28"/>
        </w:rPr>
        <w:t>
      работает 18 котельных, мощность централизованных составляет 162,93 Гкал/час;</w:t>
      </w:r>
    </w:p>
    <w:bookmarkEnd w:id="201"/>
    <w:bookmarkStart w:name="z208" w:id="202"/>
    <w:p>
      <w:pPr>
        <w:spacing w:after="0"/>
        <w:ind w:left="0"/>
        <w:jc w:val="both"/>
      </w:pPr>
      <w:r>
        <w:rPr>
          <w:rFonts w:ascii="Times New Roman"/>
          <w:b w:val="false"/>
          <w:i w:val="false"/>
          <w:color w:val="000000"/>
          <w:sz w:val="28"/>
        </w:rPr>
        <w:t>
      сети - 56,2 км, износ - 23 %, часть требует замены;</w:t>
      </w:r>
    </w:p>
    <w:bookmarkEnd w:id="202"/>
    <w:bookmarkStart w:name="z209" w:id="203"/>
    <w:p>
      <w:pPr>
        <w:spacing w:after="0"/>
        <w:ind w:left="0"/>
        <w:jc w:val="both"/>
      </w:pPr>
      <w:r>
        <w:rPr>
          <w:rFonts w:ascii="Times New Roman"/>
          <w:b w:val="false"/>
          <w:i w:val="false"/>
          <w:color w:val="000000"/>
          <w:sz w:val="28"/>
        </w:rPr>
        <w:t>
      текущая нагрузка - 487 Гкал/час, к 1-й очереди возрастет до 756 Гкал/час;</w:t>
      </w:r>
    </w:p>
    <w:bookmarkEnd w:id="203"/>
    <w:bookmarkStart w:name="z210" w:id="204"/>
    <w:p>
      <w:pPr>
        <w:spacing w:after="0"/>
        <w:ind w:left="0"/>
        <w:jc w:val="both"/>
      </w:pPr>
      <w:r>
        <w:rPr>
          <w:rFonts w:ascii="Times New Roman"/>
          <w:b w:val="false"/>
          <w:i w:val="false"/>
          <w:color w:val="000000"/>
          <w:sz w:val="28"/>
        </w:rPr>
        <w:t>
      основная нагрузка - новые районы Отырар, Туран Сити, Шаухар.</w:t>
      </w:r>
    </w:p>
    <w:bookmarkEnd w:id="204"/>
    <w:bookmarkStart w:name="z211" w:id="205"/>
    <w:p>
      <w:pPr>
        <w:spacing w:after="0"/>
        <w:ind w:left="0"/>
        <w:jc w:val="both"/>
      </w:pPr>
      <w:r>
        <w:rPr>
          <w:rFonts w:ascii="Times New Roman"/>
          <w:b w:val="false"/>
          <w:i w:val="false"/>
          <w:color w:val="000000"/>
          <w:sz w:val="28"/>
        </w:rPr>
        <w:t>
      Уже сейчас мощности централизованных котельных не хватает.</w:t>
      </w:r>
    </w:p>
    <w:bookmarkEnd w:id="205"/>
    <w:bookmarkStart w:name="z212" w:id="206"/>
    <w:p>
      <w:pPr>
        <w:spacing w:after="0"/>
        <w:ind w:left="0"/>
        <w:jc w:val="both"/>
      </w:pPr>
      <w:r>
        <w:rPr>
          <w:rFonts w:ascii="Times New Roman"/>
          <w:b w:val="false"/>
          <w:i w:val="false"/>
          <w:color w:val="000000"/>
          <w:sz w:val="28"/>
        </w:rPr>
        <w:t>
      Планируются: расширение центральной котельной, строительство новых автономных источников, замена изношенных сетей и строительство 40 км магистралей.</w:t>
      </w:r>
    </w:p>
    <w:bookmarkEnd w:id="206"/>
    <w:bookmarkStart w:name="z213" w:id="207"/>
    <w:p>
      <w:pPr>
        <w:spacing w:after="0"/>
        <w:ind w:left="0"/>
        <w:jc w:val="both"/>
      </w:pPr>
      <w:r>
        <w:rPr>
          <w:rFonts w:ascii="Times New Roman"/>
          <w:b w:val="false"/>
          <w:i w:val="false"/>
          <w:color w:val="000000"/>
          <w:sz w:val="28"/>
        </w:rPr>
        <w:t>
      Рекомендуется внедрение ИТП, автоматики, предизолированных труб, солнечных коллекторов и тепловых насосов;</w:t>
      </w:r>
    </w:p>
    <w:bookmarkEnd w:id="207"/>
    <w:bookmarkStart w:name="z214" w:id="208"/>
    <w:p>
      <w:pPr>
        <w:spacing w:after="0"/>
        <w:ind w:left="0"/>
        <w:jc w:val="both"/>
      </w:pPr>
      <w:r>
        <w:rPr>
          <w:rFonts w:ascii="Times New Roman"/>
          <w:b w:val="false"/>
          <w:i w:val="false"/>
          <w:color w:val="000000"/>
          <w:sz w:val="28"/>
        </w:rPr>
        <w:t>
      Это обеспечит надежное теплоснабжение и снижение потерь до 8-10 %.</w:t>
      </w:r>
    </w:p>
    <w:bookmarkEnd w:id="208"/>
    <w:bookmarkStart w:name="z215" w:id="209"/>
    <w:p>
      <w:pPr>
        <w:spacing w:after="0"/>
        <w:ind w:left="0"/>
        <w:jc w:val="left"/>
      </w:pPr>
      <w:r>
        <w:rPr>
          <w:rFonts w:ascii="Times New Roman"/>
          <w:b/>
          <w:i w:val="false"/>
          <w:color w:val="000000"/>
        </w:rPr>
        <w:t xml:space="preserve"> Технико-экономические показатели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производительность централизованной системы,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Теплопотребление,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758,07</w:t>
            </w:r>
          </w:p>
        </w:tc>
      </w:tr>
    </w:tbl>
    <w:bookmarkStart w:name="z216" w:id="210"/>
    <w:p>
      <w:pPr>
        <w:spacing w:after="0"/>
        <w:ind w:left="0"/>
        <w:jc w:val="both"/>
      </w:pPr>
      <w:r>
        <w:rPr>
          <w:rFonts w:ascii="Times New Roman"/>
          <w:b w:val="false"/>
          <w:i w:val="false"/>
          <w:color w:val="000000"/>
          <w:sz w:val="28"/>
        </w:rPr>
        <w:t>
      Газоснабжение</w:t>
      </w:r>
    </w:p>
    <w:bookmarkEnd w:id="210"/>
    <w:bookmarkStart w:name="z217" w:id="211"/>
    <w:p>
      <w:pPr>
        <w:spacing w:after="0"/>
        <w:ind w:left="0"/>
        <w:jc w:val="both"/>
      </w:pPr>
      <w:r>
        <w:rPr>
          <w:rFonts w:ascii="Times New Roman"/>
          <w:b w:val="false"/>
          <w:i w:val="false"/>
          <w:color w:val="000000"/>
          <w:sz w:val="28"/>
        </w:rPr>
        <w:t>
      Газоснабжение города Туркестана осуществляется от магистрального газопровода высокого давления, подающего газ на АГРС-15 "Туркестан", принадлежащую АО "Интергаз Центральная Азия".</w:t>
      </w:r>
    </w:p>
    <w:bookmarkEnd w:id="211"/>
    <w:bookmarkStart w:name="z218" w:id="212"/>
    <w:p>
      <w:pPr>
        <w:spacing w:after="0"/>
        <w:ind w:left="0"/>
        <w:jc w:val="both"/>
      </w:pPr>
      <w:r>
        <w:rPr>
          <w:rFonts w:ascii="Times New Roman"/>
          <w:b w:val="false"/>
          <w:i w:val="false"/>
          <w:color w:val="000000"/>
          <w:sz w:val="28"/>
        </w:rPr>
        <w:t>
      газ подается от АГРС-15 через сеть ПГБ, ГРП и ШР, газификация - 92 %;</w:t>
      </w:r>
    </w:p>
    <w:bookmarkEnd w:id="212"/>
    <w:bookmarkStart w:name="z219" w:id="213"/>
    <w:p>
      <w:pPr>
        <w:spacing w:after="0"/>
        <w:ind w:left="0"/>
        <w:jc w:val="both"/>
      </w:pPr>
      <w:r>
        <w:rPr>
          <w:rFonts w:ascii="Times New Roman"/>
          <w:b w:val="false"/>
          <w:i w:val="false"/>
          <w:color w:val="000000"/>
          <w:sz w:val="28"/>
        </w:rPr>
        <w:t>
      сети составляет - 1466 км, большинство новые (ПЭ-100), но в Шавгаре и центре есть изношенные участки;</w:t>
      </w:r>
    </w:p>
    <w:bookmarkEnd w:id="213"/>
    <w:bookmarkStart w:name="z220" w:id="214"/>
    <w:p>
      <w:pPr>
        <w:spacing w:after="0"/>
        <w:ind w:left="0"/>
        <w:jc w:val="both"/>
      </w:pPr>
      <w:r>
        <w:rPr>
          <w:rFonts w:ascii="Times New Roman"/>
          <w:b w:val="false"/>
          <w:i w:val="false"/>
          <w:color w:val="000000"/>
          <w:sz w:val="28"/>
        </w:rPr>
        <w:t>
      проблемные районы по давлению: Отырар, Бирлик, Шавгар - нужны новые ГРП;</w:t>
      </w:r>
    </w:p>
    <w:bookmarkEnd w:id="214"/>
    <w:bookmarkStart w:name="z221" w:id="215"/>
    <w:p>
      <w:pPr>
        <w:spacing w:after="0"/>
        <w:ind w:left="0"/>
        <w:jc w:val="both"/>
      </w:pPr>
      <w:r>
        <w:rPr>
          <w:rFonts w:ascii="Times New Roman"/>
          <w:b w:val="false"/>
          <w:i w:val="false"/>
          <w:color w:val="000000"/>
          <w:sz w:val="28"/>
        </w:rPr>
        <w:t>
      потребление: первая очередь - 107,9 тыс. м³/час, расчетный срок - 55,6 тыс. м³/час;</w:t>
      </w:r>
    </w:p>
    <w:bookmarkEnd w:id="215"/>
    <w:bookmarkStart w:name="z222" w:id="216"/>
    <w:p>
      <w:pPr>
        <w:spacing w:after="0"/>
        <w:ind w:left="0"/>
        <w:jc w:val="both"/>
      </w:pPr>
      <w:r>
        <w:rPr>
          <w:rFonts w:ascii="Times New Roman"/>
          <w:b w:val="false"/>
          <w:i w:val="false"/>
          <w:color w:val="000000"/>
          <w:sz w:val="28"/>
        </w:rPr>
        <w:t>
      промышленность - 54,9 тыс. м³/ч, основной потребитель - "Туркестан Текстиль";</w:t>
      </w:r>
    </w:p>
    <w:bookmarkEnd w:id="216"/>
    <w:bookmarkStart w:name="z223" w:id="217"/>
    <w:p>
      <w:pPr>
        <w:spacing w:after="0"/>
        <w:ind w:left="0"/>
        <w:jc w:val="both"/>
      </w:pPr>
      <w:r>
        <w:rPr>
          <w:rFonts w:ascii="Times New Roman"/>
          <w:b w:val="false"/>
          <w:i w:val="false"/>
          <w:color w:val="000000"/>
          <w:sz w:val="28"/>
        </w:rPr>
        <w:t>
      будущая мощность источников: 220 тыс. м³/ч (действующая + АГРС "Сауран");</w:t>
      </w:r>
    </w:p>
    <w:bookmarkEnd w:id="217"/>
    <w:bookmarkStart w:name="z224" w:id="218"/>
    <w:p>
      <w:pPr>
        <w:spacing w:after="0"/>
        <w:ind w:left="0"/>
        <w:jc w:val="both"/>
      </w:pPr>
      <w:r>
        <w:rPr>
          <w:rFonts w:ascii="Times New Roman"/>
          <w:b w:val="false"/>
          <w:i w:val="false"/>
          <w:color w:val="000000"/>
          <w:sz w:val="28"/>
        </w:rPr>
        <w:t>
      резерв мощности есть, сеть обеспечивает развитие новых районов;</w:t>
      </w:r>
    </w:p>
    <w:bookmarkEnd w:id="218"/>
    <w:bookmarkStart w:name="z225" w:id="219"/>
    <w:p>
      <w:pPr>
        <w:spacing w:after="0"/>
        <w:ind w:left="0"/>
        <w:jc w:val="both"/>
      </w:pPr>
      <w:r>
        <w:rPr>
          <w:rFonts w:ascii="Times New Roman"/>
          <w:b w:val="false"/>
          <w:i w:val="false"/>
          <w:color w:val="000000"/>
          <w:sz w:val="28"/>
        </w:rPr>
        <w:t>
      план: построить АГРС "Сауран", новые ГРП (ГРП-25, ГРП-14а), закольцевать газопроводы, модернизировать старые узлы.</w:t>
      </w:r>
    </w:p>
    <w:bookmarkEnd w:id="219"/>
    <w:bookmarkStart w:name="z226" w:id="220"/>
    <w:p>
      <w:pPr>
        <w:spacing w:after="0"/>
        <w:ind w:left="0"/>
        <w:jc w:val="left"/>
      </w:pPr>
      <w:r>
        <w:rPr>
          <w:rFonts w:ascii="Times New Roman"/>
          <w:b/>
          <w:i w:val="false"/>
          <w:color w:val="000000"/>
        </w:rPr>
        <w:t xml:space="preserve"> Технико-экономические показатели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ГРП и ПГБ,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производительность системы, тыс. м³/час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природного газа, тыс. м³/час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газоснабжением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7" w:id="221"/>
    <w:p>
      <w:pPr>
        <w:spacing w:after="0"/>
        <w:ind w:left="0"/>
        <w:jc w:val="both"/>
      </w:pPr>
      <w:r>
        <w:rPr>
          <w:rFonts w:ascii="Times New Roman"/>
          <w:b w:val="false"/>
          <w:i w:val="false"/>
          <w:color w:val="000000"/>
          <w:sz w:val="28"/>
        </w:rPr>
        <w:t>
      Телефонизация</w:t>
      </w:r>
    </w:p>
    <w:bookmarkEnd w:id="221"/>
    <w:bookmarkStart w:name="z228" w:id="222"/>
    <w:p>
      <w:pPr>
        <w:spacing w:after="0"/>
        <w:ind w:left="0"/>
        <w:jc w:val="both"/>
      </w:pPr>
      <w:r>
        <w:rPr>
          <w:rFonts w:ascii="Times New Roman"/>
          <w:b w:val="false"/>
          <w:i w:val="false"/>
          <w:color w:val="000000"/>
          <w:sz w:val="28"/>
        </w:rPr>
        <w:t>
      В Туркестане функционирует развитая телекоммуникационная сеть: фиксированная IP-телефония, мобильные сети 2G/3G/4G и 5G (первый город в Республике Казахстан).</w:t>
      </w:r>
    </w:p>
    <w:bookmarkEnd w:id="222"/>
    <w:bookmarkStart w:name="z229" w:id="223"/>
    <w:p>
      <w:pPr>
        <w:spacing w:after="0"/>
        <w:ind w:left="0"/>
        <w:jc w:val="both"/>
      </w:pPr>
      <w:r>
        <w:rPr>
          <w:rFonts w:ascii="Times New Roman"/>
          <w:b w:val="false"/>
          <w:i w:val="false"/>
          <w:color w:val="000000"/>
          <w:sz w:val="28"/>
        </w:rPr>
        <w:t>
      5G работает на ключевых объектах: акимат, конгресс-холл, Туркестан Арена, Фараб, Жастар сарайы; планируется расширение на аэропорт и крупные комплексы;</w:t>
      </w:r>
    </w:p>
    <w:bookmarkEnd w:id="223"/>
    <w:bookmarkStart w:name="z230" w:id="224"/>
    <w:p>
      <w:pPr>
        <w:spacing w:after="0"/>
        <w:ind w:left="0"/>
        <w:jc w:val="both"/>
      </w:pPr>
      <w:r>
        <w:rPr>
          <w:rFonts w:ascii="Times New Roman"/>
          <w:b w:val="false"/>
          <w:i w:val="false"/>
          <w:color w:val="000000"/>
          <w:sz w:val="28"/>
        </w:rPr>
        <w:t>
      город обслуживают операторы: "Казахтелеком", "Транстелеком", "Beeline", "Tele2/Altel", "Kcell", "AlmaTV", "Кайнар-Медиа";</w:t>
      </w:r>
    </w:p>
    <w:bookmarkEnd w:id="224"/>
    <w:bookmarkStart w:name="z231" w:id="225"/>
    <w:p>
      <w:pPr>
        <w:spacing w:after="0"/>
        <w:ind w:left="0"/>
        <w:jc w:val="both"/>
      </w:pPr>
      <w:r>
        <w:rPr>
          <w:rFonts w:ascii="Times New Roman"/>
          <w:b w:val="false"/>
          <w:i w:val="false"/>
          <w:color w:val="000000"/>
          <w:sz w:val="28"/>
        </w:rPr>
        <w:t>
      магистральные связи выполнены по ВОЛС, SDH, абонентские - медные кабели ТПП и оптические линии;</w:t>
      </w:r>
    </w:p>
    <w:bookmarkEnd w:id="225"/>
    <w:bookmarkStart w:name="z232" w:id="226"/>
    <w:p>
      <w:pPr>
        <w:spacing w:after="0"/>
        <w:ind w:left="0"/>
        <w:jc w:val="both"/>
      </w:pPr>
      <w:r>
        <w:rPr>
          <w:rFonts w:ascii="Times New Roman"/>
          <w:b w:val="false"/>
          <w:i w:val="false"/>
          <w:color w:val="000000"/>
          <w:sz w:val="28"/>
        </w:rPr>
        <w:t>
      используются станции CDMA-450/800, обеспечивающие широкое покрытие и устойчивую связь;</w:t>
      </w:r>
    </w:p>
    <w:bookmarkEnd w:id="226"/>
    <w:bookmarkStart w:name="z233" w:id="227"/>
    <w:p>
      <w:pPr>
        <w:spacing w:after="0"/>
        <w:ind w:left="0"/>
        <w:jc w:val="both"/>
      </w:pPr>
      <w:r>
        <w:rPr>
          <w:rFonts w:ascii="Times New Roman"/>
          <w:b w:val="false"/>
          <w:i w:val="false"/>
          <w:color w:val="000000"/>
          <w:sz w:val="28"/>
        </w:rPr>
        <w:t>
      проектное развитие: переход на FTTH (G-PON), расширение АТС, увеличение мультисервисных абонентских доступов;</w:t>
      </w:r>
    </w:p>
    <w:bookmarkEnd w:id="227"/>
    <w:bookmarkStart w:name="z234" w:id="228"/>
    <w:p>
      <w:pPr>
        <w:spacing w:after="0"/>
        <w:ind w:left="0"/>
        <w:jc w:val="both"/>
      </w:pPr>
      <w:r>
        <w:rPr>
          <w:rFonts w:ascii="Times New Roman"/>
          <w:b w:val="false"/>
          <w:i w:val="false"/>
          <w:color w:val="000000"/>
          <w:sz w:val="28"/>
        </w:rPr>
        <w:t>
      потребность: первая очередь - 70 000 номеров, расчетный срок - 100 000 номеров.</w:t>
      </w:r>
    </w:p>
    <w:bookmarkEnd w:id="228"/>
    <w:bookmarkStart w:name="z235" w:id="229"/>
    <w:p>
      <w:pPr>
        <w:spacing w:after="0"/>
        <w:ind w:left="0"/>
        <w:jc w:val="left"/>
      </w:pPr>
      <w:r>
        <w:rPr>
          <w:rFonts w:ascii="Times New Roman"/>
          <w:b/>
          <w:i w:val="false"/>
          <w:color w:val="000000"/>
        </w:rPr>
        <w:t xml:space="preserve"> Технико-экономические показатели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АТС,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производительность системы,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6" w:id="230"/>
    <w:p>
      <w:pPr>
        <w:spacing w:after="0"/>
        <w:ind w:left="0"/>
        <w:jc w:val="both"/>
      </w:pPr>
      <w:r>
        <w:rPr>
          <w:rFonts w:ascii="Times New Roman"/>
          <w:b w:val="false"/>
          <w:i w:val="false"/>
          <w:color w:val="000000"/>
          <w:sz w:val="28"/>
        </w:rPr>
        <w:t>
      Электроснабжение</w:t>
      </w:r>
    </w:p>
    <w:bookmarkEnd w:id="230"/>
    <w:bookmarkStart w:name="z237" w:id="231"/>
    <w:p>
      <w:pPr>
        <w:spacing w:after="0"/>
        <w:ind w:left="0"/>
        <w:jc w:val="both"/>
      </w:pPr>
      <w:r>
        <w:rPr>
          <w:rFonts w:ascii="Times New Roman"/>
          <w:b w:val="false"/>
          <w:i w:val="false"/>
          <w:color w:val="000000"/>
          <w:sz w:val="28"/>
        </w:rPr>
        <w:t>
      Система электроснабжения города Туркестана сформирована на основе радиально-кольцевой схемы с питанием от магистральных линий 220 кВ и 110 кВ, поступающих от энергосистемы АО "KEGOC".</w:t>
      </w:r>
    </w:p>
    <w:bookmarkEnd w:id="231"/>
    <w:bookmarkStart w:name="z238" w:id="232"/>
    <w:p>
      <w:pPr>
        <w:spacing w:after="0"/>
        <w:ind w:left="0"/>
        <w:jc w:val="both"/>
      </w:pPr>
      <w:r>
        <w:rPr>
          <w:rFonts w:ascii="Times New Roman"/>
          <w:b w:val="false"/>
          <w:i w:val="false"/>
          <w:color w:val="000000"/>
          <w:sz w:val="28"/>
        </w:rPr>
        <w:t>
      Электроснабжение обеспечивают сети 220-110-35-10-0,4 кВ, подстанций - 13 штук, уровень обеспеченности - 95 %.</w:t>
      </w:r>
    </w:p>
    <w:bookmarkEnd w:id="232"/>
    <w:bookmarkStart w:name="z239" w:id="233"/>
    <w:p>
      <w:pPr>
        <w:spacing w:after="0"/>
        <w:ind w:left="0"/>
        <w:jc w:val="both"/>
      </w:pPr>
      <w:r>
        <w:rPr>
          <w:rFonts w:ascii="Times New Roman"/>
          <w:b w:val="false"/>
          <w:i w:val="false"/>
          <w:color w:val="000000"/>
          <w:sz w:val="28"/>
        </w:rPr>
        <w:t>
      Общая протяженность сетей - 1056 км, износ - до 60 % на старых участках.</w:t>
      </w:r>
    </w:p>
    <w:bookmarkEnd w:id="233"/>
    <w:bookmarkStart w:name="z240" w:id="234"/>
    <w:p>
      <w:pPr>
        <w:spacing w:after="0"/>
        <w:ind w:left="0"/>
        <w:jc w:val="both"/>
      </w:pPr>
      <w:r>
        <w:rPr>
          <w:rFonts w:ascii="Times New Roman"/>
          <w:b w:val="false"/>
          <w:i w:val="false"/>
          <w:color w:val="000000"/>
          <w:sz w:val="28"/>
        </w:rPr>
        <w:t>
      Основные центры питания: подстанции Орталык, Коммунальная, Солтустик.</w:t>
      </w:r>
    </w:p>
    <w:bookmarkEnd w:id="234"/>
    <w:bookmarkStart w:name="z241" w:id="235"/>
    <w:p>
      <w:pPr>
        <w:spacing w:after="0"/>
        <w:ind w:left="0"/>
        <w:jc w:val="both"/>
      </w:pPr>
      <w:r>
        <w:rPr>
          <w:rFonts w:ascii="Times New Roman"/>
          <w:b w:val="false"/>
          <w:i w:val="false"/>
          <w:color w:val="000000"/>
          <w:sz w:val="28"/>
        </w:rPr>
        <w:t>
      Наибольшие дефициты мощности в районах Отырар, Бирлик, Туран-Сити (нужны новые ТП/ПС).</w:t>
      </w:r>
    </w:p>
    <w:bookmarkEnd w:id="235"/>
    <w:bookmarkStart w:name="z242" w:id="236"/>
    <w:p>
      <w:pPr>
        <w:spacing w:after="0"/>
        <w:ind w:left="0"/>
        <w:jc w:val="both"/>
      </w:pPr>
      <w:r>
        <w:rPr>
          <w:rFonts w:ascii="Times New Roman"/>
          <w:b w:val="false"/>
          <w:i w:val="false"/>
          <w:color w:val="000000"/>
          <w:sz w:val="28"/>
        </w:rPr>
        <w:t>
      Потребление: первая очередь 239 МВт, расчетный срок 240 МВт.</w:t>
      </w:r>
    </w:p>
    <w:bookmarkEnd w:id="236"/>
    <w:bookmarkStart w:name="z243" w:id="237"/>
    <w:p>
      <w:pPr>
        <w:spacing w:after="0"/>
        <w:ind w:left="0"/>
        <w:jc w:val="both"/>
      </w:pPr>
      <w:r>
        <w:rPr>
          <w:rFonts w:ascii="Times New Roman"/>
          <w:b w:val="false"/>
          <w:i w:val="false"/>
          <w:color w:val="000000"/>
          <w:sz w:val="28"/>
        </w:rPr>
        <w:t>
      Резерв мощности подстанций большой - до 754 МВт.</w:t>
      </w:r>
    </w:p>
    <w:bookmarkEnd w:id="237"/>
    <w:bookmarkStart w:name="z244" w:id="238"/>
    <w:p>
      <w:pPr>
        <w:spacing w:after="0"/>
        <w:ind w:left="0"/>
        <w:jc w:val="both"/>
      </w:pPr>
      <w:r>
        <w:rPr>
          <w:rFonts w:ascii="Times New Roman"/>
          <w:b w:val="false"/>
          <w:i w:val="false"/>
          <w:color w:val="000000"/>
          <w:sz w:val="28"/>
        </w:rPr>
        <w:t>
      План: строительство новых ПС (Бекзат, Сауран, Нуртас), усиление ВЛ 110 кВ, новые ТП 10/0,4 кВ.</w:t>
      </w:r>
    </w:p>
    <w:bookmarkEnd w:id="238"/>
    <w:bookmarkStart w:name="z245" w:id="239"/>
    <w:p>
      <w:pPr>
        <w:spacing w:after="0"/>
        <w:ind w:left="0"/>
        <w:jc w:val="left"/>
      </w:pPr>
      <w:r>
        <w:rPr>
          <w:rFonts w:ascii="Times New Roman"/>
          <w:b/>
          <w:i w:val="false"/>
          <w:color w:val="000000"/>
        </w:rPr>
        <w:t xml:space="preserve"> Технико-экономические показатели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ПС,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производительность системы,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электрической нагрузки,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электроснабжением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46" w:id="240"/>
    <w:p>
      <w:pPr>
        <w:spacing w:after="0"/>
        <w:ind w:left="0"/>
        <w:jc w:val="both"/>
      </w:pPr>
      <w:r>
        <w:rPr>
          <w:rFonts w:ascii="Times New Roman"/>
          <w:b w:val="false"/>
          <w:i w:val="false"/>
          <w:color w:val="000000"/>
          <w:sz w:val="28"/>
        </w:rPr>
        <w:t>
      Санитарная очистка территории</w:t>
      </w:r>
    </w:p>
    <w:bookmarkEnd w:id="240"/>
    <w:bookmarkStart w:name="z247" w:id="241"/>
    <w:p>
      <w:pPr>
        <w:spacing w:after="0"/>
        <w:ind w:left="0"/>
        <w:jc w:val="both"/>
      </w:pPr>
      <w:r>
        <w:rPr>
          <w:rFonts w:ascii="Times New Roman"/>
          <w:b w:val="false"/>
          <w:i w:val="false"/>
          <w:color w:val="000000"/>
          <w:sz w:val="28"/>
        </w:rPr>
        <w:t>
      В городе Туркестане действует система организованного сбора и вывоза ТБО. Охват высокий в многоэтажных районах и ограниченный в частном секторе. Основной полигон площадью 50 гектар заполнен на 95 % (1,187 млн тонн из 1,25 млн тонн), остаточная емкость - 62,8 тыс. тонн, что хватит менее чем на год.</w:t>
      </w:r>
    </w:p>
    <w:bookmarkEnd w:id="241"/>
    <w:bookmarkStart w:name="z248" w:id="242"/>
    <w:p>
      <w:pPr>
        <w:spacing w:after="0"/>
        <w:ind w:left="0"/>
        <w:jc w:val="both"/>
      </w:pPr>
      <w:r>
        <w:rPr>
          <w:rFonts w:ascii="Times New Roman"/>
          <w:b w:val="false"/>
          <w:i w:val="false"/>
          <w:color w:val="000000"/>
          <w:sz w:val="28"/>
        </w:rPr>
        <w:t>
      Раздельный сбор внедрен частично, сортировка и переработка развиты недостаточно, отсутствует система приема крупногабаритных и опасных отходов.</w:t>
      </w:r>
    </w:p>
    <w:bookmarkEnd w:id="242"/>
    <w:bookmarkStart w:name="z249" w:id="243"/>
    <w:p>
      <w:pPr>
        <w:spacing w:after="0"/>
        <w:ind w:left="0"/>
        <w:jc w:val="both"/>
      </w:pPr>
      <w:r>
        <w:rPr>
          <w:rFonts w:ascii="Times New Roman"/>
          <w:b w:val="false"/>
          <w:i w:val="false"/>
          <w:color w:val="000000"/>
          <w:sz w:val="28"/>
        </w:rPr>
        <w:t>
      Генеральным планом предусмотрено создание современной инфраструктуры обращения с отходами: обновление контейнерного парка, расширение площадок, GPS-контроль мусоровозов, строительство сортировочного комплекса, пунктов приема вторсырья и новой площадки для КГО.</w:t>
      </w:r>
    </w:p>
    <w:bookmarkEnd w:id="243"/>
    <w:bookmarkStart w:name="z250" w:id="244"/>
    <w:p>
      <w:pPr>
        <w:spacing w:after="0"/>
        <w:ind w:left="0"/>
        <w:jc w:val="both"/>
      </w:pPr>
      <w:r>
        <w:rPr>
          <w:rFonts w:ascii="Times New Roman"/>
          <w:b w:val="false"/>
          <w:i w:val="false"/>
          <w:color w:val="000000"/>
          <w:sz w:val="28"/>
        </w:rPr>
        <w:t>
      Планируется строительство нового полигона 50 гектар и вместимостью 3,5 млн тонн, что обеспечит работу системы на 25-30 лет. Также рассматриваются энергоэффективные решения - утилизация метана и технология Waste-to-Energy.</w:t>
      </w:r>
    </w:p>
    <w:bookmarkEnd w:id="244"/>
    <w:bookmarkStart w:name="z251" w:id="245"/>
    <w:p>
      <w:pPr>
        <w:spacing w:after="0"/>
        <w:ind w:left="0"/>
        <w:jc w:val="left"/>
      </w:pPr>
      <w:r>
        <w:rPr>
          <w:rFonts w:ascii="Times New Roman"/>
          <w:b/>
          <w:i w:val="false"/>
          <w:color w:val="000000"/>
        </w:rPr>
        <w:t xml:space="preserve"> 10. Первоочередные градостроительные мероприятия проектных решений Генерального плана</w:t>
      </w:r>
    </w:p>
    <w:bookmarkEnd w:id="245"/>
    <w:bookmarkStart w:name="z252" w:id="246"/>
    <w:p>
      <w:pPr>
        <w:spacing w:after="0"/>
        <w:ind w:left="0"/>
        <w:jc w:val="both"/>
      </w:pPr>
      <w:r>
        <w:rPr>
          <w:rFonts w:ascii="Times New Roman"/>
          <w:b w:val="false"/>
          <w:i w:val="false"/>
          <w:color w:val="000000"/>
          <w:sz w:val="28"/>
        </w:rPr>
        <w:t>
      Первая очередь охватывает период до 2031 года и основывается на планах и программах, касающихся перспектив развития населенного пункта, а также на предложениях данного Генерального плана.</w:t>
      </w:r>
    </w:p>
    <w:bookmarkEnd w:id="246"/>
    <w:bookmarkStart w:name="z253" w:id="247"/>
    <w:p>
      <w:pPr>
        <w:spacing w:after="0"/>
        <w:ind w:left="0"/>
        <w:jc w:val="both"/>
      </w:pPr>
      <w:r>
        <w:rPr>
          <w:rFonts w:ascii="Times New Roman"/>
          <w:b w:val="false"/>
          <w:i w:val="false"/>
          <w:color w:val="000000"/>
          <w:sz w:val="28"/>
        </w:rPr>
        <w:t>
      При проектировании Генерального плана учтены следующие факторы, отвечающие перспективному уровню социального развития города:</w:t>
      </w:r>
    </w:p>
    <w:bookmarkEnd w:id="247"/>
    <w:bookmarkStart w:name="z254" w:id="248"/>
    <w:p>
      <w:pPr>
        <w:spacing w:after="0"/>
        <w:ind w:left="0"/>
        <w:jc w:val="both"/>
      </w:pPr>
      <w:r>
        <w:rPr>
          <w:rFonts w:ascii="Times New Roman"/>
          <w:b w:val="false"/>
          <w:i w:val="false"/>
          <w:color w:val="000000"/>
          <w:sz w:val="28"/>
        </w:rPr>
        <w:t>
      четкое функциональное зонирование;</w:t>
      </w:r>
    </w:p>
    <w:bookmarkEnd w:id="248"/>
    <w:bookmarkStart w:name="z255" w:id="249"/>
    <w:p>
      <w:pPr>
        <w:spacing w:after="0"/>
        <w:ind w:left="0"/>
        <w:jc w:val="both"/>
      </w:pPr>
      <w:r>
        <w:rPr>
          <w:rFonts w:ascii="Times New Roman"/>
          <w:b w:val="false"/>
          <w:i w:val="false"/>
          <w:color w:val="000000"/>
          <w:sz w:val="28"/>
        </w:rPr>
        <w:t>
      формирование новой индивидуальной жилой застройки усадебного типа;</w:t>
      </w:r>
    </w:p>
    <w:bookmarkEnd w:id="249"/>
    <w:bookmarkStart w:name="z256" w:id="250"/>
    <w:p>
      <w:pPr>
        <w:spacing w:after="0"/>
        <w:ind w:left="0"/>
        <w:jc w:val="both"/>
      </w:pPr>
      <w:r>
        <w:rPr>
          <w:rFonts w:ascii="Times New Roman"/>
          <w:b w:val="false"/>
          <w:i w:val="false"/>
          <w:color w:val="000000"/>
          <w:sz w:val="28"/>
        </w:rPr>
        <w:t>
      дальнейшее формирование общественного центра города и мини общественных центров в новой жилой застройке;</w:t>
      </w:r>
    </w:p>
    <w:bookmarkEnd w:id="250"/>
    <w:bookmarkStart w:name="z257" w:id="251"/>
    <w:p>
      <w:pPr>
        <w:spacing w:after="0"/>
        <w:ind w:left="0"/>
        <w:jc w:val="both"/>
      </w:pPr>
      <w:r>
        <w:rPr>
          <w:rFonts w:ascii="Times New Roman"/>
          <w:b w:val="false"/>
          <w:i w:val="false"/>
          <w:color w:val="000000"/>
          <w:sz w:val="28"/>
        </w:rPr>
        <w:t xml:space="preserve">
      дальнейшее формирование и совершенствование транспортной сети города и инженерной инфраструктуры; </w:t>
      </w:r>
    </w:p>
    <w:bookmarkEnd w:id="251"/>
    <w:bookmarkStart w:name="z258" w:id="252"/>
    <w:p>
      <w:pPr>
        <w:spacing w:after="0"/>
        <w:ind w:left="0"/>
        <w:jc w:val="both"/>
      </w:pPr>
      <w:r>
        <w:rPr>
          <w:rFonts w:ascii="Times New Roman"/>
          <w:b w:val="false"/>
          <w:i w:val="false"/>
          <w:color w:val="000000"/>
          <w:sz w:val="28"/>
        </w:rPr>
        <w:t xml:space="preserve">
      благоустройство и озеленение территорий вдоль дорог; </w:t>
      </w:r>
    </w:p>
    <w:bookmarkEnd w:id="252"/>
    <w:bookmarkStart w:name="z259" w:id="253"/>
    <w:p>
      <w:pPr>
        <w:spacing w:after="0"/>
        <w:ind w:left="0"/>
        <w:jc w:val="both"/>
      </w:pPr>
      <w:r>
        <w:rPr>
          <w:rFonts w:ascii="Times New Roman"/>
          <w:b w:val="false"/>
          <w:i w:val="false"/>
          <w:color w:val="000000"/>
          <w:sz w:val="28"/>
        </w:rPr>
        <w:t>
      организация единой, взаимоувязанной системы зеленых насаждений общего пользования, способствующих улучшению микроклиматических условий города;</w:t>
      </w:r>
    </w:p>
    <w:bookmarkEnd w:id="253"/>
    <w:bookmarkStart w:name="z260" w:id="254"/>
    <w:p>
      <w:pPr>
        <w:spacing w:after="0"/>
        <w:ind w:left="0"/>
        <w:jc w:val="both"/>
      </w:pPr>
      <w:r>
        <w:rPr>
          <w:rFonts w:ascii="Times New Roman"/>
          <w:b w:val="false"/>
          <w:i w:val="false"/>
          <w:color w:val="000000"/>
          <w:sz w:val="28"/>
        </w:rPr>
        <w:t xml:space="preserve">
      проведение мероприятий по охране природы и оздоровлению окружающей среды. </w:t>
      </w:r>
    </w:p>
    <w:bookmarkEnd w:id="254"/>
    <w:bookmarkStart w:name="z261" w:id="255"/>
    <w:p>
      <w:pPr>
        <w:spacing w:after="0"/>
        <w:ind w:left="0"/>
        <w:jc w:val="both"/>
      </w:pPr>
      <w:r>
        <w:rPr>
          <w:rFonts w:ascii="Times New Roman"/>
          <w:b w:val="false"/>
          <w:i w:val="false"/>
          <w:color w:val="000000"/>
          <w:sz w:val="28"/>
        </w:rPr>
        <w:t>
      Пространственное решение и структура системы улиц определены в увязке с архитектурно-планировочным решением и функциональным зонированием города, учетом существующей планировочной структуры.</w:t>
      </w:r>
    </w:p>
    <w:bookmarkEnd w:id="255"/>
    <w:bookmarkStart w:name="z262" w:id="256"/>
    <w:p>
      <w:pPr>
        <w:spacing w:after="0"/>
        <w:ind w:left="0"/>
        <w:jc w:val="both"/>
      </w:pPr>
      <w:r>
        <w:rPr>
          <w:rFonts w:ascii="Times New Roman"/>
          <w:b w:val="false"/>
          <w:i w:val="false"/>
          <w:color w:val="000000"/>
          <w:sz w:val="28"/>
        </w:rPr>
        <w:t>
      Учитывая месторасположение очага сибиреязвенного захоронения, отмеченных участков на схеме, Генеральным планом на данной территории в период первой очереди не будет проводиться строительство жилых домов, объектов социальной инфраструктуры. Любая деятельность в такой зоне строго регулируется и требует согласования с государственными органами ветеринарного и санитарно-эпидемиологического надзора.</w:t>
      </w:r>
    </w:p>
    <w:bookmarkEnd w:id="256"/>
    <w:bookmarkStart w:name="z263" w:id="257"/>
    <w:p>
      <w:pPr>
        <w:spacing w:after="0"/>
        <w:ind w:left="0"/>
        <w:jc w:val="both"/>
      </w:pPr>
      <w:r>
        <w:rPr>
          <w:rFonts w:ascii="Times New Roman"/>
          <w:b w:val="false"/>
          <w:i w:val="false"/>
          <w:color w:val="000000"/>
          <w:sz w:val="28"/>
        </w:rPr>
        <w:t xml:space="preserve">
      Основными задачами реализации первой очереди строительства являются увеличение средней жилищной обеспеченности до 27 м² на человека, обеспеченность инженерным оборудованием района новой комплексной застройки, выполнение градостроительных проектов для районов по размещению строительства на первую очередь строительства. Застройка жилых территорий первой очереди строительства намечена жилыми комплексами со встроенными в первые этажи объектами обслуживания и районами усадебной застройки. </w:t>
      </w:r>
    </w:p>
    <w:bookmarkEnd w:id="257"/>
    <w:bookmarkStart w:name="z264" w:id="258"/>
    <w:p>
      <w:pPr>
        <w:spacing w:after="0"/>
        <w:ind w:left="0"/>
        <w:jc w:val="both"/>
      </w:pPr>
      <w:r>
        <w:rPr>
          <w:rFonts w:ascii="Times New Roman"/>
          <w:b w:val="false"/>
          <w:i w:val="false"/>
          <w:color w:val="000000"/>
          <w:sz w:val="28"/>
        </w:rPr>
        <w:t>
      Таким образом, в Генеральном плане определены общие объемы нового жилищного строительства, расселяемое население, территории, необходимые для его размещения, объемы убыли существующего жилищного фонда, динамика движения жилищного фонда и структура по этажности застройки</w:t>
      </w:r>
    </w:p>
    <w:bookmarkEnd w:id="258"/>
    <w:bookmarkStart w:name="z265" w:id="259"/>
    <w:p>
      <w:pPr>
        <w:spacing w:after="0"/>
        <w:ind w:left="0"/>
        <w:jc w:val="both"/>
      </w:pPr>
      <w:r>
        <w:rPr>
          <w:rFonts w:ascii="Times New Roman"/>
          <w:b w:val="false"/>
          <w:i w:val="false"/>
          <w:color w:val="000000"/>
          <w:sz w:val="28"/>
        </w:rPr>
        <w:t>
      В пределах рассматриваемой территории до 2031 года может быть размещено 3 557,4 тыс. м² жилой застройки, из них: 2-3 этажной - 414,8 тыс. м², 4,5,6 этажной- 1203,9 тыс. м², 6-12 этажной - 1379,7 тыс. м², усадебной - 559,0 тыс. м². Численность населения города в принятых границах на конец первой очереди 2031 год составит 280,0 тыс. человек.</w:t>
      </w:r>
    </w:p>
    <w:bookmarkEnd w:id="259"/>
    <w:bookmarkStart w:name="z266" w:id="260"/>
    <w:p>
      <w:pPr>
        <w:spacing w:after="0"/>
        <w:ind w:left="0"/>
        <w:jc w:val="both"/>
      </w:pPr>
      <w:r>
        <w:rPr>
          <w:rFonts w:ascii="Times New Roman"/>
          <w:b w:val="false"/>
          <w:i w:val="false"/>
          <w:color w:val="000000"/>
          <w:sz w:val="28"/>
        </w:rPr>
        <w:t>
      Улучшение жилищных условий и новое строительство жилищного фонда на первую очередь Генерального плана опираются на Концепцию развития жилищно-коммунальной инфраструктуры на 2023-2029, прогнозную схему территориально-пространственного развития страны до 2030 года, Послание Главы государства народу Казахстана от 5 октября 2018 года "Рост благосостояния казахстанцев: повышение доходов и качества жизни". Концепция консолидирует все меры государственной поддержки в сфере жилищного строительства, обеспечения жильем граждан, модернизации и развития системы ЖКХ. Основные меры государственной поддержки в жилищном строительстве направлены на стимулирование строительства доступного жилья широким слоям населения за счет обустройства районов застройки инженерными сетями, привлечение частных инвестиций, ипотечных программ, единой жилищной политика, стимулирование роста жилищного фонда с учетом комплексного планирования территории.</w:t>
      </w:r>
    </w:p>
    <w:bookmarkEnd w:id="260"/>
    <w:bookmarkStart w:name="z267" w:id="261"/>
    <w:p>
      <w:pPr>
        <w:spacing w:after="0"/>
        <w:ind w:left="0"/>
        <w:jc w:val="both"/>
      </w:pPr>
      <w:r>
        <w:rPr>
          <w:rFonts w:ascii="Times New Roman"/>
          <w:b w:val="false"/>
          <w:i w:val="false"/>
          <w:color w:val="000000"/>
          <w:sz w:val="28"/>
        </w:rPr>
        <w:t>
      Также к мерам развития ЖКХ относятся:</w:t>
      </w:r>
    </w:p>
    <w:bookmarkEnd w:id="261"/>
    <w:bookmarkStart w:name="z268" w:id="262"/>
    <w:p>
      <w:pPr>
        <w:spacing w:after="0"/>
        <w:ind w:left="0"/>
        <w:jc w:val="both"/>
      </w:pPr>
      <w:r>
        <w:rPr>
          <w:rFonts w:ascii="Times New Roman"/>
          <w:b w:val="false"/>
          <w:i w:val="false"/>
          <w:color w:val="000000"/>
          <w:sz w:val="28"/>
        </w:rPr>
        <w:t>
      регулирование и контроль в строительной деятельности;</w:t>
      </w:r>
    </w:p>
    <w:bookmarkEnd w:id="262"/>
    <w:bookmarkStart w:name="z269" w:id="263"/>
    <w:p>
      <w:pPr>
        <w:spacing w:after="0"/>
        <w:ind w:left="0"/>
        <w:jc w:val="both"/>
      </w:pPr>
      <w:r>
        <w:rPr>
          <w:rFonts w:ascii="Times New Roman"/>
          <w:b w:val="false"/>
          <w:i w:val="false"/>
          <w:color w:val="000000"/>
          <w:sz w:val="28"/>
        </w:rPr>
        <w:t>
      цифровизация ЖКХ;</w:t>
      </w:r>
    </w:p>
    <w:bookmarkEnd w:id="263"/>
    <w:bookmarkStart w:name="z270" w:id="264"/>
    <w:p>
      <w:pPr>
        <w:spacing w:after="0"/>
        <w:ind w:left="0"/>
        <w:jc w:val="both"/>
      </w:pPr>
      <w:r>
        <w:rPr>
          <w:rFonts w:ascii="Times New Roman"/>
          <w:b w:val="false"/>
          <w:i w:val="false"/>
          <w:color w:val="000000"/>
          <w:sz w:val="28"/>
        </w:rPr>
        <w:t>
      градостроительное планирование;</w:t>
      </w:r>
    </w:p>
    <w:bookmarkEnd w:id="264"/>
    <w:bookmarkStart w:name="z271" w:id="265"/>
    <w:p>
      <w:pPr>
        <w:spacing w:after="0"/>
        <w:ind w:left="0"/>
        <w:jc w:val="both"/>
      </w:pPr>
      <w:r>
        <w:rPr>
          <w:rFonts w:ascii="Times New Roman"/>
          <w:b w:val="false"/>
          <w:i w:val="false"/>
          <w:color w:val="000000"/>
          <w:sz w:val="28"/>
        </w:rPr>
        <w:t>
      рациональное обеспечение населения качественной питьевой водой.</w:t>
      </w:r>
    </w:p>
    <w:bookmarkEnd w:id="265"/>
    <w:bookmarkStart w:name="z272" w:id="266"/>
    <w:p>
      <w:pPr>
        <w:spacing w:after="0"/>
        <w:ind w:left="0"/>
        <w:jc w:val="both"/>
      </w:pPr>
      <w:r>
        <w:rPr>
          <w:rFonts w:ascii="Times New Roman"/>
          <w:b w:val="false"/>
          <w:i w:val="false"/>
          <w:color w:val="000000"/>
          <w:sz w:val="28"/>
        </w:rPr>
        <w:t>
      Из социально значимых объектов на первую очередь запроектировано размещение 35 школ общей вместимостью 45630 обучающихся и предусмотрено строительство 52 детских сада общей вместимостью 11500 мест.</w:t>
      </w:r>
    </w:p>
    <w:bookmarkEnd w:id="266"/>
    <w:bookmarkStart w:name="z273" w:id="267"/>
    <w:p>
      <w:pPr>
        <w:spacing w:after="0"/>
        <w:ind w:left="0"/>
        <w:jc w:val="left"/>
      </w:pPr>
      <w:r>
        <w:rPr>
          <w:rFonts w:ascii="Times New Roman"/>
          <w:b/>
          <w:i w:val="false"/>
          <w:color w:val="000000"/>
        </w:rPr>
        <w:t xml:space="preserve"> 11. Укрупненный расчет и структура затрат на строительство</w:t>
      </w:r>
    </w:p>
    <w:bookmarkEnd w:id="267"/>
    <w:bookmarkStart w:name="z274" w:id="268"/>
    <w:p>
      <w:pPr>
        <w:spacing w:after="0"/>
        <w:ind w:left="0"/>
        <w:jc w:val="both"/>
      </w:pPr>
      <w:r>
        <w:rPr>
          <w:rFonts w:ascii="Times New Roman"/>
          <w:b w:val="false"/>
          <w:i w:val="false"/>
          <w:color w:val="000000"/>
          <w:sz w:val="28"/>
        </w:rPr>
        <w:t xml:space="preserve">
      Определена стоимость строительства по первому этапу реализации проектных решений (2031 год) в сумме 1898,8 млрд тенге. </w:t>
      </w:r>
    </w:p>
    <w:bookmarkEnd w:id="268"/>
    <w:bookmarkStart w:name="z275" w:id="269"/>
    <w:p>
      <w:pPr>
        <w:spacing w:after="0"/>
        <w:ind w:left="0"/>
        <w:jc w:val="both"/>
      </w:pPr>
      <w:r>
        <w:rPr>
          <w:rFonts w:ascii="Times New Roman"/>
          <w:b w:val="false"/>
          <w:i w:val="false"/>
          <w:color w:val="000000"/>
          <w:sz w:val="28"/>
        </w:rPr>
        <w:t xml:space="preserve">
      Расчет капитальных вложений носит укрупненный, ориентировочный характер. </w:t>
      </w:r>
    </w:p>
    <w:bookmarkEnd w:id="269"/>
    <w:bookmarkStart w:name="z276" w:id="270"/>
    <w:p>
      <w:pPr>
        <w:spacing w:after="0"/>
        <w:ind w:left="0"/>
        <w:jc w:val="both"/>
      </w:pPr>
      <w:r>
        <w:rPr>
          <w:rFonts w:ascii="Times New Roman"/>
          <w:b w:val="false"/>
          <w:i w:val="false"/>
          <w:color w:val="000000"/>
          <w:sz w:val="28"/>
        </w:rPr>
        <w:t>
      Для определения инвестиций использовались усредненные показатели на единицу вместимости по ряду учреждений и предприятий обслуживания и по прочим объектам согласно УСН РК 8.02-04-2023 "Укрупненные показатели стоимости строительства зданий и сооружений. Объекты непроизводственного назначения. Туркестанская область".</w:t>
      </w:r>
    </w:p>
    <w:bookmarkEnd w:id="270"/>
    <w:bookmarkStart w:name="z277" w:id="271"/>
    <w:p>
      <w:pPr>
        <w:spacing w:after="0"/>
        <w:ind w:left="0"/>
        <w:jc w:val="left"/>
      </w:pPr>
      <w:r>
        <w:rPr>
          <w:rFonts w:ascii="Times New Roman"/>
          <w:b/>
          <w:i w:val="false"/>
          <w:color w:val="000000"/>
        </w:rPr>
        <w:t xml:space="preserve"> Таблица - Структура капитальных вложений</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итогу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Производственное строительство,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Инженерное оборудование и инженерная подготовка территории,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водоснабжение и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связь и телекоммуникации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инженерная подготовка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санитарная очистка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Улично-дорожная сеть и сооружения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Непроизводственное строительство,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Жилищное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Ремонтно-реконструктивные мероприятия по жилищному фонду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Строительство объектов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капвложений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bookmarkStart w:name="z278" w:id="272"/>
    <w:p>
      <w:pPr>
        <w:spacing w:after="0"/>
        <w:ind w:left="0"/>
        <w:jc w:val="both"/>
      </w:pPr>
      <w:r>
        <w:rPr>
          <w:rFonts w:ascii="Times New Roman"/>
          <w:b w:val="false"/>
          <w:i w:val="false"/>
          <w:color w:val="000000"/>
          <w:sz w:val="28"/>
        </w:rPr>
        <w:t>
      Из общего объема капитальных вложений 199,8 млрд тенге или 10 % предусмотрено на производственное строительство, 1699,0 млрд тенге или 90 % на непроизводственное строительство.</w:t>
      </w:r>
    </w:p>
    <w:bookmarkEnd w:id="272"/>
    <w:bookmarkStart w:name="z279" w:id="273"/>
    <w:p>
      <w:pPr>
        <w:spacing w:after="0"/>
        <w:ind w:left="0"/>
        <w:jc w:val="both"/>
      </w:pPr>
      <w:r>
        <w:rPr>
          <w:rFonts w:ascii="Times New Roman"/>
          <w:b w:val="false"/>
          <w:i w:val="false"/>
          <w:color w:val="000000"/>
          <w:sz w:val="28"/>
        </w:rPr>
        <w:t>
      Основную часть затрат непроизводственного строительства составят затраты на жилищное строительство, доля которых в общем объеме этих капитальных вложений составит 47 %, доля капитальных вложений на строительство объектов культурно-бытового обслуживания - 36,8 %.</w:t>
      </w:r>
    </w:p>
    <w:bookmarkEnd w:id="273"/>
    <w:bookmarkStart w:name="z280" w:id="274"/>
    <w:p>
      <w:pPr>
        <w:spacing w:after="0"/>
        <w:ind w:left="0"/>
        <w:jc w:val="left"/>
      </w:pPr>
      <w:r>
        <w:rPr>
          <w:rFonts w:ascii="Times New Roman"/>
          <w:b/>
          <w:i w:val="false"/>
          <w:color w:val="000000"/>
        </w:rPr>
        <w:t xml:space="preserve"> 12. Зонирование приаэродромной территории аэродромов</w:t>
      </w:r>
    </w:p>
    <w:bookmarkEnd w:id="274"/>
    <w:bookmarkStart w:name="z281" w:id="275"/>
    <w:p>
      <w:pPr>
        <w:spacing w:after="0"/>
        <w:ind w:left="0"/>
        <w:jc w:val="both"/>
      </w:pPr>
      <w:r>
        <w:rPr>
          <w:rFonts w:ascii="Times New Roman"/>
          <w:b w:val="false"/>
          <w:i w:val="false"/>
          <w:color w:val="000000"/>
          <w:sz w:val="28"/>
        </w:rPr>
        <w:t xml:space="preserve">
      Зонирование приаэродромной территории аэродромов выполнено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bookmarkEnd w:id="275"/>
    <w:bookmarkStart w:name="z282" w:id="276"/>
    <w:p>
      <w:pPr>
        <w:spacing w:after="0"/>
        <w:ind w:left="0"/>
        <w:jc w:val="both"/>
      </w:pPr>
      <w:r>
        <w:rPr>
          <w:rFonts w:ascii="Times New Roman"/>
          <w:b w:val="false"/>
          <w:i w:val="false"/>
          <w:color w:val="000000"/>
          <w:sz w:val="28"/>
        </w:rPr>
        <w:t>
      К деятельности, которая может представлять угрозу безопасности полетов, относятся строительство объектов, установка линий электропередачи и размещение других сооружений, которые являются препятствиями на приаэродромной территории и местности в пределах воздушных трасс; работы, вследствие которых в воздушном пространстве производятся радиоволновое, видимое, акустическое и иные виды излучения; размещение объектов, создающих условия для массового скопления птиц или ухудшающих полетную видимость, а также любая другая деятельность, не связанная непосредственно с использованием воздушного пространства, но влияющая на безопасность полетов, оборудования воздушных судов и находящихся на них людей.</w:t>
      </w:r>
    </w:p>
    <w:bookmarkEnd w:id="276"/>
    <w:bookmarkStart w:name="z283" w:id="277"/>
    <w:p>
      <w:pPr>
        <w:spacing w:after="0"/>
        <w:ind w:left="0"/>
        <w:jc w:val="both"/>
      </w:pPr>
      <w:r>
        <w:rPr>
          <w:rFonts w:ascii="Times New Roman"/>
          <w:b w:val="false"/>
          <w:i w:val="false"/>
          <w:color w:val="000000"/>
          <w:sz w:val="28"/>
        </w:rPr>
        <w:t>
      Такая деятельность может осуществляться только с разрешения, выдаваемого в соответствии с Правилами выдачи разрешений на осуществление деятельности, которая может представлять угрозу безопасности полетов воздушных судов.</w:t>
      </w:r>
    </w:p>
    <w:bookmarkEnd w:id="277"/>
    <w:bookmarkStart w:name="z284" w:id="278"/>
    <w:p>
      <w:pPr>
        <w:spacing w:after="0"/>
        <w:ind w:left="0"/>
        <w:jc w:val="both"/>
      </w:pPr>
      <w:r>
        <w:rPr>
          <w:rFonts w:ascii="Times New Roman"/>
          <w:b w:val="false"/>
          <w:i w:val="false"/>
          <w:color w:val="000000"/>
          <w:sz w:val="28"/>
        </w:rPr>
        <w:t>
       Получение разрешения требуется для строительства, установки, размещения, расширения, реконструкции или технического перевооружения:</w:t>
      </w:r>
    </w:p>
    <w:bookmarkEnd w:id="278"/>
    <w:bookmarkStart w:name="z285" w:id="279"/>
    <w:p>
      <w:pPr>
        <w:spacing w:after="0"/>
        <w:ind w:left="0"/>
        <w:jc w:val="both"/>
      </w:pPr>
      <w:r>
        <w:rPr>
          <w:rFonts w:ascii="Times New Roman"/>
          <w:b w:val="false"/>
          <w:i w:val="false"/>
          <w:color w:val="000000"/>
          <w:sz w:val="28"/>
        </w:rPr>
        <w:t xml:space="preserve">
      1) всех объектов в районе аэродрома, высота и месторасположение которых определены с учетом обеспечения безопасности полетов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осуществление деятельности, которая может представлять угрозу безопасности полетов воздушных судов, утвержденных постановлением Правительства Республики Казахстан от 12 мая 2011 года № 504;</w:t>
      </w:r>
    </w:p>
    <w:bookmarkEnd w:id="279"/>
    <w:bookmarkStart w:name="z286" w:id="280"/>
    <w:p>
      <w:pPr>
        <w:spacing w:after="0"/>
        <w:ind w:left="0"/>
        <w:jc w:val="both"/>
      </w:pPr>
      <w:r>
        <w:rPr>
          <w:rFonts w:ascii="Times New Roman"/>
          <w:b w:val="false"/>
          <w:i w:val="false"/>
          <w:color w:val="000000"/>
          <w:sz w:val="28"/>
        </w:rPr>
        <w:t>
      2) линий связи, электропередачи, а также других объектов радиоволнового и видимого электромагнитных излучений, которые могут создавать помехи для нормальной работы авиационных радиотехнических средств, светосигнального оборудования, служить причиной ослепления пилотов;</w:t>
      </w:r>
    </w:p>
    <w:bookmarkEnd w:id="280"/>
    <w:bookmarkStart w:name="z287" w:id="281"/>
    <w:p>
      <w:pPr>
        <w:spacing w:after="0"/>
        <w:ind w:left="0"/>
        <w:jc w:val="both"/>
      </w:pPr>
      <w:r>
        <w:rPr>
          <w:rFonts w:ascii="Times New Roman"/>
          <w:b w:val="false"/>
          <w:i w:val="false"/>
          <w:color w:val="000000"/>
          <w:sz w:val="28"/>
        </w:rPr>
        <w:t>
      3) взрывоопасных объектов;</w:t>
      </w:r>
    </w:p>
    <w:bookmarkEnd w:id="281"/>
    <w:bookmarkStart w:name="z288" w:id="282"/>
    <w:p>
      <w:pPr>
        <w:spacing w:after="0"/>
        <w:ind w:left="0"/>
        <w:jc w:val="both"/>
      </w:pPr>
      <w:r>
        <w:rPr>
          <w:rFonts w:ascii="Times New Roman"/>
          <w:b w:val="false"/>
          <w:i w:val="false"/>
          <w:color w:val="000000"/>
          <w:sz w:val="28"/>
        </w:rPr>
        <w:t>
      4) факельных устройств для аварийного сжигания сбрасываемых газов.</w:t>
      </w:r>
    </w:p>
    <w:bookmarkEnd w:id="282"/>
    <w:bookmarkStart w:name="z289" w:id="283"/>
    <w:p>
      <w:pPr>
        <w:spacing w:after="0"/>
        <w:ind w:left="0"/>
        <w:jc w:val="both"/>
      </w:pPr>
      <w:r>
        <w:rPr>
          <w:rFonts w:ascii="Times New Roman"/>
          <w:b w:val="false"/>
          <w:i w:val="false"/>
          <w:color w:val="000000"/>
          <w:sz w:val="28"/>
        </w:rPr>
        <w:t>
      При определении высоты факельных устройств учитывается максимально возможная высота выброса пламени.</w:t>
      </w:r>
    </w:p>
    <w:bookmarkEnd w:id="283"/>
    <w:bookmarkStart w:name="z290" w:id="284"/>
    <w:p>
      <w:pPr>
        <w:spacing w:after="0"/>
        <w:ind w:left="0"/>
        <w:jc w:val="both"/>
      </w:pPr>
      <w:r>
        <w:rPr>
          <w:rFonts w:ascii="Times New Roman"/>
          <w:b w:val="false"/>
          <w:i w:val="false"/>
          <w:color w:val="000000"/>
          <w:sz w:val="28"/>
        </w:rPr>
        <w:t>
      5) промышленных, иных предприятий и сооружений, деятельность которых может привести к ухудшению видимости в районах аэродрома (вертодрома);</w:t>
      </w:r>
    </w:p>
    <w:bookmarkEnd w:id="284"/>
    <w:bookmarkStart w:name="z291" w:id="285"/>
    <w:p>
      <w:pPr>
        <w:spacing w:after="0"/>
        <w:ind w:left="0"/>
        <w:jc w:val="both"/>
      </w:pPr>
      <w:r>
        <w:rPr>
          <w:rFonts w:ascii="Times New Roman"/>
          <w:b w:val="false"/>
          <w:i w:val="false"/>
          <w:color w:val="000000"/>
          <w:sz w:val="28"/>
        </w:rPr>
        <w:t>
      6) звероводческих ферм, скотобоен и других объектов, осуществляющих сельскохозяйственную деятельность в радиусе тринадцати километров от контрольной точки аэродрома. Такая деятельность возможна только, если она не приводит к массовому скоплению птиц и угрозе безопасности полетов в соответствии с критериями, определяемыми правилами выдачи разрешений на осуществление деятельности, которая может представлять угрозу безопасности полетов воздушных судов.</w:t>
      </w:r>
    </w:p>
    <w:bookmarkEnd w:id="285"/>
    <w:bookmarkStart w:name="z292" w:id="286"/>
    <w:p>
      <w:pPr>
        <w:spacing w:after="0"/>
        <w:ind w:left="0"/>
        <w:jc w:val="both"/>
      </w:pPr>
      <w:r>
        <w:rPr>
          <w:rFonts w:ascii="Times New Roman"/>
          <w:b w:val="false"/>
          <w:i w:val="false"/>
          <w:color w:val="000000"/>
          <w:sz w:val="28"/>
        </w:rPr>
        <w:t>
      3. Строительство, установка, размещение, расширение, реконструкция или техническое перевооружение объектов, указанных в пункте 2 настоящего раздела, осуществляются в соответствии с разрешениями, выдаваемыми уполномоченной организацией в сфере гражданской авиации или уполномоченным органом в сфере государственной авиации.</w:t>
      </w:r>
    </w:p>
    <w:bookmarkEnd w:id="286"/>
    <w:bookmarkStart w:name="z293" w:id="287"/>
    <w:p>
      <w:pPr>
        <w:spacing w:after="0"/>
        <w:ind w:left="0"/>
        <w:jc w:val="both"/>
      </w:pPr>
      <w:r>
        <w:rPr>
          <w:rFonts w:ascii="Times New Roman"/>
          <w:b w:val="false"/>
          <w:i w:val="false"/>
          <w:color w:val="000000"/>
          <w:sz w:val="28"/>
        </w:rPr>
        <w:t>
      Запрещается размещать на расстоянии ближе тринадцати километров от контрольной точки аэродрома места выброса отходов, приводящих к массовому скоплению птиц и угрозе безопасности полетов.</w:t>
      </w:r>
    </w:p>
    <w:bookmarkEnd w:id="287"/>
    <w:bookmarkStart w:name="z294" w:id="288"/>
    <w:p>
      <w:pPr>
        <w:spacing w:after="0"/>
        <w:ind w:left="0"/>
        <w:jc w:val="both"/>
      </w:pPr>
      <w:r>
        <w:rPr>
          <w:rFonts w:ascii="Times New Roman"/>
          <w:b w:val="false"/>
          <w:i w:val="false"/>
          <w:color w:val="000000"/>
          <w:sz w:val="28"/>
        </w:rPr>
        <w:t xml:space="preserve">
      Расстояние от КТА до застроенной части города составляет около 12,5 км. </w:t>
      </w:r>
    </w:p>
    <w:bookmarkEnd w:id="288"/>
    <w:bookmarkStart w:name="z295" w:id="289"/>
    <w:p>
      <w:pPr>
        <w:spacing w:after="0"/>
        <w:ind w:left="0"/>
        <w:jc w:val="both"/>
      </w:pPr>
      <w:r>
        <w:rPr>
          <w:rFonts w:ascii="Times New Roman"/>
          <w:b w:val="false"/>
          <w:i w:val="false"/>
          <w:color w:val="000000"/>
          <w:sz w:val="28"/>
        </w:rPr>
        <w:t>
      В радиусе 13 км от КТА расположены территории лесного фонда и небольшая территория индивидуальной жилой застройки (схема прилагается). Однако данные объекты расположены вне зоны взлета и посадки воздушных судов.</w:t>
      </w:r>
    </w:p>
    <w:bookmarkEnd w:id="289"/>
    <w:bookmarkStart w:name="z296"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391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91"/>
    <w:p>
      <w:pPr>
        <w:spacing w:after="0"/>
        <w:ind w:left="0"/>
        <w:jc w:val="both"/>
      </w:pPr>
      <w:r>
        <w:rPr>
          <w:rFonts w:ascii="Times New Roman"/>
          <w:b w:val="false"/>
          <w:i w:val="false"/>
          <w:color w:val="000000"/>
          <w:sz w:val="28"/>
        </w:rPr>
        <w:t>
      Рисунок 12.1 Схема расположения аэропорта города Туркестана</w:t>
      </w:r>
    </w:p>
    <w:bookmarkEnd w:id="291"/>
    <w:bookmarkStart w:name="z298" w:id="292"/>
    <w:p>
      <w:pPr>
        <w:spacing w:after="0"/>
        <w:ind w:left="0"/>
        <w:jc w:val="left"/>
      </w:pPr>
      <w:r>
        <w:rPr>
          <w:rFonts w:ascii="Times New Roman"/>
          <w:b/>
          <w:i w:val="false"/>
          <w:color w:val="000000"/>
        </w:rPr>
        <w:t xml:space="preserve"> 13. Инженерно-технические мероприятия гражданской обороны.</w:t>
      </w:r>
    </w:p>
    <w:bookmarkEnd w:id="292"/>
    <w:bookmarkStart w:name="z299" w:id="293"/>
    <w:p>
      <w:pPr>
        <w:spacing w:after="0"/>
        <w:ind w:left="0"/>
        <w:jc w:val="both"/>
      </w:pPr>
      <w:r>
        <w:rPr>
          <w:rFonts w:ascii="Times New Roman"/>
          <w:b w:val="false"/>
          <w:i w:val="false"/>
          <w:color w:val="000000"/>
          <w:sz w:val="28"/>
        </w:rPr>
        <w:t>
      Мероприятия по предупреждению чрезвычайных ситуаций.</w:t>
      </w:r>
    </w:p>
    <w:bookmarkEnd w:id="293"/>
    <w:bookmarkStart w:name="z300" w:id="29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гражданской защите" (далее-Закон) и Инструкцией по содержанию и объемам инженерно-технических мероприятий гражданской обороны, утвержденной приказом Министра внутренних дел Республики Казахстан от 24 октября 2014 года № 732, на территории Республики Казахстан осуществляется отнесение городов к группам, а организаций к категориям по гражданской обороне (далее - ГО).</w:t>
      </w:r>
    </w:p>
    <w:bookmarkEnd w:id="294"/>
    <w:bookmarkStart w:name="z301" w:id="295"/>
    <w:p>
      <w:pPr>
        <w:spacing w:after="0"/>
        <w:ind w:left="0"/>
        <w:jc w:val="both"/>
      </w:pPr>
      <w:r>
        <w:rPr>
          <w:rFonts w:ascii="Times New Roman"/>
          <w:b w:val="false"/>
          <w:i w:val="false"/>
          <w:color w:val="000000"/>
          <w:sz w:val="28"/>
        </w:rPr>
        <w:t>
      В соответствии с распоряжением акима Туркестанской области от 3 июля 2024 года № 1-37-р-о/д утвержден перечень городов, отнесенных к определенным группам организаций по категориям гражданской обороны. Указанный документ устанавливает классификацию городов области с учетом требований гражданской обороны и распределяет их по соответствующим категориям ГО. На основании вышеуказанного нормативного документа город Туркестан отнесен к третьей группе по гражданской обороне, что определяется следующими критериями:</w:t>
      </w:r>
    </w:p>
    <w:bookmarkEnd w:id="295"/>
    <w:bookmarkStart w:name="z302" w:id="296"/>
    <w:p>
      <w:pPr>
        <w:spacing w:after="0"/>
        <w:ind w:left="0"/>
        <w:jc w:val="both"/>
      </w:pPr>
      <w:r>
        <w:rPr>
          <w:rFonts w:ascii="Times New Roman"/>
          <w:b w:val="false"/>
          <w:i w:val="false"/>
          <w:color w:val="000000"/>
          <w:sz w:val="28"/>
        </w:rPr>
        <w:t>
      численность населения составляет от 250 000 до 500 000 человек;</w:t>
      </w:r>
    </w:p>
    <w:bookmarkEnd w:id="296"/>
    <w:bookmarkStart w:name="z303" w:id="297"/>
    <w:p>
      <w:pPr>
        <w:spacing w:after="0"/>
        <w:ind w:left="0"/>
        <w:jc w:val="both"/>
      </w:pPr>
      <w:r>
        <w:rPr>
          <w:rFonts w:ascii="Times New Roman"/>
          <w:b w:val="false"/>
          <w:i w:val="false"/>
          <w:color w:val="000000"/>
          <w:sz w:val="28"/>
        </w:rPr>
        <w:t>
      на территории города имеются организации, отнесенные к особо важной или категорированной категории;</w:t>
      </w:r>
    </w:p>
    <w:bookmarkEnd w:id="297"/>
    <w:bookmarkStart w:name="z304" w:id="298"/>
    <w:p>
      <w:pPr>
        <w:spacing w:after="0"/>
        <w:ind w:left="0"/>
        <w:jc w:val="both"/>
      </w:pPr>
      <w:r>
        <w:rPr>
          <w:rFonts w:ascii="Times New Roman"/>
          <w:b w:val="false"/>
          <w:i w:val="false"/>
          <w:color w:val="000000"/>
          <w:sz w:val="28"/>
        </w:rPr>
        <w:t xml:space="preserve">
      менее 30 % территории или населения города попадают в зону возможной чрезвычайной ситуации глобального или регионального масштаба. </w:t>
      </w:r>
    </w:p>
    <w:bookmarkEnd w:id="298"/>
    <w:bookmarkStart w:name="z305" w:id="299"/>
    <w:p>
      <w:pPr>
        <w:spacing w:after="0"/>
        <w:ind w:left="0"/>
        <w:jc w:val="both"/>
      </w:pPr>
      <w:r>
        <w:rPr>
          <w:rFonts w:ascii="Times New Roman"/>
          <w:b w:val="false"/>
          <w:i w:val="false"/>
          <w:color w:val="000000"/>
          <w:sz w:val="28"/>
        </w:rPr>
        <w:t>
      Организации на территории города Туркестана отнесены к категориям ГО в зависимости от степени их значимости и потенциальных последствий при возникновении чрезвычайной ситуации: (объекты стратегические, жизнеобеспечения, здравоохранения, организации связи, энергетики). Перечень таких организаций формируется местными исполнительными органами на основании статьи 20 Закона.</w:t>
      </w:r>
    </w:p>
    <w:bookmarkEnd w:id="299"/>
    <w:bookmarkStart w:name="z306" w:id="300"/>
    <w:p>
      <w:pPr>
        <w:spacing w:after="0"/>
        <w:ind w:left="0"/>
        <w:jc w:val="both"/>
      </w:pPr>
      <w:r>
        <w:rPr>
          <w:rFonts w:ascii="Times New Roman"/>
          <w:b w:val="false"/>
          <w:i w:val="false"/>
          <w:color w:val="000000"/>
          <w:sz w:val="28"/>
        </w:rPr>
        <w:t>
      Зоны разрушений при воздушной ударной волне</w:t>
      </w:r>
    </w:p>
    <w:bookmarkEnd w:id="300"/>
    <w:bookmarkStart w:name="z307" w:id="301"/>
    <w:p>
      <w:pPr>
        <w:spacing w:after="0"/>
        <w:ind w:left="0"/>
        <w:jc w:val="both"/>
      </w:pPr>
      <w:r>
        <w:rPr>
          <w:rFonts w:ascii="Times New Roman"/>
          <w:b w:val="false"/>
          <w:i w:val="false"/>
          <w:color w:val="000000"/>
          <w:sz w:val="28"/>
        </w:rPr>
        <w:t>
      Согласно пункту 6 приказа МВД РК № 732:</w:t>
      </w:r>
    </w:p>
    <w:bookmarkEnd w:id="301"/>
    <w:bookmarkStart w:name="z308" w:id="302"/>
    <w:p>
      <w:pPr>
        <w:spacing w:after="0"/>
        <w:ind w:left="0"/>
        <w:jc w:val="both"/>
      </w:pPr>
      <w:r>
        <w:rPr>
          <w:rFonts w:ascii="Times New Roman"/>
          <w:b w:val="false"/>
          <w:i w:val="false"/>
          <w:color w:val="000000"/>
          <w:sz w:val="28"/>
        </w:rPr>
        <w:t>
      10 кПа (0,1 кгс/см²) - зона возможных разрушений;</w:t>
      </w:r>
    </w:p>
    <w:bookmarkEnd w:id="302"/>
    <w:bookmarkStart w:name="z309" w:id="303"/>
    <w:p>
      <w:pPr>
        <w:spacing w:after="0"/>
        <w:ind w:left="0"/>
        <w:jc w:val="both"/>
      </w:pPr>
      <w:r>
        <w:rPr>
          <w:rFonts w:ascii="Times New Roman"/>
          <w:b w:val="false"/>
          <w:i w:val="false"/>
          <w:color w:val="000000"/>
          <w:sz w:val="28"/>
        </w:rPr>
        <w:t>
      от 30 кПа (0,3 кгс/см²) - зона возможных сильных разрушений;</w:t>
      </w:r>
    </w:p>
    <w:bookmarkEnd w:id="303"/>
    <w:bookmarkStart w:name="z310" w:id="304"/>
    <w:p>
      <w:pPr>
        <w:spacing w:after="0"/>
        <w:ind w:left="0"/>
        <w:jc w:val="both"/>
      </w:pPr>
      <w:r>
        <w:rPr>
          <w:rFonts w:ascii="Times New Roman"/>
          <w:b w:val="false"/>
          <w:i w:val="false"/>
          <w:color w:val="000000"/>
          <w:sz w:val="28"/>
        </w:rPr>
        <w:t>
      промежуточная территория - зона возможных слабых разрушений;</w:t>
      </w:r>
    </w:p>
    <w:bookmarkEnd w:id="304"/>
    <w:bookmarkStart w:name="z311" w:id="305"/>
    <w:p>
      <w:pPr>
        <w:spacing w:after="0"/>
        <w:ind w:left="0"/>
        <w:jc w:val="both"/>
      </w:pPr>
      <w:r>
        <w:rPr>
          <w:rFonts w:ascii="Times New Roman"/>
          <w:b w:val="false"/>
          <w:i w:val="false"/>
          <w:color w:val="000000"/>
          <w:sz w:val="28"/>
        </w:rPr>
        <w:t>
      Удаление границ зон разрушений:</w:t>
      </w:r>
    </w:p>
    <w:bookmarkEnd w:id="305"/>
    <w:bookmarkStart w:name="z312" w:id="306"/>
    <w:p>
      <w:pPr>
        <w:spacing w:after="0"/>
        <w:ind w:left="0"/>
        <w:jc w:val="both"/>
      </w:pPr>
      <w:r>
        <w:rPr>
          <w:rFonts w:ascii="Times New Roman"/>
          <w:b w:val="false"/>
          <w:i w:val="false"/>
          <w:color w:val="000000"/>
          <w:sz w:val="28"/>
        </w:rPr>
        <w:t>
      сильные разрушения - в пределах проектной застройки города;</w:t>
      </w:r>
    </w:p>
    <w:bookmarkEnd w:id="306"/>
    <w:bookmarkStart w:name="z313" w:id="307"/>
    <w:p>
      <w:pPr>
        <w:spacing w:after="0"/>
        <w:ind w:left="0"/>
        <w:jc w:val="both"/>
      </w:pPr>
      <w:r>
        <w:rPr>
          <w:rFonts w:ascii="Times New Roman"/>
          <w:b w:val="false"/>
          <w:i w:val="false"/>
          <w:color w:val="000000"/>
          <w:sz w:val="28"/>
        </w:rPr>
        <w:t>
      слабые разрушения - до 7 км от границ проектной застройки;</w:t>
      </w:r>
    </w:p>
    <w:bookmarkEnd w:id="307"/>
    <w:bookmarkStart w:name="z314" w:id="308"/>
    <w:p>
      <w:pPr>
        <w:spacing w:after="0"/>
        <w:ind w:left="0"/>
        <w:jc w:val="both"/>
      </w:pPr>
      <w:r>
        <w:rPr>
          <w:rFonts w:ascii="Times New Roman"/>
          <w:b w:val="false"/>
          <w:i w:val="false"/>
          <w:color w:val="000000"/>
          <w:sz w:val="28"/>
        </w:rPr>
        <w:t>
      проектная застройка определяется утвержденным Генеральным планом города.</w:t>
      </w:r>
    </w:p>
    <w:bookmarkEnd w:id="308"/>
    <w:bookmarkStart w:name="z315" w:id="309"/>
    <w:p>
      <w:pPr>
        <w:spacing w:after="0"/>
        <w:ind w:left="0"/>
        <w:jc w:val="both"/>
      </w:pPr>
      <w:r>
        <w:rPr>
          <w:rFonts w:ascii="Times New Roman"/>
          <w:b w:val="false"/>
          <w:i w:val="false"/>
          <w:color w:val="000000"/>
          <w:sz w:val="28"/>
        </w:rPr>
        <w:t>
      Зона возможных разрушений в совокупности с прилегающей территорией шириной 120 км составляет зону возможного сильного радиоактивного заражения, что учитывается при разработке планов ГО и мероприятий по эвакуации и защите населения.</w:t>
      </w:r>
    </w:p>
    <w:bookmarkEnd w:id="309"/>
    <w:bookmarkStart w:name="z316" w:id="310"/>
    <w:p>
      <w:pPr>
        <w:spacing w:after="0"/>
        <w:ind w:left="0"/>
        <w:jc w:val="both"/>
      </w:pPr>
      <w:r>
        <w:rPr>
          <w:rFonts w:ascii="Times New Roman"/>
          <w:b w:val="false"/>
          <w:i w:val="false"/>
          <w:color w:val="000000"/>
          <w:sz w:val="28"/>
        </w:rPr>
        <w:t>
      Система оповещения</w:t>
      </w:r>
    </w:p>
    <w:bookmarkEnd w:id="310"/>
    <w:bookmarkStart w:name="z317" w:id="311"/>
    <w:p>
      <w:pPr>
        <w:spacing w:after="0"/>
        <w:ind w:left="0"/>
        <w:jc w:val="both"/>
      </w:pPr>
      <w:r>
        <w:rPr>
          <w:rFonts w:ascii="Times New Roman"/>
          <w:b w:val="false"/>
          <w:i w:val="false"/>
          <w:color w:val="000000"/>
          <w:sz w:val="28"/>
        </w:rPr>
        <w:t>
      Эффективность оповещения обеспечивается комплексом мероприятий, включающих запуск электросирен и сиренно-речевых устройств (СРУ), перехват телерадиовещания, рассылку SMS-сообщений, использование мобильных приложений для смартфонов, а также размещение информации на интернет-сайтах.</w:t>
      </w:r>
    </w:p>
    <w:bookmarkEnd w:id="311"/>
    <w:bookmarkStart w:name="z318" w:id="312"/>
    <w:p>
      <w:pPr>
        <w:spacing w:after="0"/>
        <w:ind w:left="0"/>
        <w:jc w:val="both"/>
      </w:pPr>
      <w:r>
        <w:rPr>
          <w:rFonts w:ascii="Times New Roman"/>
          <w:b w:val="false"/>
          <w:i w:val="false"/>
          <w:color w:val="000000"/>
          <w:sz w:val="28"/>
        </w:rPr>
        <w:t>
      При угрозе возникновения или возникновении чрезвычайной ситуации для оповещения населения используется сигнал оповещения "Внимание всем!". По сигналу "Внимание всем!" население использует доступные средства приема информации для получения и выполнения инструкций о действиях в сложившейся обстановке.</w:t>
      </w:r>
    </w:p>
    <w:bookmarkEnd w:id="312"/>
    <w:bookmarkStart w:name="z319" w:id="313"/>
    <w:p>
      <w:pPr>
        <w:spacing w:after="0"/>
        <w:ind w:left="0"/>
        <w:jc w:val="both"/>
      </w:pPr>
      <w:r>
        <w:rPr>
          <w:rFonts w:ascii="Times New Roman"/>
          <w:b w:val="false"/>
          <w:i w:val="false"/>
          <w:color w:val="000000"/>
          <w:sz w:val="28"/>
        </w:rPr>
        <w:t xml:space="preserve">
      Вместе с этим передача информационных видео- и аудио сообщений посредством прерывания трансляции телерадиовещания производится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масс-медиа".</w:t>
      </w:r>
    </w:p>
    <w:bookmarkEnd w:id="313"/>
    <w:bookmarkStart w:name="z320" w:id="314"/>
    <w:p>
      <w:pPr>
        <w:spacing w:after="0"/>
        <w:ind w:left="0"/>
        <w:jc w:val="both"/>
      </w:pPr>
      <w:r>
        <w:rPr>
          <w:rFonts w:ascii="Times New Roman"/>
          <w:b w:val="false"/>
          <w:i w:val="false"/>
          <w:color w:val="000000"/>
          <w:sz w:val="28"/>
        </w:rPr>
        <w:t>
      В населенных пунктах, где отсутствуют технические средства оповещения и возможность использования каких-либо механизмов оповещения населения, будут привлекаться мобильные комплексы ДЧС, оперативно-служебный транспорт, оснащенный сигнально-громкоговорящими устройствами, а также подворовой обход.</w:t>
      </w:r>
    </w:p>
    <w:bookmarkEnd w:id="314"/>
    <w:bookmarkStart w:name="z321" w:id="315"/>
    <w:p>
      <w:pPr>
        <w:spacing w:after="0"/>
        <w:ind w:left="0"/>
        <w:jc w:val="both"/>
      </w:pPr>
      <w:r>
        <w:rPr>
          <w:rFonts w:ascii="Times New Roman"/>
          <w:b w:val="false"/>
          <w:i w:val="false"/>
          <w:color w:val="000000"/>
          <w:sz w:val="28"/>
        </w:rPr>
        <w:t>
      С имамами мечетей города и сельских округов отработан вопрос по оповещению населения региона через громкоговорящие устройства об угрозе либо возникновении чрезвычайных ситуаций. Во всех мечетях заложены пакеты оповещения с текстами на государственном и русском языках.</w:t>
      </w:r>
    </w:p>
    <w:bookmarkEnd w:id="315"/>
    <w:bookmarkStart w:name="z322" w:id="316"/>
    <w:p>
      <w:pPr>
        <w:spacing w:after="0"/>
        <w:ind w:left="0"/>
        <w:jc w:val="both"/>
      </w:pPr>
      <w:r>
        <w:rPr>
          <w:rFonts w:ascii="Times New Roman"/>
          <w:b w:val="false"/>
          <w:i w:val="false"/>
          <w:color w:val="000000"/>
          <w:sz w:val="28"/>
        </w:rPr>
        <w:t>
      Система оповещения гражданской защиты - совокупность программных и технических средств, обеспечивающих информирование населения и государственных органов об угрозе жизни и здоровью людей, порядке действий в сложившейся обстановке.</w:t>
      </w:r>
    </w:p>
    <w:bookmarkEnd w:id="316"/>
    <w:bookmarkStart w:name="z323" w:id="317"/>
    <w:p>
      <w:pPr>
        <w:spacing w:after="0"/>
        <w:ind w:left="0"/>
        <w:jc w:val="both"/>
      </w:pPr>
      <w:r>
        <w:rPr>
          <w:rFonts w:ascii="Times New Roman"/>
          <w:b w:val="false"/>
          <w:i w:val="false"/>
          <w:color w:val="000000"/>
          <w:sz w:val="28"/>
        </w:rPr>
        <w:t>
      Согласно утвержденным нормам положенности оконечными средствами оповещения (</w:t>
      </w:r>
      <w:r>
        <w:rPr>
          <w:rFonts w:ascii="Times New Roman"/>
          <w:b w:val="false"/>
          <w:i w:val="false"/>
          <w:color w:val="000000"/>
          <w:sz w:val="28"/>
        </w:rPr>
        <w:t>приказ</w:t>
      </w:r>
      <w:r>
        <w:rPr>
          <w:rFonts w:ascii="Times New Roman"/>
          <w:b w:val="false"/>
          <w:i w:val="false"/>
          <w:color w:val="000000"/>
          <w:sz w:val="28"/>
        </w:rPr>
        <w:t xml:space="preserve"> Министра чрезвычайным ситуациям Республики Казахстан от 10 апреля 2025 года № 130 "Об утверждении натуральных норм положенности технических средств системы оповещения гражданской защиты") для полного охвата территории Туркестанской области необходима 1041 единица сиренно-речевых устройств. В настоящее время в регионе функционируют 359 СРУ и 60 электросирен (С-40). </w:t>
      </w:r>
    </w:p>
    <w:bookmarkEnd w:id="317"/>
    <w:bookmarkStart w:name="z324" w:id="318"/>
    <w:p>
      <w:pPr>
        <w:spacing w:after="0"/>
        <w:ind w:left="0"/>
        <w:jc w:val="both"/>
      </w:pPr>
      <w:r>
        <w:rPr>
          <w:rFonts w:ascii="Times New Roman"/>
          <w:b w:val="false"/>
          <w:i w:val="false"/>
          <w:color w:val="000000"/>
          <w:sz w:val="28"/>
        </w:rPr>
        <w:t>
      В городе Туркестане установлены 54 СРУ и 1 единица С-40, что обеспечивает охват населения на уровне 73 %. Для полного охвата требуется дополнительно установить 20 СРУ.</w:t>
      </w:r>
    </w:p>
    <w:bookmarkEnd w:id="318"/>
    <w:bookmarkStart w:name="z325" w:id="319"/>
    <w:p>
      <w:pPr>
        <w:spacing w:after="0"/>
        <w:ind w:left="0"/>
        <w:jc w:val="both"/>
      </w:pPr>
      <w:r>
        <w:rPr>
          <w:rFonts w:ascii="Times New Roman"/>
          <w:b w:val="false"/>
          <w:i w:val="false"/>
          <w:color w:val="000000"/>
          <w:sz w:val="28"/>
        </w:rPr>
        <w:t>
      Решения по предупреждению чрезвычайных ситуаций природного и техногенного характера</w:t>
      </w:r>
    </w:p>
    <w:bookmarkEnd w:id="319"/>
    <w:bookmarkStart w:name="z326" w:id="320"/>
    <w:p>
      <w:pPr>
        <w:spacing w:after="0"/>
        <w:ind w:left="0"/>
        <w:jc w:val="both"/>
      </w:pPr>
      <w:r>
        <w:rPr>
          <w:rFonts w:ascii="Times New Roman"/>
          <w:b w:val="false"/>
          <w:i w:val="false"/>
          <w:color w:val="000000"/>
          <w:sz w:val="28"/>
        </w:rPr>
        <w:t>
      Защита населения от поражающих факторов стихийных бедствий, аварий и катастроф достигается комплексным использованием различных технологий, видов, способов и средств защиты. Инженерная защита застраиваемой территории предусматривает образование единой комплексной территориальной системы, обеспечивающей эффективную защиту территории от негативного влияния природных и техногенных процессов. Мероприятия защиты направлены на оптимизацию среды проживания, предотвращение возможности техногенных аварий, связанных с эксплуатацией. Единые комплексные территориальные системы инженерной защиты проектируются для всей территории города независимо от инвестиционных вложений и ведомственной принадлежности защищаемых участков и объектов.</w:t>
      </w:r>
    </w:p>
    <w:bookmarkEnd w:id="320"/>
    <w:bookmarkStart w:name="z327" w:id="321"/>
    <w:p>
      <w:pPr>
        <w:spacing w:after="0"/>
        <w:ind w:left="0"/>
        <w:jc w:val="both"/>
      </w:pPr>
      <w:r>
        <w:rPr>
          <w:rFonts w:ascii="Times New Roman"/>
          <w:b w:val="false"/>
          <w:i w:val="false"/>
          <w:color w:val="000000"/>
          <w:sz w:val="28"/>
        </w:rPr>
        <w:t>
      Инженерная защита от возможных землетрясений сводится к осуществлению строительных работ, направленных на усиление несущей способности конструкций зданий и сооружений, замене не сейсмостойких элементов, применение дополнительных конструктивных решений, обеспечивающих повышение прочности сооружений.</w:t>
      </w:r>
    </w:p>
    <w:bookmarkEnd w:id="321"/>
    <w:bookmarkStart w:name="z328" w:id="322"/>
    <w:p>
      <w:pPr>
        <w:spacing w:after="0"/>
        <w:ind w:left="0"/>
        <w:jc w:val="both"/>
      </w:pPr>
      <w:r>
        <w:rPr>
          <w:rFonts w:ascii="Times New Roman"/>
          <w:b w:val="false"/>
          <w:i w:val="false"/>
          <w:color w:val="000000"/>
          <w:sz w:val="28"/>
        </w:rPr>
        <w:t>
      Повышение устойчивости зданий к воздействию сейсмических толчков не только снижает материальный ущерб, но также позволяет существенно сократить количество безвозвратных материальных потерь.</w:t>
      </w:r>
    </w:p>
    <w:bookmarkEnd w:id="322"/>
    <w:bookmarkStart w:name="z329" w:id="323"/>
    <w:p>
      <w:pPr>
        <w:spacing w:after="0"/>
        <w:ind w:left="0"/>
        <w:jc w:val="both"/>
      </w:pPr>
      <w:r>
        <w:rPr>
          <w:rFonts w:ascii="Times New Roman"/>
          <w:b w:val="false"/>
          <w:i w:val="false"/>
          <w:color w:val="000000"/>
          <w:sz w:val="28"/>
        </w:rPr>
        <w:t>
      Подтопление территории.</w:t>
      </w:r>
    </w:p>
    <w:bookmarkEnd w:id="323"/>
    <w:bookmarkStart w:name="z330" w:id="324"/>
    <w:p>
      <w:pPr>
        <w:spacing w:after="0"/>
        <w:ind w:left="0"/>
        <w:jc w:val="both"/>
      </w:pPr>
      <w:r>
        <w:rPr>
          <w:rFonts w:ascii="Times New Roman"/>
          <w:b w:val="false"/>
          <w:i w:val="false"/>
          <w:color w:val="000000"/>
          <w:sz w:val="28"/>
        </w:rPr>
        <w:t>
      Среди циклических опасных природных явлений наиболее характерны ливневые дожди, весенне-летние паводки. Наиболее катастрофическим из них является половодье.</w:t>
      </w:r>
    </w:p>
    <w:bookmarkEnd w:id="324"/>
    <w:bookmarkStart w:name="z331" w:id="325"/>
    <w:p>
      <w:pPr>
        <w:spacing w:after="0"/>
        <w:ind w:left="0"/>
        <w:jc w:val="both"/>
      </w:pPr>
      <w:r>
        <w:rPr>
          <w:rFonts w:ascii="Times New Roman"/>
          <w:b w:val="false"/>
          <w:i w:val="false"/>
          <w:color w:val="000000"/>
          <w:sz w:val="28"/>
        </w:rPr>
        <w:t xml:space="preserve">
      Необходимо предусмотреть ряд превентивных мероприятий по отводу притока талой дождевой воды в магистральные каналы Карашык, Шага, Шошкаколь. </w:t>
      </w:r>
    </w:p>
    <w:bookmarkEnd w:id="325"/>
    <w:bookmarkStart w:name="z332" w:id="326"/>
    <w:p>
      <w:pPr>
        <w:spacing w:after="0"/>
        <w:ind w:left="0"/>
        <w:jc w:val="both"/>
      </w:pPr>
      <w:r>
        <w:rPr>
          <w:rFonts w:ascii="Times New Roman"/>
          <w:b w:val="false"/>
          <w:i w:val="false"/>
          <w:color w:val="000000"/>
          <w:sz w:val="28"/>
        </w:rPr>
        <w:t>
      С учетом изменения границ территорий города необходимо предусмотреть инженерные мероприятия по укреплению тела дамбы канала Шага, Карашык на территории сектора Отырар, Бирлик, Яссы, Сауран города Туркестана, мониторинг ближайших водоохранных зон датчиками уровня воды и локальной системы оповещения (статья 42 Закона).</w:t>
      </w:r>
    </w:p>
    <w:bookmarkEnd w:id="326"/>
    <w:bookmarkStart w:name="z333" w:id="327"/>
    <w:p>
      <w:pPr>
        <w:spacing w:after="0"/>
        <w:ind w:left="0"/>
        <w:jc w:val="both"/>
      </w:pPr>
      <w:r>
        <w:rPr>
          <w:rFonts w:ascii="Times New Roman"/>
          <w:b w:val="false"/>
          <w:i w:val="false"/>
          <w:color w:val="000000"/>
          <w:sz w:val="28"/>
        </w:rPr>
        <w:t>
      В период весеннего половодья организуются постоянный мониторинг и обследование данных участков. Со службами гражданской защиты проводятся тактико-специальные учения на реагирование и ликвидацию последствий ЧС.</w:t>
      </w:r>
    </w:p>
    <w:bookmarkEnd w:id="327"/>
    <w:bookmarkStart w:name="z334" w:id="328"/>
    <w:p>
      <w:pPr>
        <w:spacing w:after="0"/>
        <w:ind w:left="0"/>
        <w:jc w:val="both"/>
      </w:pPr>
      <w:r>
        <w:rPr>
          <w:rFonts w:ascii="Times New Roman"/>
          <w:b w:val="false"/>
          <w:i w:val="false"/>
          <w:color w:val="000000"/>
          <w:sz w:val="28"/>
        </w:rPr>
        <w:t>
      На паводковый период приводятся в готовность силы и средства государственной подсистемы гражданской защиты города Туркестана.</w:t>
      </w:r>
    </w:p>
    <w:bookmarkEnd w:id="328"/>
    <w:bookmarkStart w:name="z335" w:id="329"/>
    <w:p>
      <w:pPr>
        <w:spacing w:after="0"/>
        <w:ind w:left="0"/>
        <w:jc w:val="both"/>
      </w:pPr>
      <w:r>
        <w:rPr>
          <w:rFonts w:ascii="Times New Roman"/>
          <w:b w:val="false"/>
          <w:i w:val="false"/>
          <w:color w:val="000000"/>
          <w:sz w:val="28"/>
        </w:rPr>
        <w:t xml:space="preserve">
      Эвакуация населения из зон затопления предусматривается, как правило, заблаговременно до наступления пика опасности затопления. </w:t>
      </w:r>
    </w:p>
    <w:bookmarkEnd w:id="329"/>
    <w:bookmarkStart w:name="z336" w:id="330"/>
    <w:p>
      <w:pPr>
        <w:spacing w:after="0"/>
        <w:ind w:left="0"/>
        <w:jc w:val="both"/>
      </w:pPr>
      <w:r>
        <w:rPr>
          <w:rFonts w:ascii="Times New Roman"/>
          <w:b w:val="false"/>
          <w:i w:val="false"/>
          <w:color w:val="000000"/>
          <w:sz w:val="28"/>
        </w:rPr>
        <w:t>
      Чрезвычайные ситуации техногенного характера</w:t>
      </w:r>
    </w:p>
    <w:bookmarkEnd w:id="330"/>
    <w:bookmarkStart w:name="z337" w:id="331"/>
    <w:p>
      <w:pPr>
        <w:spacing w:after="0"/>
        <w:ind w:left="0"/>
        <w:jc w:val="both"/>
      </w:pPr>
      <w:r>
        <w:rPr>
          <w:rFonts w:ascii="Times New Roman"/>
          <w:b w:val="false"/>
          <w:i w:val="false"/>
          <w:color w:val="000000"/>
          <w:sz w:val="28"/>
        </w:rPr>
        <w:t xml:space="preserve">
      Чрезвычайные ситуации техногенного характера могут возникнуть в случаях аварий, в результате которых полностью или частично выводятся из строя производства, а также аварии производственных зданий, сооружений, аппаратов, машин, оборудования, отражающиеся на работе предприятия в целом или отдельных его производств или технических единиц. </w:t>
      </w:r>
    </w:p>
    <w:bookmarkEnd w:id="331"/>
    <w:bookmarkStart w:name="z338" w:id="332"/>
    <w:p>
      <w:pPr>
        <w:spacing w:after="0"/>
        <w:ind w:left="0"/>
        <w:jc w:val="both"/>
      </w:pPr>
      <w:r>
        <w:rPr>
          <w:rFonts w:ascii="Times New Roman"/>
          <w:b w:val="false"/>
          <w:i w:val="false"/>
          <w:color w:val="000000"/>
          <w:sz w:val="28"/>
        </w:rPr>
        <w:t>
      В случае экстремальных ситуаций техногенного характера необходима эвакуация из опасной зоны населения и частично сотрудников предприятий, при таких ситуациях для защиты населения также важной задачей является локализация источника, для чего необходимо в сжатые сроки прекратить или приостановить работу объекта, который стал причиной создания экстремальной ситуации.</w:t>
      </w:r>
    </w:p>
    <w:bookmarkEnd w:id="332"/>
    <w:bookmarkStart w:name="z339" w:id="333"/>
    <w:p>
      <w:pPr>
        <w:spacing w:after="0"/>
        <w:ind w:left="0"/>
        <w:jc w:val="both"/>
      </w:pPr>
      <w:r>
        <w:rPr>
          <w:rFonts w:ascii="Times New Roman"/>
          <w:b w:val="false"/>
          <w:i w:val="false"/>
          <w:color w:val="000000"/>
          <w:sz w:val="28"/>
        </w:rPr>
        <w:t xml:space="preserve">
      На объектах, представляющих потенциальную угрозу техногенных катастроф, согласно Плану основных мероприятий, утвержденному акимом города (составляется ежегодно), согласно статье 46 Закона проводятся обучение в сфере гражданской защиты, подготовка и переподготовка руководящего состава и специалистов. Также проводятся учебные тревоги и противоаварийные тренировки по плану, утвержденному руководителем организации. </w:t>
      </w:r>
    </w:p>
    <w:bookmarkEnd w:id="333"/>
    <w:bookmarkStart w:name="z340" w:id="334"/>
    <w:p>
      <w:pPr>
        <w:spacing w:after="0"/>
        <w:ind w:left="0"/>
        <w:jc w:val="both"/>
      </w:pPr>
      <w:r>
        <w:rPr>
          <w:rFonts w:ascii="Times New Roman"/>
          <w:b w:val="false"/>
          <w:i w:val="false"/>
          <w:color w:val="000000"/>
          <w:sz w:val="28"/>
        </w:rPr>
        <w:t xml:space="preserve">
      Для обеспечения пожарной безопасности на территории города имеется три подразделения государственной противопожарной службы. </w:t>
      </w:r>
    </w:p>
    <w:bookmarkEnd w:id="334"/>
    <w:bookmarkStart w:name="z341" w:id="335"/>
    <w:p>
      <w:pPr>
        <w:spacing w:after="0"/>
        <w:ind w:left="0"/>
        <w:jc w:val="both"/>
      </w:pPr>
      <w:r>
        <w:rPr>
          <w:rFonts w:ascii="Times New Roman"/>
          <w:b w:val="false"/>
          <w:i w:val="false"/>
          <w:color w:val="000000"/>
          <w:sz w:val="28"/>
        </w:rPr>
        <w:t>
      Учитывая перспективное территориальное развитие города, существующих пожарных депо недостаточно. На территории города предусмотрены строительство двух пожарных депо, создание оперативно- спасательного отряда для реагирования тушения пожаров и других аварийно-спасательных работ.</w:t>
      </w:r>
    </w:p>
    <w:bookmarkEnd w:id="335"/>
    <w:bookmarkStart w:name="z342" w:id="336"/>
    <w:p>
      <w:pPr>
        <w:spacing w:after="0"/>
        <w:ind w:left="0"/>
        <w:jc w:val="both"/>
      </w:pPr>
      <w:r>
        <w:rPr>
          <w:rFonts w:ascii="Times New Roman"/>
          <w:b w:val="false"/>
          <w:i w:val="false"/>
          <w:color w:val="000000"/>
          <w:sz w:val="28"/>
        </w:rPr>
        <w:t>
      Решения на случай военного времени</w:t>
      </w:r>
    </w:p>
    <w:bookmarkEnd w:id="336"/>
    <w:bookmarkStart w:name="z343" w:id="337"/>
    <w:p>
      <w:pPr>
        <w:spacing w:after="0"/>
        <w:ind w:left="0"/>
        <w:jc w:val="both"/>
      </w:pPr>
      <w:r>
        <w:rPr>
          <w:rFonts w:ascii="Times New Roman"/>
          <w:b w:val="false"/>
          <w:i w:val="false"/>
          <w:color w:val="000000"/>
          <w:sz w:val="28"/>
        </w:rPr>
        <w:t>
      Одними из направлений эффективного уменьшения масштабов чрезвычайных ситуаций являются строительство и использование защитных сооружений различного назначения На территории города предлагается использовать около 1,0 тыс. объектов в качестве простейших укрытий, а именно пространство подземных подвалов, цокольные помещения, подземные паркинги жилых домов и строений, а также подземные переходы, что на сегодняшней день достаточно для временного укрытия населения в случаях возникновения чрезвычайных ситуации. В связи с приростом населения необходимо учитывать факт наличия простейших укрытий во вновь возводимых зданиях, предназначенных для массового прибытия и нахождения населения с соблюдением требований строительных норм и правил.</w:t>
      </w:r>
    </w:p>
    <w:bookmarkEnd w:id="337"/>
    <w:bookmarkStart w:name="z344" w:id="338"/>
    <w:p>
      <w:pPr>
        <w:spacing w:after="0"/>
        <w:ind w:left="0"/>
        <w:jc w:val="both"/>
      </w:pPr>
      <w:r>
        <w:rPr>
          <w:rFonts w:ascii="Times New Roman"/>
          <w:b w:val="false"/>
          <w:i w:val="false"/>
          <w:color w:val="000000"/>
          <w:sz w:val="28"/>
        </w:rPr>
        <w:t xml:space="preserve">
      В Генеральном плане заложено устройство около 767 простейших укрытий. </w:t>
      </w:r>
    </w:p>
    <w:bookmarkEnd w:id="338"/>
    <w:bookmarkStart w:name="z345" w:id="339"/>
    <w:p>
      <w:pPr>
        <w:spacing w:after="0"/>
        <w:ind w:left="0"/>
        <w:jc w:val="both"/>
      </w:pPr>
      <w:r>
        <w:rPr>
          <w:rFonts w:ascii="Times New Roman"/>
          <w:b w:val="false"/>
          <w:i w:val="false"/>
          <w:color w:val="000000"/>
          <w:sz w:val="28"/>
        </w:rPr>
        <w:t xml:space="preserve">
      Для увеличения фонда защитных сооружений необходимо рассмотреть вопрос о приобретении модульных защитных сооружений. </w:t>
      </w:r>
    </w:p>
    <w:bookmarkEnd w:id="339"/>
    <w:bookmarkStart w:name="z346" w:id="340"/>
    <w:p>
      <w:pPr>
        <w:spacing w:after="0"/>
        <w:ind w:left="0"/>
        <w:jc w:val="both"/>
      </w:pPr>
      <w:r>
        <w:rPr>
          <w:rFonts w:ascii="Times New Roman"/>
          <w:b w:val="false"/>
          <w:i w:val="false"/>
          <w:color w:val="000000"/>
          <w:sz w:val="28"/>
        </w:rPr>
        <w:t>
      В соответствие с пунктом 4 статьи 23 Закона для оперативного управления силами и средствами гражданской защиты создаются запасные (городские, загородные), вспомогательные и подвижные пункты управления.</w:t>
      </w:r>
    </w:p>
    <w:bookmarkEnd w:id="340"/>
    <w:bookmarkStart w:name="z347" w:id="341"/>
    <w:p>
      <w:pPr>
        <w:spacing w:after="0"/>
        <w:ind w:left="0"/>
        <w:jc w:val="both"/>
      </w:pPr>
      <w:r>
        <w:rPr>
          <w:rFonts w:ascii="Times New Roman"/>
          <w:b w:val="false"/>
          <w:i w:val="false"/>
          <w:color w:val="000000"/>
          <w:sz w:val="28"/>
        </w:rPr>
        <w:t>
      Предусматривается создание запасного и загородного пункта управления акима города.</w:t>
      </w:r>
    </w:p>
    <w:bookmarkEnd w:id="341"/>
    <w:bookmarkStart w:name="z348" w:id="342"/>
    <w:p>
      <w:pPr>
        <w:spacing w:after="0"/>
        <w:ind w:left="0"/>
        <w:jc w:val="both"/>
      </w:pPr>
      <w:r>
        <w:rPr>
          <w:rFonts w:ascii="Times New Roman"/>
          <w:b w:val="false"/>
          <w:i w:val="false"/>
          <w:color w:val="000000"/>
          <w:sz w:val="28"/>
        </w:rPr>
        <w:t>
      В целях эффективного реагирования на чрезвычайные ситуации природного и техногенного характера и на случай особого периода для города необходимо создание подвижного пункта управления, созданного на базе автомобиля высокой проходимости.</w:t>
      </w:r>
    </w:p>
    <w:bookmarkEnd w:id="342"/>
    <w:bookmarkStart w:name="z349" w:id="343"/>
    <w:p>
      <w:pPr>
        <w:spacing w:after="0"/>
        <w:ind w:left="0"/>
        <w:jc w:val="both"/>
      </w:pPr>
      <w:r>
        <w:rPr>
          <w:rFonts w:ascii="Times New Roman"/>
          <w:b w:val="false"/>
          <w:i w:val="false"/>
          <w:color w:val="000000"/>
          <w:sz w:val="28"/>
        </w:rPr>
        <w:t>
      Эвакуация</w:t>
      </w:r>
    </w:p>
    <w:bookmarkEnd w:id="343"/>
    <w:bookmarkStart w:name="z350" w:id="344"/>
    <w:p>
      <w:pPr>
        <w:spacing w:after="0"/>
        <w:ind w:left="0"/>
        <w:jc w:val="both"/>
      </w:pPr>
      <w:r>
        <w:rPr>
          <w:rFonts w:ascii="Times New Roman"/>
          <w:b w:val="false"/>
          <w:i w:val="false"/>
          <w:color w:val="000000"/>
          <w:sz w:val="28"/>
        </w:rPr>
        <w:t>
      Одной из мер по спасению населения в "особый период" является его эвакуация, которую намечается осуществлять автомобильным транспортом и пешим путем.</w:t>
      </w:r>
    </w:p>
    <w:bookmarkEnd w:id="344"/>
    <w:bookmarkStart w:name="z351" w:id="345"/>
    <w:p>
      <w:pPr>
        <w:spacing w:after="0"/>
        <w:ind w:left="0"/>
        <w:jc w:val="both"/>
      </w:pPr>
      <w:r>
        <w:rPr>
          <w:rFonts w:ascii="Times New Roman"/>
          <w:b w:val="false"/>
          <w:i w:val="false"/>
          <w:color w:val="000000"/>
          <w:sz w:val="28"/>
        </w:rPr>
        <w:t>
      Планирование, организация и проведение эвакуации населения непосредственно возлагаются на эвакуационные органы, органы управления по делам гражданской защиты и чрезвычайным ситуациям.</w:t>
      </w:r>
    </w:p>
    <w:bookmarkEnd w:id="345"/>
    <w:bookmarkStart w:name="z352" w:id="346"/>
    <w:p>
      <w:pPr>
        <w:spacing w:after="0"/>
        <w:ind w:left="0"/>
        <w:jc w:val="both"/>
      </w:pPr>
      <w:r>
        <w:rPr>
          <w:rFonts w:ascii="Times New Roman"/>
          <w:b w:val="false"/>
          <w:i w:val="false"/>
          <w:color w:val="000000"/>
          <w:sz w:val="28"/>
        </w:rPr>
        <w:t xml:space="preserve">
      Имеется план эвакуации и рассредоточения населения города Туркестана (раздел Плана гражданской обороны города Туркестана). </w:t>
      </w:r>
    </w:p>
    <w:bookmarkEnd w:id="346"/>
    <w:bookmarkStart w:name="z353" w:id="347"/>
    <w:p>
      <w:pPr>
        <w:spacing w:after="0"/>
        <w:ind w:left="0"/>
        <w:jc w:val="both"/>
      </w:pPr>
      <w:r>
        <w:rPr>
          <w:rFonts w:ascii="Times New Roman"/>
          <w:b w:val="false"/>
          <w:i w:val="false"/>
          <w:color w:val="000000"/>
          <w:sz w:val="28"/>
        </w:rPr>
        <w:t>
      Эвакуацию населения предлагается проводить по программе, разработанной службой по чрезвычайным ситуациям города согласно Плану гражданской обороны.</w:t>
      </w:r>
    </w:p>
    <w:bookmarkEnd w:id="347"/>
    <w:bookmarkStart w:name="z354" w:id="348"/>
    <w:p>
      <w:pPr>
        <w:spacing w:after="0"/>
        <w:ind w:left="0"/>
        <w:jc w:val="both"/>
      </w:pPr>
      <w:r>
        <w:rPr>
          <w:rFonts w:ascii="Times New Roman"/>
          <w:b w:val="false"/>
          <w:i w:val="false"/>
          <w:color w:val="000000"/>
          <w:sz w:val="28"/>
        </w:rPr>
        <w:t>
      При возникновении необходимости массовой эвакуации жители города пользуются пунктами эвакуационного сбора по месту жительства. Адреса пунктов эвакуации включены в мобильное приложение "2GIS".</w:t>
      </w:r>
    </w:p>
    <w:bookmarkEnd w:id="348"/>
    <w:bookmarkStart w:name="z355" w:id="349"/>
    <w:p>
      <w:pPr>
        <w:spacing w:after="0"/>
        <w:ind w:left="0"/>
        <w:jc w:val="both"/>
      </w:pPr>
      <w:r>
        <w:rPr>
          <w:rFonts w:ascii="Times New Roman"/>
          <w:b w:val="false"/>
          <w:i w:val="false"/>
          <w:color w:val="000000"/>
          <w:sz w:val="28"/>
        </w:rPr>
        <w:t xml:space="preserve">
      Местонахождение сборно-эвакуационных пунктов (СЭП) определено в объектах, которые рассчитаны на принятие большого контингента населения, имеют значительные площади для его сбора и удобные транспортные связи для эвакуации населения. </w:t>
      </w:r>
    </w:p>
    <w:bookmarkEnd w:id="349"/>
    <w:bookmarkStart w:name="z356" w:id="350"/>
    <w:p>
      <w:pPr>
        <w:spacing w:after="0"/>
        <w:ind w:left="0"/>
        <w:jc w:val="both"/>
      </w:pPr>
      <w:r>
        <w:rPr>
          <w:rFonts w:ascii="Times New Roman"/>
          <w:b w:val="false"/>
          <w:i w:val="false"/>
          <w:color w:val="000000"/>
          <w:sz w:val="28"/>
        </w:rPr>
        <w:t>
      Пункты сбора эвакуации населения размещены в районах сложившейся застройки. На перспективу с ростом численности населения предлагается организовать дополнительные СЭП в районах нового жилищного строительства.</w:t>
      </w:r>
    </w:p>
    <w:bookmarkEnd w:id="350"/>
    <w:bookmarkStart w:name="z357" w:id="351"/>
    <w:p>
      <w:pPr>
        <w:spacing w:after="0"/>
        <w:ind w:left="0"/>
        <w:jc w:val="both"/>
      </w:pPr>
      <w:r>
        <w:rPr>
          <w:rFonts w:ascii="Times New Roman"/>
          <w:b w:val="false"/>
          <w:i w:val="false"/>
          <w:color w:val="000000"/>
          <w:sz w:val="28"/>
        </w:rPr>
        <w:t>
      Население теоретически должно быть подготовлено к чрезвычайным ситуациям. Для этой цели необходимо вести разъяснительную работу в учреждениях дошкольного воспитания, учебных заведениях и организациях, а для незанятого населения по месту жительства.</w:t>
      </w:r>
    </w:p>
    <w:bookmarkEnd w:id="351"/>
    <w:bookmarkStart w:name="z358" w:id="352"/>
    <w:p>
      <w:pPr>
        <w:spacing w:after="0"/>
        <w:ind w:left="0"/>
        <w:jc w:val="left"/>
      </w:pPr>
      <w:r>
        <w:rPr>
          <w:rFonts w:ascii="Times New Roman"/>
          <w:b/>
          <w:i w:val="false"/>
          <w:color w:val="000000"/>
        </w:rPr>
        <w:t xml:space="preserve"> 14. Охрана памятников истории, культуры и архитектуры</w:t>
      </w:r>
    </w:p>
    <w:bookmarkEnd w:id="352"/>
    <w:bookmarkStart w:name="z359" w:id="353"/>
    <w:p>
      <w:pPr>
        <w:spacing w:after="0"/>
        <w:ind w:left="0"/>
        <w:jc w:val="both"/>
      </w:pPr>
      <w:r>
        <w:rPr>
          <w:rFonts w:ascii="Times New Roman"/>
          <w:b w:val="false"/>
          <w:i w:val="false"/>
          <w:color w:val="000000"/>
          <w:sz w:val="28"/>
        </w:rPr>
        <w:t>
      Состояние архитектурных памятников в городе Туркестане</w:t>
      </w:r>
    </w:p>
    <w:bookmarkEnd w:id="353"/>
    <w:bookmarkStart w:name="z360" w:id="354"/>
    <w:p>
      <w:pPr>
        <w:spacing w:after="0"/>
        <w:ind w:left="0"/>
        <w:jc w:val="both"/>
      </w:pPr>
      <w:r>
        <w:rPr>
          <w:rFonts w:ascii="Times New Roman"/>
          <w:b w:val="false"/>
          <w:i w:val="false"/>
          <w:color w:val="000000"/>
          <w:sz w:val="28"/>
        </w:rPr>
        <w:t>
      Город Туркестан - одно из важнейших историко-культурных мест Центральной Азии, известен своими уникальными архитектурными памятниками, связанными с исламской и тюркской культурой. Главной достопримечательностью города остается мавзолей Ходжа Ахмеда Ясауи, включенный в список Всемирного наследия ЮНЕСКО. Этот шедевр тимуридской архитектуры до сих пор сохраняет свое величие, несмотря на многовековую историю.</w:t>
      </w:r>
    </w:p>
    <w:bookmarkEnd w:id="354"/>
    <w:bookmarkStart w:name="z361" w:id="355"/>
    <w:p>
      <w:pPr>
        <w:spacing w:after="0"/>
        <w:ind w:left="0"/>
        <w:jc w:val="both"/>
      </w:pPr>
      <w:r>
        <w:rPr>
          <w:rFonts w:ascii="Times New Roman"/>
          <w:b w:val="false"/>
          <w:i w:val="false"/>
          <w:color w:val="000000"/>
          <w:sz w:val="28"/>
        </w:rPr>
        <w:t>
      Общее состояние памятников в Туркестане можно охарактеризовать как удовлетворительное с рядом объектов в хорошем состоянии благодаря проведенным реставрационным работам в последние годы. Особенно активно реставрационные мероприятия велись в преддверии признания Туркестана духовным центром тюркского мира и рамках развития туристической инфраструктуры.</w:t>
      </w:r>
    </w:p>
    <w:bookmarkEnd w:id="355"/>
    <w:bookmarkStart w:name="z362" w:id="356"/>
    <w:p>
      <w:pPr>
        <w:spacing w:after="0"/>
        <w:ind w:left="0"/>
        <w:jc w:val="both"/>
      </w:pPr>
      <w:r>
        <w:rPr>
          <w:rFonts w:ascii="Times New Roman"/>
          <w:b w:val="false"/>
          <w:i w:val="false"/>
          <w:color w:val="000000"/>
          <w:sz w:val="28"/>
        </w:rPr>
        <w:t>
      Тем не менее, ряд памятников требует дополнительного внимания и консервации. Некоторые объекты, расположенные вне центральной туристической зоны, подвержены воздействию природных факторов - ветра, осадков, температурных перепадов. Также наблюдаются проблемы с сохранением аутентичности отдельных архитектурных элементов, особенно в случаях, когда при реставрации применялись современные материалы, не соответствующие оригинальной технологии.</w:t>
      </w:r>
    </w:p>
    <w:bookmarkEnd w:id="356"/>
    <w:bookmarkStart w:name="z363" w:id="357"/>
    <w:p>
      <w:pPr>
        <w:spacing w:after="0"/>
        <w:ind w:left="0"/>
        <w:jc w:val="both"/>
      </w:pPr>
      <w:r>
        <w:rPr>
          <w:rFonts w:ascii="Times New Roman"/>
          <w:b w:val="false"/>
          <w:i w:val="false"/>
          <w:color w:val="000000"/>
          <w:sz w:val="28"/>
        </w:rPr>
        <w:t>
      Кроме того, на состояние памятников влияют и антропогенные факторы: неконтролируемый поток туристов, недостаток охраны и информационного сопровождения, а также нехватка профессиональных кадров в сфере реставрации и охраны культурного наследия.</w:t>
      </w:r>
    </w:p>
    <w:bookmarkEnd w:id="357"/>
    <w:bookmarkStart w:name="z364" w:id="358"/>
    <w:p>
      <w:pPr>
        <w:spacing w:after="0"/>
        <w:ind w:left="0"/>
        <w:jc w:val="both"/>
      </w:pPr>
      <w:r>
        <w:rPr>
          <w:rFonts w:ascii="Times New Roman"/>
          <w:b w:val="false"/>
          <w:i w:val="false"/>
          <w:color w:val="000000"/>
          <w:sz w:val="28"/>
        </w:rPr>
        <w:t>
      Для поддержания и улучшения состояния памятников необходимы:</w:t>
      </w:r>
    </w:p>
    <w:bookmarkEnd w:id="358"/>
    <w:bookmarkStart w:name="z365" w:id="359"/>
    <w:p>
      <w:pPr>
        <w:spacing w:after="0"/>
        <w:ind w:left="0"/>
        <w:jc w:val="both"/>
      </w:pPr>
      <w:r>
        <w:rPr>
          <w:rFonts w:ascii="Times New Roman"/>
          <w:b w:val="false"/>
          <w:i w:val="false"/>
          <w:color w:val="000000"/>
          <w:sz w:val="28"/>
        </w:rPr>
        <w:t>
      систематические научные исследования и мониторинг состояния объектов;</w:t>
      </w:r>
    </w:p>
    <w:bookmarkEnd w:id="359"/>
    <w:bookmarkStart w:name="z366" w:id="360"/>
    <w:p>
      <w:pPr>
        <w:spacing w:after="0"/>
        <w:ind w:left="0"/>
        <w:jc w:val="both"/>
      </w:pPr>
      <w:r>
        <w:rPr>
          <w:rFonts w:ascii="Times New Roman"/>
          <w:b w:val="false"/>
          <w:i w:val="false"/>
          <w:color w:val="000000"/>
          <w:sz w:val="28"/>
        </w:rPr>
        <w:t>
      использование традиционных материалов и технологий при реставрации;</w:t>
      </w:r>
    </w:p>
    <w:bookmarkEnd w:id="360"/>
    <w:bookmarkStart w:name="z367" w:id="361"/>
    <w:p>
      <w:pPr>
        <w:spacing w:after="0"/>
        <w:ind w:left="0"/>
        <w:jc w:val="both"/>
      </w:pPr>
      <w:r>
        <w:rPr>
          <w:rFonts w:ascii="Times New Roman"/>
          <w:b w:val="false"/>
          <w:i w:val="false"/>
          <w:color w:val="000000"/>
          <w:sz w:val="28"/>
        </w:rPr>
        <w:t>
      расширение образовательных и просветительских программ среди местного населения и туристов;</w:t>
      </w:r>
    </w:p>
    <w:bookmarkEnd w:id="361"/>
    <w:bookmarkStart w:name="z368" w:id="362"/>
    <w:p>
      <w:pPr>
        <w:spacing w:after="0"/>
        <w:ind w:left="0"/>
        <w:jc w:val="both"/>
      </w:pPr>
      <w:r>
        <w:rPr>
          <w:rFonts w:ascii="Times New Roman"/>
          <w:b w:val="false"/>
          <w:i w:val="false"/>
          <w:color w:val="000000"/>
          <w:sz w:val="28"/>
        </w:rPr>
        <w:t>
      увеличение финансирования на охрану и содержание исторических объектов.</w:t>
      </w:r>
    </w:p>
    <w:bookmarkEnd w:id="362"/>
    <w:bookmarkStart w:name="z369" w:id="363"/>
    <w:p>
      <w:pPr>
        <w:spacing w:after="0"/>
        <w:ind w:left="0"/>
        <w:jc w:val="both"/>
      </w:pPr>
      <w:r>
        <w:rPr>
          <w:rFonts w:ascii="Times New Roman"/>
          <w:b w:val="false"/>
          <w:i w:val="false"/>
          <w:color w:val="000000"/>
          <w:sz w:val="28"/>
        </w:rPr>
        <w:t>
      Всего на территории города расположено 19 памятников республиканского значения (приказ Министра культуры и информации Республики Казахстан от 11 июля 2025 года № 318-НҚ "Об утверждении Государственного списка памятников истории и культуры республиканского значения"), из которых 1 объект всемирного значения состоит в списках ЮНЕСКО (решение Комитета Всемирного Наследия ЮНЕСКО № 27 СОМ 8 С.35 от 03 июля 2003 года) и 1 представляет собой комплекс застройки железнодорожной станции, который образуют 20 зданий и сооружений. Списки памятников местного значения, утвержденные постановлением акимата Туркестанской области от 17 сентября 2020 года № 188, включают 5 объектов.</w:t>
      </w:r>
    </w:p>
    <w:bookmarkEnd w:id="363"/>
    <w:bookmarkStart w:name="z370" w:id="364"/>
    <w:p>
      <w:pPr>
        <w:spacing w:after="0"/>
        <w:ind w:left="0"/>
        <w:jc w:val="both"/>
      </w:pPr>
      <w:r>
        <w:rPr>
          <w:rFonts w:ascii="Times New Roman"/>
          <w:b w:val="false"/>
          <w:i w:val="false"/>
          <w:color w:val="000000"/>
          <w:sz w:val="28"/>
        </w:rPr>
        <w:t>
      Памятники истории и культуры исторического центра республиканского значения:</w:t>
      </w:r>
    </w:p>
    <w:bookmarkEnd w:id="364"/>
    <w:bookmarkStart w:name="z371" w:id="365"/>
    <w:p>
      <w:pPr>
        <w:spacing w:after="0"/>
        <w:ind w:left="0"/>
        <w:jc w:val="both"/>
      </w:pPr>
      <w:r>
        <w:rPr>
          <w:rFonts w:ascii="Times New Roman"/>
          <w:b w:val="false"/>
          <w:i w:val="false"/>
          <w:color w:val="000000"/>
          <w:sz w:val="28"/>
        </w:rPr>
        <w:t>
      1. Мавзолей Ходжа Ахмеда Ясауи (конец XIV века).</w:t>
      </w:r>
    </w:p>
    <w:bookmarkEnd w:id="365"/>
    <w:bookmarkStart w:name="z372" w:id="366"/>
    <w:p>
      <w:pPr>
        <w:spacing w:after="0"/>
        <w:ind w:left="0"/>
        <w:jc w:val="both"/>
      </w:pPr>
      <w:r>
        <w:rPr>
          <w:rFonts w:ascii="Times New Roman"/>
          <w:b w:val="false"/>
          <w:i w:val="false"/>
          <w:color w:val="000000"/>
          <w:sz w:val="28"/>
        </w:rPr>
        <w:t>
      2. Городище Культобе, ІІІ-ІV - ХІV-ХІХ века</w:t>
      </w:r>
    </w:p>
    <w:bookmarkEnd w:id="366"/>
    <w:bookmarkStart w:name="z373" w:id="367"/>
    <w:p>
      <w:pPr>
        <w:spacing w:after="0"/>
        <w:ind w:left="0"/>
        <w:jc w:val="both"/>
      </w:pPr>
      <w:r>
        <w:rPr>
          <w:rFonts w:ascii="Times New Roman"/>
          <w:b w:val="false"/>
          <w:i w:val="false"/>
          <w:color w:val="000000"/>
          <w:sz w:val="28"/>
        </w:rPr>
        <w:t>
      3. Древний город Туркестан, ХV-ХІХ века</w:t>
      </w:r>
    </w:p>
    <w:bookmarkEnd w:id="367"/>
    <w:bookmarkStart w:name="z374" w:id="368"/>
    <w:p>
      <w:pPr>
        <w:spacing w:after="0"/>
        <w:ind w:left="0"/>
        <w:jc w:val="both"/>
      </w:pPr>
      <w:r>
        <w:rPr>
          <w:rFonts w:ascii="Times New Roman"/>
          <w:b w:val="false"/>
          <w:i w:val="false"/>
          <w:color w:val="000000"/>
          <w:sz w:val="28"/>
        </w:rPr>
        <w:t>
      4. Подземная мечеть Хильвет, XII-ХХ века</w:t>
      </w:r>
    </w:p>
    <w:bookmarkEnd w:id="368"/>
    <w:bookmarkStart w:name="z375" w:id="369"/>
    <w:p>
      <w:pPr>
        <w:spacing w:after="0"/>
        <w:ind w:left="0"/>
        <w:jc w:val="both"/>
      </w:pPr>
      <w:r>
        <w:rPr>
          <w:rFonts w:ascii="Times New Roman"/>
          <w:b w:val="false"/>
          <w:i w:val="false"/>
          <w:color w:val="000000"/>
          <w:sz w:val="28"/>
        </w:rPr>
        <w:t>
      5. Подземная мечеть Әулие Құмшық ата, XI-ХIІ века</w:t>
      </w:r>
    </w:p>
    <w:bookmarkEnd w:id="369"/>
    <w:bookmarkStart w:name="z376" w:id="370"/>
    <w:p>
      <w:pPr>
        <w:spacing w:after="0"/>
        <w:ind w:left="0"/>
        <w:jc w:val="both"/>
      </w:pPr>
      <w:r>
        <w:rPr>
          <w:rFonts w:ascii="Times New Roman"/>
          <w:b w:val="false"/>
          <w:i w:val="false"/>
          <w:color w:val="000000"/>
          <w:sz w:val="28"/>
        </w:rPr>
        <w:t>
      6. Чилляхана, XI-ХIІ века</w:t>
      </w:r>
    </w:p>
    <w:bookmarkEnd w:id="370"/>
    <w:bookmarkStart w:name="z377" w:id="371"/>
    <w:p>
      <w:pPr>
        <w:spacing w:after="0"/>
        <w:ind w:left="0"/>
        <w:jc w:val="both"/>
      </w:pPr>
      <w:r>
        <w:rPr>
          <w:rFonts w:ascii="Times New Roman"/>
          <w:b w:val="false"/>
          <w:i w:val="false"/>
          <w:color w:val="000000"/>
          <w:sz w:val="28"/>
        </w:rPr>
        <w:t>
      7. Мавзолей Тауке хана, XIV-XVII века</w:t>
      </w:r>
    </w:p>
    <w:bookmarkEnd w:id="371"/>
    <w:bookmarkStart w:name="z378" w:id="372"/>
    <w:p>
      <w:pPr>
        <w:spacing w:after="0"/>
        <w:ind w:left="0"/>
        <w:jc w:val="both"/>
      </w:pPr>
      <w:r>
        <w:rPr>
          <w:rFonts w:ascii="Times New Roman"/>
          <w:b w:val="false"/>
          <w:i w:val="false"/>
          <w:color w:val="000000"/>
          <w:sz w:val="28"/>
        </w:rPr>
        <w:t>
      8. Мавзолей Рабии Сұлтан Бегім, XV век</w:t>
      </w:r>
    </w:p>
    <w:bookmarkEnd w:id="372"/>
    <w:bookmarkStart w:name="z379" w:id="373"/>
    <w:p>
      <w:pPr>
        <w:spacing w:after="0"/>
        <w:ind w:left="0"/>
        <w:jc w:val="both"/>
      </w:pPr>
      <w:r>
        <w:rPr>
          <w:rFonts w:ascii="Times New Roman"/>
          <w:b w:val="false"/>
          <w:i w:val="false"/>
          <w:color w:val="000000"/>
          <w:sz w:val="28"/>
        </w:rPr>
        <w:t xml:space="preserve">
      9. Мавзолей безымянный (склеп), XVI век </w:t>
      </w:r>
    </w:p>
    <w:bookmarkEnd w:id="373"/>
    <w:bookmarkStart w:name="z380" w:id="374"/>
    <w:p>
      <w:pPr>
        <w:spacing w:after="0"/>
        <w:ind w:left="0"/>
        <w:jc w:val="both"/>
      </w:pPr>
      <w:r>
        <w:rPr>
          <w:rFonts w:ascii="Times New Roman"/>
          <w:b w:val="false"/>
          <w:i w:val="false"/>
          <w:color w:val="000000"/>
          <w:sz w:val="28"/>
        </w:rPr>
        <w:t>
      10. Крепостная стена цитадели, XVI-XIX века</w:t>
      </w:r>
    </w:p>
    <w:bookmarkEnd w:id="374"/>
    <w:bookmarkStart w:name="z381" w:id="375"/>
    <w:p>
      <w:pPr>
        <w:spacing w:after="0"/>
        <w:ind w:left="0"/>
        <w:jc w:val="both"/>
      </w:pPr>
      <w:r>
        <w:rPr>
          <w:rFonts w:ascii="Times New Roman"/>
          <w:b w:val="false"/>
          <w:i w:val="false"/>
          <w:color w:val="000000"/>
          <w:sz w:val="28"/>
        </w:rPr>
        <w:t>
      11. Восточная Баня, XVI-XVIII века</w:t>
      </w:r>
    </w:p>
    <w:bookmarkEnd w:id="375"/>
    <w:bookmarkStart w:name="z382" w:id="376"/>
    <w:p>
      <w:pPr>
        <w:spacing w:after="0"/>
        <w:ind w:left="0"/>
        <w:jc w:val="both"/>
      </w:pPr>
      <w:r>
        <w:rPr>
          <w:rFonts w:ascii="Times New Roman"/>
          <w:b w:val="false"/>
          <w:i w:val="false"/>
          <w:color w:val="000000"/>
          <w:sz w:val="28"/>
        </w:rPr>
        <w:t>
      12. Мавзолей Есім хана, XVII век</w:t>
      </w:r>
    </w:p>
    <w:bookmarkEnd w:id="376"/>
    <w:bookmarkStart w:name="z383" w:id="377"/>
    <w:p>
      <w:pPr>
        <w:spacing w:after="0"/>
        <w:ind w:left="0"/>
        <w:jc w:val="both"/>
      </w:pPr>
      <w:r>
        <w:rPr>
          <w:rFonts w:ascii="Times New Roman"/>
          <w:b w:val="false"/>
          <w:i w:val="false"/>
          <w:color w:val="000000"/>
          <w:sz w:val="28"/>
        </w:rPr>
        <w:t>
      13. Ворота крепостной стены цитадели, XVI-XIX века</w:t>
      </w:r>
    </w:p>
    <w:bookmarkEnd w:id="377"/>
    <w:bookmarkStart w:name="z384" w:id="378"/>
    <w:p>
      <w:pPr>
        <w:spacing w:after="0"/>
        <w:ind w:left="0"/>
        <w:jc w:val="both"/>
      </w:pPr>
      <w:r>
        <w:rPr>
          <w:rFonts w:ascii="Times New Roman"/>
          <w:b w:val="false"/>
          <w:i w:val="false"/>
          <w:color w:val="000000"/>
          <w:sz w:val="28"/>
        </w:rPr>
        <w:t>
      14. Мечеть Жұма, XIX век</w:t>
      </w:r>
    </w:p>
    <w:bookmarkEnd w:id="378"/>
    <w:bookmarkStart w:name="z385" w:id="379"/>
    <w:p>
      <w:pPr>
        <w:spacing w:after="0"/>
        <w:ind w:left="0"/>
        <w:jc w:val="both"/>
      </w:pPr>
      <w:r>
        <w:rPr>
          <w:rFonts w:ascii="Times New Roman"/>
          <w:b w:val="false"/>
          <w:i w:val="false"/>
          <w:color w:val="000000"/>
          <w:sz w:val="28"/>
        </w:rPr>
        <w:t>
      15. Мавзолей Гаухар ана, ХІІ-ХІV века</w:t>
      </w:r>
    </w:p>
    <w:bookmarkEnd w:id="379"/>
    <w:bookmarkStart w:name="z386" w:id="380"/>
    <w:p>
      <w:pPr>
        <w:spacing w:after="0"/>
        <w:ind w:left="0"/>
        <w:jc w:val="both"/>
      </w:pPr>
      <w:r>
        <w:rPr>
          <w:rFonts w:ascii="Times New Roman"/>
          <w:b w:val="false"/>
          <w:i w:val="false"/>
          <w:color w:val="000000"/>
          <w:sz w:val="28"/>
        </w:rPr>
        <w:t>
      16. Здание штаба гарнизона, ХІХ век</w:t>
      </w:r>
    </w:p>
    <w:bookmarkEnd w:id="380"/>
    <w:bookmarkStart w:name="z387" w:id="381"/>
    <w:p>
      <w:pPr>
        <w:spacing w:after="0"/>
        <w:ind w:left="0"/>
        <w:jc w:val="both"/>
      </w:pPr>
      <w:r>
        <w:rPr>
          <w:rFonts w:ascii="Times New Roman"/>
          <w:b w:val="false"/>
          <w:i w:val="false"/>
          <w:color w:val="000000"/>
          <w:sz w:val="28"/>
        </w:rPr>
        <w:t>
      17. Мавзолей Әлқожа ата, ХІІ век</w:t>
      </w:r>
    </w:p>
    <w:bookmarkEnd w:id="381"/>
    <w:bookmarkStart w:name="z388" w:id="382"/>
    <w:p>
      <w:pPr>
        <w:spacing w:after="0"/>
        <w:ind w:left="0"/>
        <w:jc w:val="both"/>
      </w:pPr>
      <w:r>
        <w:rPr>
          <w:rFonts w:ascii="Times New Roman"/>
          <w:b w:val="false"/>
          <w:i w:val="false"/>
          <w:color w:val="000000"/>
          <w:sz w:val="28"/>
        </w:rPr>
        <w:t>
      18. Мечеть-медресе Жәудір-ана, XIV-ХV - ХІХ-ХХ века</w:t>
      </w:r>
    </w:p>
    <w:bookmarkEnd w:id="382"/>
    <w:bookmarkStart w:name="z389" w:id="383"/>
    <w:p>
      <w:pPr>
        <w:spacing w:after="0"/>
        <w:ind w:left="0"/>
        <w:jc w:val="both"/>
      </w:pPr>
      <w:r>
        <w:rPr>
          <w:rFonts w:ascii="Times New Roman"/>
          <w:b w:val="false"/>
          <w:i w:val="false"/>
          <w:color w:val="000000"/>
          <w:sz w:val="28"/>
        </w:rPr>
        <w:t>
      19. Комплекс железнодорожной станции (вокзал; депо; дома жилые; ледники), 1903 год.</w:t>
      </w:r>
    </w:p>
    <w:bookmarkEnd w:id="383"/>
    <w:bookmarkStart w:name="z390" w:id="384"/>
    <w:p>
      <w:pPr>
        <w:spacing w:after="0"/>
        <w:ind w:left="0"/>
        <w:jc w:val="both"/>
      </w:pPr>
      <w:r>
        <w:rPr>
          <w:rFonts w:ascii="Times New Roman"/>
          <w:b w:val="false"/>
          <w:i w:val="false"/>
          <w:color w:val="000000"/>
          <w:sz w:val="28"/>
        </w:rPr>
        <w:t>
      Местного значения:</w:t>
      </w:r>
    </w:p>
    <w:bookmarkEnd w:id="384"/>
    <w:bookmarkStart w:name="z391" w:id="385"/>
    <w:p>
      <w:pPr>
        <w:spacing w:after="0"/>
        <w:ind w:left="0"/>
        <w:jc w:val="both"/>
      </w:pPr>
      <w:r>
        <w:rPr>
          <w:rFonts w:ascii="Times New Roman"/>
          <w:b w:val="false"/>
          <w:i w:val="false"/>
          <w:color w:val="000000"/>
          <w:sz w:val="28"/>
        </w:rPr>
        <w:t>
      20. Здание городского исполкома, ХIХ век</w:t>
      </w:r>
    </w:p>
    <w:bookmarkEnd w:id="385"/>
    <w:bookmarkStart w:name="z392" w:id="386"/>
    <w:p>
      <w:pPr>
        <w:spacing w:after="0"/>
        <w:ind w:left="0"/>
        <w:jc w:val="both"/>
      </w:pPr>
      <w:r>
        <w:rPr>
          <w:rFonts w:ascii="Times New Roman"/>
          <w:b w:val="false"/>
          <w:i w:val="false"/>
          <w:color w:val="000000"/>
          <w:sz w:val="28"/>
        </w:rPr>
        <w:t>
      21. Мавзолей Бала би, XIX век</w:t>
      </w:r>
    </w:p>
    <w:bookmarkEnd w:id="386"/>
    <w:bookmarkStart w:name="z393" w:id="387"/>
    <w:p>
      <w:pPr>
        <w:spacing w:after="0"/>
        <w:ind w:left="0"/>
        <w:jc w:val="both"/>
      </w:pPr>
      <w:r>
        <w:rPr>
          <w:rFonts w:ascii="Times New Roman"/>
          <w:b w:val="false"/>
          <w:i w:val="false"/>
          <w:color w:val="000000"/>
          <w:sz w:val="28"/>
        </w:rPr>
        <w:t>
      22. Детская спортивная школа, ХIХ век</w:t>
      </w:r>
    </w:p>
    <w:bookmarkEnd w:id="387"/>
    <w:bookmarkStart w:name="z394" w:id="388"/>
    <w:p>
      <w:pPr>
        <w:spacing w:after="0"/>
        <w:ind w:left="0"/>
        <w:jc w:val="both"/>
      </w:pPr>
      <w:r>
        <w:rPr>
          <w:rFonts w:ascii="Times New Roman"/>
          <w:b w:val="false"/>
          <w:i w:val="false"/>
          <w:color w:val="000000"/>
          <w:sz w:val="28"/>
        </w:rPr>
        <w:t>
      23. Здание аптеки, конец XIX века</w:t>
      </w:r>
    </w:p>
    <w:bookmarkEnd w:id="388"/>
    <w:bookmarkStart w:name="z395" w:id="389"/>
    <w:p>
      <w:pPr>
        <w:spacing w:after="0"/>
        <w:ind w:left="0"/>
        <w:jc w:val="both"/>
      </w:pPr>
      <w:r>
        <w:rPr>
          <w:rFonts w:ascii="Times New Roman"/>
          <w:b w:val="false"/>
          <w:i w:val="false"/>
          <w:color w:val="000000"/>
          <w:sz w:val="28"/>
        </w:rPr>
        <w:t>
      24. Казарма, ХІХ-ХХ века</w:t>
      </w:r>
    </w:p>
    <w:bookmarkEnd w:id="389"/>
    <w:bookmarkStart w:name="z396" w:id="390"/>
    <w:p>
      <w:pPr>
        <w:spacing w:after="0"/>
        <w:ind w:left="0"/>
        <w:jc w:val="both"/>
      </w:pPr>
      <w:r>
        <w:rPr>
          <w:rFonts w:ascii="Times New Roman"/>
          <w:b w:val="false"/>
          <w:i w:val="false"/>
          <w:color w:val="000000"/>
          <w:sz w:val="28"/>
        </w:rPr>
        <w:t>
      Территории памятников истории и культуры города Туркестана и их зоны охраны</w:t>
      </w:r>
    </w:p>
    <w:bookmarkEnd w:id="390"/>
    <w:bookmarkStart w:name="z397" w:id="391"/>
    <w:p>
      <w:pPr>
        <w:spacing w:after="0"/>
        <w:ind w:left="0"/>
        <w:jc w:val="both"/>
      </w:pPr>
      <w:r>
        <w:rPr>
          <w:rFonts w:ascii="Times New Roman"/>
          <w:b w:val="false"/>
          <w:i w:val="false"/>
          <w:color w:val="000000"/>
          <w:sz w:val="28"/>
        </w:rPr>
        <w:t>
      В современном городе Туркестане ценную историческую застройку города представляют группы памятников, расположенных в двух основных зонах: в восточной части города - средневековый Ески Туркестан (6 - 19 века) и "новый" (русский) город (конец 19 века - начало 20 века), в юго-западной части - привокзальный район - станция Туркестан (1902 - 1906 годы).</w:t>
      </w:r>
    </w:p>
    <w:bookmarkEnd w:id="391"/>
    <w:bookmarkStart w:name="z398" w:id="392"/>
    <w:p>
      <w:pPr>
        <w:spacing w:after="0"/>
        <w:ind w:left="0"/>
        <w:jc w:val="both"/>
      </w:pPr>
      <w:r>
        <w:rPr>
          <w:rFonts w:ascii="Times New Roman"/>
          <w:b w:val="false"/>
          <w:i w:val="false"/>
          <w:color w:val="000000"/>
          <w:sz w:val="28"/>
        </w:rPr>
        <w:t>
      Территория позднего средневекового города Туркестана (Ески Туркестан)</w:t>
      </w:r>
    </w:p>
    <w:bookmarkEnd w:id="392"/>
    <w:bookmarkStart w:name="z399" w:id="393"/>
    <w:p>
      <w:pPr>
        <w:spacing w:after="0"/>
        <w:ind w:left="0"/>
        <w:jc w:val="both"/>
      </w:pPr>
      <w:r>
        <w:rPr>
          <w:rFonts w:ascii="Times New Roman"/>
          <w:b w:val="false"/>
          <w:i w:val="false"/>
          <w:color w:val="000000"/>
          <w:sz w:val="28"/>
        </w:rPr>
        <w:t>
      Археологические объекты включают городище Культобе (1-14 вв.) - ранний Яссы и городище Ески Туркестан (14 век-начало 20 века). В северо-западной части городища Ески Туркестан находится восстановленная ханская ставка (Хан ордасы) 17-18 веков.</w:t>
      </w:r>
    </w:p>
    <w:bookmarkEnd w:id="393"/>
    <w:bookmarkStart w:name="z400" w:id="394"/>
    <w:p>
      <w:pPr>
        <w:spacing w:after="0"/>
        <w:ind w:left="0"/>
        <w:jc w:val="both"/>
      </w:pPr>
      <w:r>
        <w:rPr>
          <w:rFonts w:ascii="Times New Roman"/>
          <w:b w:val="false"/>
          <w:i w:val="false"/>
          <w:color w:val="000000"/>
          <w:sz w:val="28"/>
        </w:rPr>
        <w:t>
      Архитектурные памятники сосредоточены вблизи мавзолея Ходжа Ахмеда Ясауи в северо-восточной части средневекового города Туркестана, это - мавзолей Рабии Сұлтан Бегім (15 веков), мавзолей Есім хана (17 века), мавзолей Восьмигранный (14-16 веков), мавзолей Безымянный (16 века), Чилляхана (чилляхана) (15 века), мечеть Жұма (19 века), Восточная баня (16-18 веков). На территории Ески Туркестана стоит также здание казармы (конец 19 века).</w:t>
      </w:r>
    </w:p>
    <w:bookmarkEnd w:id="394"/>
    <w:bookmarkStart w:name="z401" w:id="395"/>
    <w:p>
      <w:pPr>
        <w:spacing w:after="0"/>
        <w:ind w:left="0"/>
        <w:jc w:val="both"/>
      </w:pPr>
      <w:r>
        <w:rPr>
          <w:rFonts w:ascii="Times New Roman"/>
          <w:b w:val="false"/>
          <w:i w:val="false"/>
          <w:color w:val="000000"/>
          <w:sz w:val="28"/>
        </w:rPr>
        <w:t>
      Общая площадь охранной зоны средневекового Ески Туркестана вместе с территорией памятников составляет 88,7 гектар.</w:t>
      </w:r>
    </w:p>
    <w:bookmarkEnd w:id="395"/>
    <w:bookmarkStart w:name="z402" w:id="396"/>
    <w:p>
      <w:pPr>
        <w:spacing w:after="0"/>
        <w:ind w:left="0"/>
        <w:jc w:val="both"/>
      </w:pPr>
      <w:r>
        <w:rPr>
          <w:rFonts w:ascii="Times New Roman"/>
          <w:b w:val="false"/>
          <w:i w:val="false"/>
          <w:color w:val="000000"/>
          <w:sz w:val="28"/>
        </w:rPr>
        <w:t>
      Подземная мечеть Әулие Құмшық ата - памятник республиканского значения, расположенный в 1 км к югу от ханаки Ходжа Ахмеда Ясауи. Охранная зона вместе с территорией памятника составляет 0,03 гектар.</w:t>
      </w:r>
    </w:p>
    <w:bookmarkEnd w:id="396"/>
    <w:bookmarkStart w:name="z403" w:id="397"/>
    <w:p>
      <w:pPr>
        <w:spacing w:after="0"/>
        <w:ind w:left="0"/>
        <w:jc w:val="both"/>
      </w:pPr>
      <w:r>
        <w:rPr>
          <w:rFonts w:ascii="Times New Roman"/>
          <w:b w:val="false"/>
          <w:i w:val="false"/>
          <w:color w:val="000000"/>
          <w:sz w:val="28"/>
        </w:rPr>
        <w:t>
      Мавзолей Әлқожа ата, ХІІ век - памятник республиканского значения, расположенный в 2,5 км к востоку от Мавзолея Ходжа Ахмеда Ясауи. Охранная зона вместе с территорией памятника составляет 0,3 гектар.</w:t>
      </w:r>
    </w:p>
    <w:bookmarkEnd w:id="397"/>
    <w:bookmarkStart w:name="z404" w:id="398"/>
    <w:p>
      <w:pPr>
        <w:spacing w:after="0"/>
        <w:ind w:left="0"/>
        <w:jc w:val="both"/>
      </w:pPr>
      <w:r>
        <w:rPr>
          <w:rFonts w:ascii="Times New Roman"/>
          <w:b w:val="false"/>
          <w:i w:val="false"/>
          <w:color w:val="000000"/>
          <w:sz w:val="28"/>
        </w:rPr>
        <w:t>
      Мавзолей Гаухар ана, ХІІ-XIV века - памятник республиканского значения. Охранная зона вместе с территорией памятника составляет 0,09 гектар.</w:t>
      </w:r>
    </w:p>
    <w:bookmarkEnd w:id="398"/>
    <w:bookmarkStart w:name="z405" w:id="399"/>
    <w:p>
      <w:pPr>
        <w:spacing w:after="0"/>
        <w:ind w:left="0"/>
        <w:jc w:val="both"/>
      </w:pPr>
      <w:r>
        <w:rPr>
          <w:rFonts w:ascii="Times New Roman"/>
          <w:b w:val="false"/>
          <w:i w:val="false"/>
          <w:color w:val="000000"/>
          <w:sz w:val="28"/>
        </w:rPr>
        <w:t>
      Сохранение памятника Всемирного наследия мавзолея Ходжа Ахмеда Яссауи</w:t>
      </w:r>
    </w:p>
    <w:bookmarkEnd w:id="399"/>
    <w:bookmarkStart w:name="z406" w:id="400"/>
    <w:p>
      <w:pPr>
        <w:spacing w:after="0"/>
        <w:ind w:left="0"/>
        <w:jc w:val="both"/>
      </w:pPr>
      <w:r>
        <w:rPr>
          <w:rFonts w:ascii="Times New Roman"/>
          <w:b w:val="false"/>
          <w:i w:val="false"/>
          <w:color w:val="000000"/>
          <w:sz w:val="28"/>
        </w:rPr>
        <w:t>
      Мавзолей Ходжа Ахмеда Ясауи расположен в центре города Туркестана на территории средневекового городища Туркестан. Мавзолей построен по приказу Тимура в 1389 - 1399 годы над небольшим мавзолеем 12 века известного суфия, философа, автора религиозного сборника "Хикмет" и поэта Ходжа Ахмеда Ясауи, похороненного в 1166 году в некрополе города Яссы. Находится под охраной государства, как памятник республиканского значения, и с 2003 года - памятник международного значения. Территория памятника состовляет 0,55 гектар, территория буферной зоны состовляет 88,7 гектар.</w:t>
      </w:r>
    </w:p>
    <w:bookmarkEnd w:id="400"/>
    <w:bookmarkStart w:name="z407" w:id="401"/>
    <w:p>
      <w:pPr>
        <w:spacing w:after="0"/>
        <w:ind w:left="0"/>
        <w:jc w:val="both"/>
      </w:pPr>
      <w:r>
        <w:rPr>
          <w:rFonts w:ascii="Times New Roman"/>
          <w:b w:val="false"/>
          <w:i w:val="false"/>
          <w:color w:val="000000"/>
          <w:sz w:val="28"/>
        </w:rPr>
        <w:t>
      Все работы, проводимые на мавзолее Ходжа Ахмеда Ясауи и памятниках археологии и архитектуры, расположенных в буферной зоне, должны проводиться в соответствии с руководством по выполнению Конвенции об охране объектов всемирного культурного и природного наследия (1972 год).</w:t>
      </w:r>
    </w:p>
    <w:bookmarkEnd w:id="401"/>
    <w:bookmarkStart w:name="z408" w:id="402"/>
    <w:p>
      <w:pPr>
        <w:spacing w:after="0"/>
        <w:ind w:left="0"/>
        <w:jc w:val="both"/>
      </w:pPr>
      <w:r>
        <w:rPr>
          <w:rFonts w:ascii="Times New Roman"/>
          <w:b w:val="false"/>
          <w:i w:val="false"/>
          <w:color w:val="000000"/>
          <w:sz w:val="28"/>
        </w:rPr>
        <w:t>
      Основные положения по сохранению памятников истории и культуры города Туркестана:</w:t>
      </w:r>
    </w:p>
    <w:bookmarkEnd w:id="402"/>
    <w:bookmarkStart w:name="z409" w:id="403"/>
    <w:p>
      <w:pPr>
        <w:spacing w:after="0"/>
        <w:ind w:left="0"/>
        <w:jc w:val="both"/>
      </w:pPr>
      <w:r>
        <w:rPr>
          <w:rFonts w:ascii="Times New Roman"/>
          <w:b w:val="false"/>
          <w:i w:val="false"/>
          <w:color w:val="000000"/>
          <w:sz w:val="28"/>
        </w:rPr>
        <w:t>
      все работы на памятниках истории и культуры города должны проводиться по научно-реставрационным проектам, согласованным с уполномоченным органом по охране и использованию историко-культурного наследия;</w:t>
      </w:r>
    </w:p>
    <w:bookmarkEnd w:id="403"/>
    <w:bookmarkStart w:name="z410" w:id="404"/>
    <w:p>
      <w:pPr>
        <w:spacing w:after="0"/>
        <w:ind w:left="0"/>
        <w:jc w:val="both"/>
      </w:pPr>
      <w:r>
        <w:rPr>
          <w:rFonts w:ascii="Times New Roman"/>
          <w:b w:val="false"/>
          <w:i w:val="false"/>
          <w:color w:val="000000"/>
          <w:sz w:val="28"/>
        </w:rPr>
        <w:t xml:space="preserve">
      при освоении территории города Туркестана до отвода земельных участков предусматривается проведение внеплановых (превентивных) археологических работ по выявлению объектов историко-культурного наследия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"Об охране и использовании объектов историко-культурного наследия";</w:t>
      </w:r>
    </w:p>
    <w:bookmarkEnd w:id="404"/>
    <w:bookmarkStart w:name="z411" w:id="405"/>
    <w:p>
      <w:pPr>
        <w:spacing w:after="0"/>
        <w:ind w:left="0"/>
        <w:jc w:val="both"/>
      </w:pPr>
      <w:r>
        <w:rPr>
          <w:rFonts w:ascii="Times New Roman"/>
          <w:b w:val="false"/>
          <w:i w:val="false"/>
          <w:color w:val="000000"/>
          <w:sz w:val="28"/>
        </w:rPr>
        <w:t>
      необходимо соблюдать меры по режиму использования охранных зон, зон регулирования застройки и зон охраняемого природного ландшафта объектов историко-культурного наследия.</w:t>
      </w:r>
    </w:p>
    <w:bookmarkEnd w:id="405"/>
    <w:bookmarkStart w:name="z412" w:id="406"/>
    <w:p>
      <w:pPr>
        <w:spacing w:after="0"/>
        <w:ind w:left="0"/>
        <w:jc w:val="left"/>
      </w:pPr>
      <w:r>
        <w:rPr>
          <w:rFonts w:ascii="Times New Roman"/>
          <w:b/>
          <w:i w:val="false"/>
          <w:color w:val="000000"/>
        </w:rPr>
        <w:t xml:space="preserve"> 15. Градостроительное развитие</w:t>
      </w:r>
    </w:p>
    <w:bookmarkEnd w:id="406"/>
    <w:bookmarkStart w:name="z413" w:id="407"/>
    <w:p>
      <w:pPr>
        <w:spacing w:after="0"/>
        <w:ind w:left="0"/>
        <w:jc w:val="both"/>
      </w:pPr>
      <w:r>
        <w:rPr>
          <w:rFonts w:ascii="Times New Roman"/>
          <w:b w:val="false"/>
          <w:i w:val="false"/>
          <w:color w:val="000000"/>
          <w:sz w:val="28"/>
        </w:rPr>
        <w:t>
      Архитектурно-планировочная организация территории</w:t>
      </w:r>
    </w:p>
    <w:bookmarkEnd w:id="407"/>
    <w:bookmarkStart w:name="z414" w:id="408"/>
    <w:p>
      <w:pPr>
        <w:spacing w:after="0"/>
        <w:ind w:left="0"/>
        <w:jc w:val="both"/>
      </w:pPr>
      <w:r>
        <w:rPr>
          <w:rFonts w:ascii="Times New Roman"/>
          <w:b w:val="false"/>
          <w:i w:val="false"/>
          <w:color w:val="000000"/>
          <w:sz w:val="28"/>
        </w:rPr>
        <w:t xml:space="preserve">
      Проектная архитектурно-планировочная организация территории города Туркестана выполнена с учетом сложившейся функционально-планировочной структуры города и разработана на основе комплексной оценки территории и сложившегося транспортно-планировочного каркаса. </w:t>
      </w:r>
    </w:p>
    <w:bookmarkEnd w:id="408"/>
    <w:bookmarkStart w:name="z415" w:id="409"/>
    <w:p>
      <w:pPr>
        <w:spacing w:after="0"/>
        <w:ind w:left="0"/>
        <w:jc w:val="both"/>
      </w:pPr>
      <w:r>
        <w:rPr>
          <w:rFonts w:ascii="Times New Roman"/>
          <w:b w:val="false"/>
          <w:i w:val="false"/>
          <w:color w:val="000000"/>
          <w:sz w:val="28"/>
        </w:rPr>
        <w:t xml:space="preserve">
      При планировке необходимо исходить из сохранения основ исторически сложившегося города, но с коренной перепланировкой его путем решительного упорядочения сети городских улиц и площадей, разуплотнения и правильной организации жилых кварталов, озеленения, создания здоровых условий жизни населения. </w:t>
      </w:r>
    </w:p>
    <w:bookmarkEnd w:id="409"/>
    <w:bookmarkStart w:name="z416" w:id="410"/>
    <w:p>
      <w:pPr>
        <w:spacing w:after="0"/>
        <w:ind w:left="0"/>
        <w:jc w:val="both"/>
      </w:pPr>
      <w:r>
        <w:rPr>
          <w:rFonts w:ascii="Times New Roman"/>
          <w:b w:val="false"/>
          <w:i w:val="false"/>
          <w:color w:val="000000"/>
          <w:sz w:val="28"/>
        </w:rPr>
        <w:t>
      Генеральным планом предусмотрен ряд мероприятий: существующие жилые районы подверглись коренной реконструкции с укрупнением мелких жилых кварталов, улучшилась сеть магистральных улиц с расширением существующих узких улиц и пробивкой новых магистралей, промышленные предприятия, расположенные в жилых зонах, вредные по своему производственному профилю или мешающие развитию города вынесены за пределы жилой застройки или подверглись реновации, также осуществляется строительство новых жилых и общественных зданий.</w:t>
      </w:r>
    </w:p>
    <w:bookmarkEnd w:id="410"/>
    <w:bookmarkStart w:name="z417" w:id="411"/>
    <w:p>
      <w:pPr>
        <w:spacing w:after="0"/>
        <w:ind w:left="0"/>
        <w:jc w:val="both"/>
      </w:pPr>
      <w:r>
        <w:rPr>
          <w:rFonts w:ascii="Times New Roman"/>
          <w:b w:val="false"/>
          <w:i w:val="false"/>
          <w:color w:val="000000"/>
          <w:sz w:val="28"/>
        </w:rPr>
        <w:t xml:space="preserve">
      Предложения по формированию архитектурного облика города разработаны с учетом природно-климатических особенностей, сложившихся и предлагаемых градостроительных узлов, современных архитектурных тенденций. </w:t>
      </w:r>
    </w:p>
    <w:bookmarkEnd w:id="411"/>
    <w:bookmarkStart w:name="z418" w:id="412"/>
    <w:p>
      <w:pPr>
        <w:spacing w:after="0"/>
        <w:ind w:left="0"/>
        <w:jc w:val="both"/>
      </w:pPr>
      <w:r>
        <w:rPr>
          <w:rFonts w:ascii="Times New Roman"/>
          <w:b w:val="false"/>
          <w:i w:val="false"/>
          <w:color w:val="000000"/>
          <w:sz w:val="28"/>
        </w:rPr>
        <w:t>
      Организующей основой городского пространства является природно-ландшафтный и урбанизированный каркас территории города.</w:t>
      </w:r>
    </w:p>
    <w:bookmarkEnd w:id="412"/>
    <w:bookmarkStart w:name="z419" w:id="413"/>
    <w:p>
      <w:pPr>
        <w:spacing w:after="0"/>
        <w:ind w:left="0"/>
        <w:jc w:val="both"/>
      </w:pPr>
      <w:r>
        <w:rPr>
          <w:rFonts w:ascii="Times New Roman"/>
          <w:b w:val="false"/>
          <w:i w:val="false"/>
          <w:color w:val="000000"/>
          <w:sz w:val="28"/>
        </w:rPr>
        <w:t xml:space="preserve">
      Архитектурно-планировочная структура построена на основе исторической преемственности, совершенствования радиально-кольцевой планировки города, взаимосвязанного развития городского и внешнего планировочных каркасов на всех направлениях региональной, национальной и межгосударственной систем расселения. </w:t>
      </w:r>
    </w:p>
    <w:bookmarkEnd w:id="413"/>
    <w:bookmarkStart w:name="z420" w:id="414"/>
    <w:p>
      <w:pPr>
        <w:spacing w:after="0"/>
        <w:ind w:left="0"/>
        <w:jc w:val="both"/>
      </w:pPr>
      <w:r>
        <w:rPr>
          <w:rFonts w:ascii="Times New Roman"/>
          <w:b w:val="false"/>
          <w:i w:val="false"/>
          <w:color w:val="000000"/>
          <w:sz w:val="28"/>
        </w:rPr>
        <w:t xml:space="preserve">
      Урбанизированный каркас формируется историческим ядром, административно-деловым центром, транспортными магистралями, главными улицами, полицентрами, градостроительными узлами и примагистральными территориями. </w:t>
      </w:r>
    </w:p>
    <w:bookmarkEnd w:id="414"/>
    <w:bookmarkStart w:name="z421" w:id="415"/>
    <w:p>
      <w:pPr>
        <w:spacing w:after="0"/>
        <w:ind w:left="0"/>
        <w:jc w:val="both"/>
      </w:pPr>
      <w:r>
        <w:rPr>
          <w:rFonts w:ascii="Times New Roman"/>
          <w:b w:val="false"/>
          <w:i w:val="false"/>
          <w:color w:val="000000"/>
          <w:sz w:val="28"/>
        </w:rPr>
        <w:t xml:space="preserve">
      Предусмотрено равномерное развитие города вокруг сложившейся части; на прогнозируемый срок - в северном направлении, в сторону города Кентау; в южном направлении - вдоль Шауелдирской трассы. Основным принципом планировочной структуры является видовая точка - Мавзолея Ходжа Ахмеда Ясауи, которая должна быть видна со всех сторон города. </w:t>
      </w:r>
    </w:p>
    <w:bookmarkEnd w:id="415"/>
    <w:bookmarkStart w:name="z422" w:id="416"/>
    <w:p>
      <w:pPr>
        <w:spacing w:after="0"/>
        <w:ind w:left="0"/>
        <w:jc w:val="both"/>
      </w:pPr>
      <w:r>
        <w:rPr>
          <w:rFonts w:ascii="Times New Roman"/>
          <w:b w:val="false"/>
          <w:i w:val="false"/>
          <w:color w:val="000000"/>
          <w:sz w:val="28"/>
        </w:rPr>
        <w:t>
      Священный город Туркестан является одним из самых важных исторических и культурных центров не только Казахстана, но и всей Центральной Азии. Город являлся важной торговой точкой на Великом шелковом пути, был столицей Казахского ханства и по сей день является духовным центром тюркского мира. Мавзолей великого суфи Ходжа Ахмеда Ясауи - главная достопримечательность города, место захоронения великих людей Казахского ханства, правителей, биев и батыров кочевого народа, также входит в список Всемирного наследия ЮНЕСКО.</w:t>
      </w:r>
    </w:p>
    <w:bookmarkEnd w:id="416"/>
    <w:bookmarkStart w:name="z423" w:id="417"/>
    <w:p>
      <w:pPr>
        <w:spacing w:after="0"/>
        <w:ind w:left="0"/>
        <w:jc w:val="both"/>
      </w:pPr>
      <w:r>
        <w:rPr>
          <w:rFonts w:ascii="Times New Roman"/>
          <w:b w:val="false"/>
          <w:i w:val="false"/>
          <w:color w:val="000000"/>
          <w:sz w:val="28"/>
        </w:rPr>
        <w:t>
      Мавзолей Ходжа Ахмеда Ясауи и его охранная зона, предусматривающая регенерацию и возрождение исторической планировки, прилегающей к мавзолею территорий. Повышение общественной значимости исторического центра предусматривается посредством проведения научно-обоснованных реставрационных работ на архитектурных памятниках, восстановления морфологических основ планировки и застройки, воссоздания утраченных элементов исторического благоустройства и ландшафта.</w:t>
      </w:r>
    </w:p>
    <w:bookmarkEnd w:id="417"/>
    <w:bookmarkStart w:name="z424" w:id="418"/>
    <w:p>
      <w:pPr>
        <w:spacing w:after="0"/>
        <w:ind w:left="0"/>
        <w:jc w:val="both"/>
      </w:pPr>
      <w:r>
        <w:rPr>
          <w:rFonts w:ascii="Times New Roman"/>
          <w:b w:val="false"/>
          <w:i w:val="false"/>
          <w:color w:val="000000"/>
          <w:sz w:val="28"/>
        </w:rPr>
        <w:t>
      Площадь территории мавзолея, которая находится под охраной ЮНЕСКО, составляет 88,7 га. Охранная зона от территории комплекса составляет 100 метров. Высота строительных объектов на этой территории не должна превышать 7 метров.</w:t>
      </w:r>
    </w:p>
    <w:bookmarkEnd w:id="418"/>
    <w:bookmarkStart w:name="z425" w:id="419"/>
    <w:p>
      <w:pPr>
        <w:spacing w:after="0"/>
        <w:ind w:left="0"/>
        <w:jc w:val="both"/>
      </w:pPr>
      <w:r>
        <w:rPr>
          <w:rFonts w:ascii="Times New Roman"/>
          <w:b w:val="false"/>
          <w:i w:val="false"/>
          <w:color w:val="000000"/>
          <w:sz w:val="28"/>
        </w:rPr>
        <w:t>
      Также по рекомендациям ЮНЕСКО определена зона регулирования застройки вокруг мавзолея, которая не должна закрывать 12 точек визуального раскрытия мавзолея.</w:t>
      </w:r>
    </w:p>
    <w:bookmarkEnd w:id="419"/>
    <w:bookmarkStart w:name="z426" w:id="420"/>
    <w:p>
      <w:pPr>
        <w:spacing w:after="0"/>
        <w:ind w:left="0"/>
        <w:jc w:val="both"/>
      </w:pPr>
      <w:r>
        <w:rPr>
          <w:rFonts w:ascii="Times New Roman"/>
          <w:b w:val="false"/>
          <w:i w:val="false"/>
          <w:color w:val="000000"/>
          <w:sz w:val="28"/>
        </w:rPr>
        <w:t>
      Генеральным планом все объекты историко-культурного наследия сохраняются.</w:t>
      </w:r>
    </w:p>
    <w:bookmarkEnd w:id="420"/>
    <w:bookmarkStart w:name="z427" w:id="421"/>
    <w:p>
      <w:pPr>
        <w:spacing w:after="0"/>
        <w:ind w:left="0"/>
        <w:jc w:val="both"/>
      </w:pPr>
      <w:r>
        <w:rPr>
          <w:rFonts w:ascii="Times New Roman"/>
          <w:b w:val="false"/>
          <w:i w:val="false"/>
          <w:color w:val="000000"/>
          <w:sz w:val="28"/>
        </w:rPr>
        <w:t>
      Сохранение культурного наследия окажет положительное влияние на развитие различных сфер городской экономики - строительство, реконструкцию и реставрацию, рынок недвижимости, туризм. Для этого элементы культурного наследия должны стать объектами особого внимания государственных и местных органов и быть включены в программы республиканского, областного и городского развития.</w:t>
      </w:r>
    </w:p>
    <w:bookmarkEnd w:id="421"/>
    <w:bookmarkStart w:name="z428" w:id="422"/>
    <w:p>
      <w:pPr>
        <w:spacing w:after="0"/>
        <w:ind w:left="0"/>
        <w:jc w:val="both"/>
      </w:pPr>
      <w:r>
        <w:rPr>
          <w:rFonts w:ascii="Times New Roman"/>
          <w:b w:val="false"/>
          <w:i w:val="false"/>
          <w:color w:val="000000"/>
          <w:sz w:val="28"/>
        </w:rPr>
        <w:t xml:space="preserve">
      Историко-административный центр, формирующий общественно-деловую подзону, является доминирующим элементом в планировочной структуре, где сходятся все его транспортные магистрали, которые являются главными композиционными осями плана города. </w:t>
      </w:r>
    </w:p>
    <w:bookmarkEnd w:id="422"/>
    <w:bookmarkStart w:name="z429" w:id="423"/>
    <w:p>
      <w:pPr>
        <w:spacing w:after="0"/>
        <w:ind w:left="0"/>
        <w:jc w:val="both"/>
      </w:pPr>
      <w:r>
        <w:rPr>
          <w:rFonts w:ascii="Times New Roman"/>
          <w:b w:val="false"/>
          <w:i w:val="false"/>
          <w:color w:val="000000"/>
          <w:sz w:val="28"/>
        </w:rPr>
        <w:t>
      В комплексе вся территория центрального исторического ядра предоставлена пешеходу. Вокруг центрального ядра размещены учреждения и устройства массового кратковременного и длительного отдыха и для посещения туристов и паломников. Сюда относятся: гостиницы, мотели, кафе, рестораны, рынки, административные учреждения, а также открытые автостоянки.</w:t>
      </w:r>
    </w:p>
    <w:bookmarkEnd w:id="423"/>
    <w:bookmarkStart w:name="z430" w:id="424"/>
    <w:p>
      <w:pPr>
        <w:spacing w:after="0"/>
        <w:ind w:left="0"/>
        <w:jc w:val="both"/>
      </w:pPr>
      <w:r>
        <w:rPr>
          <w:rFonts w:ascii="Times New Roman"/>
          <w:b w:val="false"/>
          <w:i w:val="false"/>
          <w:color w:val="000000"/>
          <w:sz w:val="28"/>
        </w:rPr>
        <w:t xml:space="preserve">
      Новые жилые зоны размещены вдоль основных магистральных и районных улиц, а также в северо-восточном направлении города, восточнее трассы Туркестан - Кентау, этажность зданий от малоэтажной до 5-7 этажей. </w:t>
      </w:r>
    </w:p>
    <w:bookmarkEnd w:id="424"/>
    <w:bookmarkStart w:name="z431" w:id="425"/>
    <w:p>
      <w:pPr>
        <w:spacing w:after="0"/>
        <w:ind w:left="0"/>
        <w:jc w:val="both"/>
      </w:pPr>
      <w:r>
        <w:rPr>
          <w:rFonts w:ascii="Times New Roman"/>
          <w:b w:val="false"/>
          <w:i w:val="false"/>
          <w:color w:val="000000"/>
          <w:sz w:val="28"/>
        </w:rPr>
        <w:t>
      Высотность застройки формируется по принципу повышения этажности зданий от центральной части к периферии города.</w:t>
      </w:r>
    </w:p>
    <w:bookmarkEnd w:id="425"/>
    <w:bookmarkStart w:name="z432" w:id="426"/>
    <w:p>
      <w:pPr>
        <w:spacing w:after="0"/>
        <w:ind w:left="0"/>
        <w:jc w:val="both"/>
      </w:pPr>
      <w:r>
        <w:rPr>
          <w:rFonts w:ascii="Times New Roman"/>
          <w:b w:val="false"/>
          <w:i w:val="false"/>
          <w:color w:val="000000"/>
          <w:sz w:val="28"/>
        </w:rPr>
        <w:t xml:space="preserve">
      Проектируемые новые жилые районы гармонично включаются в общий комплекс города. Жилые районы связаны магистральными улицами с общегородскими и районными центрами, железнодорожным вокзалом, автовокзалами, парками и промышленными районами. </w:t>
      </w:r>
    </w:p>
    <w:bookmarkEnd w:id="426"/>
    <w:bookmarkStart w:name="z433" w:id="427"/>
    <w:p>
      <w:pPr>
        <w:spacing w:after="0"/>
        <w:ind w:left="0"/>
        <w:jc w:val="both"/>
      </w:pPr>
      <w:r>
        <w:rPr>
          <w:rFonts w:ascii="Times New Roman"/>
          <w:b w:val="false"/>
          <w:i w:val="false"/>
          <w:color w:val="000000"/>
          <w:sz w:val="28"/>
        </w:rPr>
        <w:t>
      Развитие административно-делового центра предусматривается в восточном направлении, севернее магистрали Туркестан - Шымкент. С момента утверждения действующего Генерального плана территория административно-делового центра (АДЦ) освоена более чем на 60 процентов. Генеральным планом предлагается дальнейшее развитие АДЦ (площадь 640 га). На данных территориях предлагаются комфортная многоэтажная жилая застройка с объектами социального и общественного назначения, вип-городок, аквапарк, диснейленд, зона активного отдыха вокруг гребного канала и гольф-клуб.</w:t>
      </w:r>
    </w:p>
    <w:bookmarkEnd w:id="427"/>
    <w:bookmarkStart w:name="z434" w:id="428"/>
    <w:p>
      <w:pPr>
        <w:spacing w:after="0"/>
        <w:ind w:left="0"/>
        <w:jc w:val="both"/>
      </w:pPr>
      <w:r>
        <w:rPr>
          <w:rFonts w:ascii="Times New Roman"/>
          <w:b w:val="false"/>
          <w:i w:val="false"/>
          <w:color w:val="000000"/>
          <w:sz w:val="28"/>
        </w:rPr>
        <w:t xml:space="preserve">
      Развитие города предполагается также на свободных от застройки территориях в южной части города в сторону Шауелдирской трассы (площадь 1500 гектар). </w:t>
      </w:r>
    </w:p>
    <w:bookmarkEnd w:id="428"/>
    <w:bookmarkStart w:name="z435" w:id="429"/>
    <w:p>
      <w:pPr>
        <w:spacing w:after="0"/>
        <w:ind w:left="0"/>
        <w:jc w:val="both"/>
      </w:pPr>
      <w:r>
        <w:rPr>
          <w:rFonts w:ascii="Times New Roman"/>
          <w:b w:val="false"/>
          <w:i w:val="false"/>
          <w:color w:val="000000"/>
          <w:sz w:val="28"/>
        </w:rPr>
        <w:t>
      Здесь предлагаются развитие объектов туризма вокруг мавзолея Гаухар-ана, а также создание центра национальных видов спорта в районе ипподрома, размещение нового железнодорожного вокзала, автовокзала и комплекса логистических объектов. Предусмотрена каскадная жилая застройка от 2 до 7-9 этажей с размещением акцентных точек до 12 и выше этажей.</w:t>
      </w:r>
    </w:p>
    <w:bookmarkEnd w:id="429"/>
    <w:bookmarkStart w:name="z436" w:id="430"/>
    <w:p>
      <w:pPr>
        <w:spacing w:after="0"/>
        <w:ind w:left="0"/>
        <w:jc w:val="both"/>
      </w:pPr>
      <w:r>
        <w:rPr>
          <w:rFonts w:ascii="Times New Roman"/>
          <w:b w:val="false"/>
          <w:i w:val="false"/>
          <w:color w:val="000000"/>
          <w:sz w:val="28"/>
        </w:rPr>
        <w:t>
      Дальнейший рост города сопровождается развитием примагистральных въездных территорий, обеспечением системы "полицентричности".</w:t>
      </w:r>
    </w:p>
    <w:bookmarkEnd w:id="430"/>
    <w:bookmarkStart w:name="z437" w:id="431"/>
    <w:p>
      <w:pPr>
        <w:spacing w:after="0"/>
        <w:ind w:left="0"/>
        <w:jc w:val="both"/>
      </w:pPr>
      <w:r>
        <w:rPr>
          <w:rFonts w:ascii="Times New Roman"/>
          <w:b w:val="false"/>
          <w:i w:val="false"/>
          <w:color w:val="000000"/>
          <w:sz w:val="28"/>
        </w:rPr>
        <w:t xml:space="preserve">
      Залог успеха формирования полицентричного города заключается в создании комфортных жилищных условий и соответствующих возможностей для работы, образования и отдыха в каждом районе города. </w:t>
      </w:r>
    </w:p>
    <w:bookmarkEnd w:id="431"/>
    <w:bookmarkStart w:name="z438" w:id="432"/>
    <w:p>
      <w:pPr>
        <w:spacing w:after="0"/>
        <w:ind w:left="0"/>
        <w:jc w:val="both"/>
      </w:pPr>
      <w:r>
        <w:rPr>
          <w:rFonts w:ascii="Times New Roman"/>
          <w:b w:val="false"/>
          <w:i w:val="false"/>
          <w:color w:val="000000"/>
          <w:sz w:val="28"/>
        </w:rPr>
        <w:t>
      Планируется создание шести общественных центров в каждом примагистральном районе городе. Общественный центр - место, где люди будут иметь место для работы, культурного отдыха, торговые центры, парковые территории, зоны активного отдыха и транспортную связь с остальными частями города.</w:t>
      </w:r>
    </w:p>
    <w:bookmarkEnd w:id="432"/>
    <w:bookmarkStart w:name="z439" w:id="433"/>
    <w:p>
      <w:pPr>
        <w:spacing w:after="0"/>
        <w:ind w:left="0"/>
        <w:jc w:val="both"/>
      </w:pPr>
      <w:r>
        <w:rPr>
          <w:rFonts w:ascii="Times New Roman"/>
          <w:b w:val="false"/>
          <w:i w:val="false"/>
          <w:color w:val="000000"/>
          <w:sz w:val="28"/>
        </w:rPr>
        <w:t>
      С развитием города возникла необходимость в изменениях в его градостроительном планировании. Наиболее важным в застройке города является проблема промышленных зон, которые находятся в центре города. Реновация промышленных территорий позволит создать более комфортную городскую среду, развить социальную инфраструктуру и удобное общественное пространство.</w:t>
      </w:r>
    </w:p>
    <w:bookmarkEnd w:id="433"/>
    <w:bookmarkStart w:name="z440" w:id="434"/>
    <w:p>
      <w:pPr>
        <w:spacing w:after="0"/>
        <w:ind w:left="0"/>
        <w:jc w:val="both"/>
      </w:pPr>
      <w:r>
        <w:rPr>
          <w:rFonts w:ascii="Times New Roman"/>
          <w:b w:val="false"/>
          <w:i w:val="false"/>
          <w:color w:val="000000"/>
          <w:sz w:val="28"/>
        </w:rPr>
        <w:t>
      На существующих производственных территориях осуществляется изменение их функциональной роли под объекты жилищно-гражданского назначения с предоставлением аналогичной по площади территории в проектируемой промышленной зоне в западной части города.</w:t>
      </w:r>
    </w:p>
    <w:bookmarkEnd w:id="434"/>
    <w:bookmarkStart w:name="z441" w:id="435"/>
    <w:p>
      <w:pPr>
        <w:spacing w:after="0"/>
        <w:ind w:left="0"/>
        <w:jc w:val="both"/>
      </w:pPr>
      <w:r>
        <w:rPr>
          <w:rFonts w:ascii="Times New Roman"/>
          <w:b w:val="false"/>
          <w:i w:val="false"/>
          <w:color w:val="000000"/>
          <w:sz w:val="28"/>
        </w:rPr>
        <w:t>
      Вынос и реновация предприятий, расположенных среди жилой застройки в разных частях города, на новую проектируемую территорию создадут благоприятные экологические условия на селитебной территории.</w:t>
      </w:r>
    </w:p>
    <w:bookmarkEnd w:id="435"/>
    <w:bookmarkStart w:name="z442" w:id="436"/>
    <w:p>
      <w:pPr>
        <w:spacing w:after="0"/>
        <w:ind w:left="0"/>
        <w:jc w:val="both"/>
      </w:pPr>
      <w:r>
        <w:rPr>
          <w:rFonts w:ascii="Times New Roman"/>
          <w:b w:val="false"/>
          <w:i w:val="false"/>
          <w:color w:val="000000"/>
          <w:sz w:val="28"/>
        </w:rPr>
        <w:t>
      Учитывая преобладание господствующих ветров восточного и северо-восточного направления, предусмотрены размещение новых и вынос старых производственных объектов в западную и юго-западную части города на свободные от застройки территории.</w:t>
      </w:r>
    </w:p>
    <w:bookmarkEnd w:id="436"/>
    <w:bookmarkStart w:name="z443" w:id="437"/>
    <w:p>
      <w:pPr>
        <w:spacing w:after="0"/>
        <w:ind w:left="0"/>
        <w:jc w:val="both"/>
      </w:pPr>
      <w:r>
        <w:rPr>
          <w:rFonts w:ascii="Times New Roman"/>
          <w:b w:val="false"/>
          <w:i w:val="false"/>
          <w:color w:val="000000"/>
          <w:sz w:val="28"/>
        </w:rPr>
        <w:t>
      Генеральным планом предлагается формирование целостной системы открытых общественных пространств, включающих непрерывную сеть пешеходного и велосипедного движения на всех городских улицах, площадях, бульварах, в парках и скверах, не допуская при этом нарушения исторической среды города.</w:t>
      </w:r>
    </w:p>
    <w:bookmarkEnd w:id="437"/>
    <w:bookmarkStart w:name="z444" w:id="438"/>
    <w:p>
      <w:pPr>
        <w:spacing w:after="0"/>
        <w:ind w:left="0"/>
        <w:jc w:val="both"/>
      </w:pPr>
      <w:r>
        <w:rPr>
          <w:rFonts w:ascii="Times New Roman"/>
          <w:b w:val="false"/>
          <w:i w:val="false"/>
          <w:color w:val="000000"/>
          <w:sz w:val="28"/>
        </w:rPr>
        <w:t>
      Также предусматривается создание большой парковой пешеходной аллеи от территории мавзолея Гаухар ана до мавзолея Ходжа Ахмеда Ясауи, а также прибрежной рекреационной зоны вдоль реки Карашык.</w:t>
      </w:r>
    </w:p>
    <w:bookmarkEnd w:id="438"/>
    <w:bookmarkStart w:name="z445" w:id="439"/>
    <w:p>
      <w:pPr>
        <w:spacing w:after="0"/>
        <w:ind w:left="0"/>
        <w:jc w:val="both"/>
      </w:pPr>
      <w:r>
        <w:rPr>
          <w:rFonts w:ascii="Times New Roman"/>
          <w:b w:val="false"/>
          <w:i w:val="false"/>
          <w:color w:val="000000"/>
          <w:sz w:val="28"/>
        </w:rPr>
        <w:t>
      Площадь территории города в утвержденных границах составляет 22 370 гектар.</w:t>
      </w:r>
    </w:p>
    <w:bookmarkEnd w:id="439"/>
    <w:bookmarkStart w:name="z446" w:id="440"/>
    <w:p>
      <w:pPr>
        <w:spacing w:after="0"/>
        <w:ind w:left="0"/>
        <w:jc w:val="both"/>
      </w:pPr>
      <w:r>
        <w:rPr>
          <w:rFonts w:ascii="Times New Roman"/>
          <w:b w:val="false"/>
          <w:i w:val="false"/>
          <w:color w:val="000000"/>
          <w:sz w:val="28"/>
        </w:rPr>
        <w:t>
      Площадь резервных территорий составляет 414 гектаров, в том числе:</w:t>
      </w:r>
    </w:p>
    <w:bookmarkEnd w:id="440"/>
    <w:bookmarkStart w:name="z447" w:id="441"/>
    <w:p>
      <w:pPr>
        <w:spacing w:after="0"/>
        <w:ind w:left="0"/>
        <w:jc w:val="both"/>
      </w:pPr>
      <w:r>
        <w:rPr>
          <w:rFonts w:ascii="Times New Roman"/>
          <w:b w:val="false"/>
          <w:i w:val="false"/>
          <w:color w:val="000000"/>
          <w:sz w:val="28"/>
        </w:rPr>
        <w:t>
      для развития селитебных территорий - 265 гектаров;</w:t>
      </w:r>
    </w:p>
    <w:bookmarkEnd w:id="441"/>
    <w:bookmarkStart w:name="z448" w:id="442"/>
    <w:p>
      <w:pPr>
        <w:spacing w:after="0"/>
        <w:ind w:left="0"/>
        <w:jc w:val="both"/>
      </w:pPr>
      <w:r>
        <w:rPr>
          <w:rFonts w:ascii="Times New Roman"/>
          <w:b w:val="false"/>
          <w:i w:val="false"/>
          <w:color w:val="000000"/>
          <w:sz w:val="28"/>
        </w:rPr>
        <w:t>
      для развития промышленно-производственных и коммунальных территорий - 111 гектаров;</w:t>
      </w:r>
    </w:p>
    <w:bookmarkEnd w:id="442"/>
    <w:bookmarkStart w:name="z449" w:id="443"/>
    <w:p>
      <w:pPr>
        <w:spacing w:after="0"/>
        <w:ind w:left="0"/>
        <w:jc w:val="both"/>
      </w:pPr>
      <w:r>
        <w:rPr>
          <w:rFonts w:ascii="Times New Roman"/>
          <w:b w:val="false"/>
          <w:i w:val="false"/>
          <w:color w:val="000000"/>
          <w:sz w:val="28"/>
        </w:rPr>
        <w:t>
      для организации рекреационных и иных зон - 38 гектаров.</w:t>
      </w:r>
    </w:p>
    <w:bookmarkEnd w:id="443"/>
    <w:bookmarkStart w:name="z450" w:id="444"/>
    <w:p>
      <w:pPr>
        <w:spacing w:after="0"/>
        <w:ind w:left="0"/>
        <w:jc w:val="both"/>
      </w:pPr>
      <w:r>
        <w:rPr>
          <w:rFonts w:ascii="Times New Roman"/>
          <w:b w:val="false"/>
          <w:i w:val="false"/>
          <w:color w:val="000000"/>
          <w:sz w:val="28"/>
        </w:rPr>
        <w:t>
      Площадь территорий перспективного изъятия земельных участков составляет 4030 гектаров, в том числе для государственных нужд - 215 гектаров.</w:t>
      </w:r>
    </w:p>
    <w:bookmarkEnd w:id="444"/>
    <w:bookmarkStart w:name="z451" w:id="445"/>
    <w:p>
      <w:pPr>
        <w:spacing w:after="0"/>
        <w:ind w:left="0"/>
        <w:jc w:val="both"/>
      </w:pPr>
      <w:r>
        <w:rPr>
          <w:rFonts w:ascii="Times New Roman"/>
          <w:b w:val="false"/>
          <w:i w:val="false"/>
          <w:color w:val="000000"/>
          <w:sz w:val="28"/>
        </w:rPr>
        <w:t>
      Планировочная организация и размещение зон рекреационно-туристической деятельности</w:t>
      </w:r>
    </w:p>
    <w:bookmarkEnd w:id="445"/>
    <w:bookmarkStart w:name="z452" w:id="446"/>
    <w:p>
      <w:pPr>
        <w:spacing w:after="0"/>
        <w:ind w:left="0"/>
        <w:jc w:val="both"/>
      </w:pPr>
      <w:r>
        <w:rPr>
          <w:rFonts w:ascii="Times New Roman"/>
          <w:b w:val="false"/>
          <w:i w:val="false"/>
          <w:color w:val="000000"/>
          <w:sz w:val="28"/>
        </w:rPr>
        <w:t xml:space="preserve">
      Генеральным планом предусматривается создание единой системы рекреационных "зеленых" зон, охватывающей территорию города и южную часть пригородной зоны до реки Сырдарьи; с северной стороны рекреационные зоны формируются по ущельям, без перекрытия горных хребтов. </w:t>
      </w:r>
    </w:p>
    <w:bookmarkEnd w:id="446"/>
    <w:bookmarkStart w:name="z453" w:id="447"/>
    <w:p>
      <w:pPr>
        <w:spacing w:after="0"/>
        <w:ind w:left="0"/>
        <w:jc w:val="both"/>
      </w:pPr>
      <w:r>
        <w:rPr>
          <w:rFonts w:ascii="Times New Roman"/>
          <w:b w:val="false"/>
          <w:i w:val="false"/>
          <w:color w:val="000000"/>
          <w:sz w:val="28"/>
        </w:rPr>
        <w:t xml:space="preserve">
      Рекреационная зона предназначена для организации отдыха населения города. Сложные природно-климатические условия проектируемого района, характеризуемые жарким и продолжительным летом, пустынным и полупустынным ландшафтом, усложняют организацию в полном объеме рекреационной деятельности. Генеральным планом предлагается максимальное использование имеющихся благоприятных природных факторов на территории города и прилегающих к нему районах. </w:t>
      </w:r>
    </w:p>
    <w:bookmarkEnd w:id="447"/>
    <w:bookmarkStart w:name="z454" w:id="448"/>
    <w:p>
      <w:pPr>
        <w:spacing w:after="0"/>
        <w:ind w:left="0"/>
        <w:jc w:val="both"/>
      </w:pPr>
      <w:r>
        <w:rPr>
          <w:rFonts w:ascii="Times New Roman"/>
          <w:b w:val="false"/>
          <w:i w:val="false"/>
          <w:color w:val="000000"/>
          <w:sz w:val="28"/>
        </w:rPr>
        <w:t>
      На территории города Туркестана протекает одна речная система - река Карашик, для которой установлены водоохранная зона и водоохранная полоса (ширина водоохранной зоны - 500 м, ширина водоохранной полосы - 35 м).</w:t>
      </w:r>
    </w:p>
    <w:bookmarkEnd w:id="448"/>
    <w:bookmarkStart w:name="z455" w:id="449"/>
    <w:p>
      <w:pPr>
        <w:spacing w:after="0"/>
        <w:ind w:left="0"/>
        <w:jc w:val="both"/>
      </w:pPr>
      <w:r>
        <w:rPr>
          <w:rFonts w:ascii="Times New Roman"/>
          <w:b w:val="false"/>
          <w:i w:val="false"/>
          <w:color w:val="000000"/>
          <w:sz w:val="28"/>
        </w:rPr>
        <w:t>
      В пределах городской черты размещаются следующие объекты кратковременного отдыха: дендрологический парк, ботанический сад, городской парк и парки жилых массивов, скверы, бульвары, аквапарк, объекты ландшафтной архитектуры и объекты туризма.</w:t>
      </w:r>
    </w:p>
    <w:bookmarkEnd w:id="449"/>
    <w:bookmarkStart w:name="z456" w:id="450"/>
    <w:p>
      <w:pPr>
        <w:spacing w:after="0"/>
        <w:ind w:left="0"/>
        <w:jc w:val="both"/>
      </w:pPr>
      <w:r>
        <w:rPr>
          <w:rFonts w:ascii="Times New Roman"/>
          <w:b w:val="false"/>
          <w:i w:val="false"/>
          <w:color w:val="000000"/>
          <w:sz w:val="28"/>
        </w:rPr>
        <w:t xml:space="preserve">
      В южном направлении от исторического центра предусмотрена территория рекреационного назначения, раскрывающая историческую панораму города в направлении рекреационной пойменной территории реки Сырдарья. </w:t>
      </w:r>
    </w:p>
    <w:bookmarkEnd w:id="450"/>
    <w:bookmarkStart w:name="z457" w:id="451"/>
    <w:p>
      <w:pPr>
        <w:spacing w:after="0"/>
        <w:ind w:left="0"/>
        <w:jc w:val="both"/>
      </w:pPr>
      <w:r>
        <w:rPr>
          <w:rFonts w:ascii="Times New Roman"/>
          <w:b w:val="false"/>
          <w:i w:val="false"/>
          <w:color w:val="000000"/>
          <w:sz w:val="28"/>
        </w:rPr>
        <w:t xml:space="preserve">
      В северо-западном направлении вдоль городской автомагистрали, предусмотрена рекреационная зона, обеспечивающая рекреационную связь центральной части города с пойменными территориями реки Карашык. </w:t>
      </w:r>
    </w:p>
    <w:bookmarkEnd w:id="451"/>
    <w:bookmarkStart w:name="z458" w:id="452"/>
    <w:p>
      <w:pPr>
        <w:spacing w:after="0"/>
        <w:ind w:left="0"/>
        <w:jc w:val="both"/>
      </w:pPr>
      <w:r>
        <w:rPr>
          <w:rFonts w:ascii="Times New Roman"/>
          <w:b w:val="false"/>
          <w:i w:val="false"/>
          <w:color w:val="000000"/>
          <w:sz w:val="28"/>
        </w:rPr>
        <w:t xml:space="preserve">
      Кроме этого, по периферийным частям города в радиальном направлении предусмотрены парки, являющиеся объектами кратковременного отдыха населения жилых массивов. Также в северной части города вдоль канала Арысь-Туркестан организовывается широкая озелененная полоса для размещения объектов общественного назначения, в том числе и рекреационного. </w:t>
      </w:r>
    </w:p>
    <w:bookmarkEnd w:id="452"/>
    <w:bookmarkStart w:name="z459" w:id="453"/>
    <w:p>
      <w:pPr>
        <w:spacing w:after="0"/>
        <w:ind w:left="0"/>
        <w:jc w:val="both"/>
      </w:pPr>
      <w:r>
        <w:rPr>
          <w:rFonts w:ascii="Times New Roman"/>
          <w:b w:val="false"/>
          <w:i w:val="false"/>
          <w:color w:val="000000"/>
          <w:sz w:val="28"/>
        </w:rPr>
        <w:t>
      В пригородной зоне предлагается разместить объекты рекреационного назначения всех видов длительного, смешанного и кратковременного отдыха. Основными объектами и зонами рекреационной деятельности в пригородной зоне являются река Сырдарья, ее притоки и мелкие озера, образовавшиеся в пойменных территориях, река Карашык, мелкие ручьи. Из искусственных водных объектов для рекреационной деятельности используются Арысь-Туркестанский канал и прилегающие прибрежные территории. В северном направлении для размещения объектов рекреационного назначения благоприятны предгорные и горные склоны Каратауского хребта, в особенности русла речек, берущих здесь начало, и территория лесного хозяйства.</w:t>
      </w:r>
    </w:p>
    <w:bookmarkEnd w:id="453"/>
    <w:bookmarkStart w:name="z460" w:id="454"/>
    <w:p>
      <w:pPr>
        <w:spacing w:after="0"/>
        <w:ind w:left="0"/>
        <w:jc w:val="both"/>
      </w:pPr>
      <w:r>
        <w:rPr>
          <w:rFonts w:ascii="Times New Roman"/>
          <w:b w:val="false"/>
          <w:i w:val="false"/>
          <w:color w:val="000000"/>
          <w:sz w:val="28"/>
        </w:rPr>
        <w:t xml:space="preserve">
      Из объектов смешанного отдыха на живописных участках автомобильных трасс предлагается строительство мотелей, кемпингов, летних палаточных лагерей для автотуристов. </w:t>
      </w:r>
    </w:p>
    <w:bookmarkEnd w:id="454"/>
    <w:bookmarkStart w:name="z461" w:id="455"/>
    <w:p>
      <w:pPr>
        <w:spacing w:after="0"/>
        <w:ind w:left="0"/>
        <w:jc w:val="both"/>
      </w:pPr>
      <w:r>
        <w:rPr>
          <w:rFonts w:ascii="Times New Roman"/>
          <w:b w:val="false"/>
          <w:i w:val="false"/>
          <w:color w:val="000000"/>
          <w:sz w:val="28"/>
        </w:rPr>
        <w:t>
      Живописные урочища хребта Каратау рекомендуются для размещения объектов длительного отдыха.</w:t>
      </w:r>
    </w:p>
    <w:bookmarkEnd w:id="455"/>
    <w:bookmarkStart w:name="z462" w:id="456"/>
    <w:p>
      <w:pPr>
        <w:spacing w:after="0"/>
        <w:ind w:left="0"/>
        <w:jc w:val="both"/>
      </w:pPr>
      <w:r>
        <w:rPr>
          <w:rFonts w:ascii="Times New Roman"/>
          <w:b w:val="false"/>
          <w:i w:val="false"/>
          <w:color w:val="000000"/>
          <w:sz w:val="28"/>
        </w:rPr>
        <w:t>
      При разработке планировок туристических зон необходимо уделять особое внимание сохранению природных богатств проектируемого района, его ландшафтных качеств. Это очень важно, так как вторжение человека в природу при неосмотрительном, бездумном отношении к ней часто приводит к непоправимым нарушениям ее ценных свойств.</w:t>
      </w:r>
    </w:p>
    <w:bookmarkEnd w:id="456"/>
    <w:bookmarkStart w:name="z463" w:id="457"/>
    <w:p>
      <w:pPr>
        <w:spacing w:after="0"/>
        <w:ind w:left="0"/>
        <w:jc w:val="both"/>
      </w:pPr>
      <w:r>
        <w:rPr>
          <w:rFonts w:ascii="Times New Roman"/>
          <w:b w:val="false"/>
          <w:i w:val="false"/>
          <w:color w:val="000000"/>
          <w:sz w:val="28"/>
        </w:rPr>
        <w:t>
      Меры по охране водных объектов от загрязнения, засорения и истощения</w:t>
      </w:r>
    </w:p>
    <w:bookmarkEnd w:id="457"/>
    <w:bookmarkStart w:name="z464" w:id="458"/>
    <w:p>
      <w:pPr>
        <w:spacing w:after="0"/>
        <w:ind w:left="0"/>
        <w:jc w:val="both"/>
      </w:pPr>
      <w:r>
        <w:rPr>
          <w:rFonts w:ascii="Times New Roman"/>
          <w:b w:val="false"/>
          <w:i w:val="false"/>
          <w:color w:val="000000"/>
          <w:sz w:val="28"/>
        </w:rPr>
        <w:t>
      Генеральным планом предусматривается комплекс мероприятий по охране водных объектов, разработанный в соответствии с требованиями Водного кодекса Республики Казахстан, Экологического кодекса Республики Казахстан и действующих санитарных и строительных норм.</w:t>
      </w:r>
    </w:p>
    <w:bookmarkEnd w:id="458"/>
    <w:bookmarkStart w:name="z465" w:id="45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Водного кодекса Республики Казахстан водные объекты подлежат охране от загрязнения, засорения и истощения с целью предотвращения ухудшения их экологического состояния и обеспечения устойчивости водных экосистем.</w:t>
      </w:r>
    </w:p>
    <w:bookmarkEnd w:id="459"/>
    <w:bookmarkStart w:name="z466" w:id="460"/>
    <w:p>
      <w:pPr>
        <w:spacing w:after="0"/>
        <w:ind w:left="0"/>
        <w:jc w:val="both"/>
      </w:pPr>
      <w:r>
        <w:rPr>
          <w:rFonts w:ascii="Times New Roman"/>
          <w:b w:val="false"/>
          <w:i w:val="false"/>
          <w:color w:val="000000"/>
          <w:sz w:val="28"/>
        </w:rPr>
        <w:t>
      Охрана водных объектов обеспечивается путем соблюдения режима хозяйственной деятельности, установления водоохранных зон и прибрежных защитных полос, а также реализации инженерных и организационных мероприятий (статьи 75, 85, 86 Водного кодекса Республики Казахстан).</w:t>
      </w:r>
    </w:p>
    <w:bookmarkEnd w:id="460"/>
    <w:bookmarkStart w:name="z467" w:id="46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Водного кодекса Республики Казахстан сброс сточных вод в водные объекты допускается только при наличии разрешения на специальное водопользование и при условии их очистки до нормативных показателей.</w:t>
      </w:r>
    </w:p>
    <w:bookmarkEnd w:id="461"/>
    <w:bookmarkStart w:name="z468" w:id="462"/>
    <w:p>
      <w:pPr>
        <w:spacing w:after="0"/>
        <w:ind w:left="0"/>
        <w:jc w:val="both"/>
      </w:pPr>
      <w:r>
        <w:rPr>
          <w:rFonts w:ascii="Times New Roman"/>
          <w:b w:val="false"/>
          <w:i w:val="false"/>
          <w:color w:val="000000"/>
          <w:sz w:val="28"/>
        </w:rPr>
        <w:t>
      Генеральным планом предусматриваются:</w:t>
      </w:r>
    </w:p>
    <w:bookmarkEnd w:id="462"/>
    <w:bookmarkStart w:name="z469" w:id="463"/>
    <w:p>
      <w:pPr>
        <w:spacing w:after="0"/>
        <w:ind w:left="0"/>
        <w:jc w:val="both"/>
      </w:pPr>
      <w:r>
        <w:rPr>
          <w:rFonts w:ascii="Times New Roman"/>
          <w:b w:val="false"/>
          <w:i w:val="false"/>
          <w:color w:val="000000"/>
          <w:sz w:val="28"/>
        </w:rPr>
        <w:t>
      развитие и модернизация систем централизованного водоотведения;</w:t>
      </w:r>
    </w:p>
    <w:bookmarkEnd w:id="463"/>
    <w:bookmarkStart w:name="z470" w:id="464"/>
    <w:p>
      <w:pPr>
        <w:spacing w:after="0"/>
        <w:ind w:left="0"/>
        <w:jc w:val="both"/>
      </w:pPr>
      <w:r>
        <w:rPr>
          <w:rFonts w:ascii="Times New Roman"/>
          <w:b w:val="false"/>
          <w:i w:val="false"/>
          <w:color w:val="000000"/>
          <w:sz w:val="28"/>
        </w:rPr>
        <w:t>
      строительство и реконструкция очистных сооружений с доведением качества сточных вод до нормативов предельно допустимых концентраций;</w:t>
      </w:r>
    </w:p>
    <w:bookmarkEnd w:id="464"/>
    <w:bookmarkStart w:name="z471" w:id="465"/>
    <w:p>
      <w:pPr>
        <w:spacing w:after="0"/>
        <w:ind w:left="0"/>
        <w:jc w:val="both"/>
      </w:pPr>
      <w:r>
        <w:rPr>
          <w:rFonts w:ascii="Times New Roman"/>
          <w:b w:val="false"/>
          <w:i w:val="false"/>
          <w:color w:val="000000"/>
          <w:sz w:val="28"/>
        </w:rPr>
        <w:t>
      исключение сброса неочищенных сточных вод;</w:t>
      </w:r>
    </w:p>
    <w:bookmarkEnd w:id="465"/>
    <w:bookmarkStart w:name="z472" w:id="466"/>
    <w:p>
      <w:pPr>
        <w:spacing w:after="0"/>
        <w:ind w:left="0"/>
        <w:jc w:val="both"/>
      </w:pPr>
      <w:r>
        <w:rPr>
          <w:rFonts w:ascii="Times New Roman"/>
          <w:b w:val="false"/>
          <w:i w:val="false"/>
          <w:color w:val="000000"/>
          <w:sz w:val="28"/>
        </w:rPr>
        <w:t>
      внедрение систем учета и контроля водоотведения;</w:t>
      </w:r>
    </w:p>
    <w:bookmarkEnd w:id="466"/>
    <w:bookmarkStart w:name="z473" w:id="467"/>
    <w:p>
      <w:pPr>
        <w:spacing w:after="0"/>
        <w:ind w:left="0"/>
        <w:jc w:val="both"/>
      </w:pPr>
      <w:r>
        <w:rPr>
          <w:rFonts w:ascii="Times New Roman"/>
          <w:b w:val="false"/>
          <w:i w:val="false"/>
          <w:color w:val="000000"/>
          <w:sz w:val="28"/>
        </w:rPr>
        <w:t>
      соблюдение требований по недопущению ввода в эксплуатацию объектов без очистных сооружений.</w:t>
      </w:r>
    </w:p>
    <w:bookmarkEnd w:id="467"/>
    <w:bookmarkStart w:name="z474" w:id="46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77</w:t>
      </w:r>
      <w:r>
        <w:rPr>
          <w:rFonts w:ascii="Times New Roman"/>
          <w:b w:val="false"/>
          <w:i w:val="false"/>
          <w:color w:val="000000"/>
          <w:sz w:val="28"/>
        </w:rPr>
        <w:t xml:space="preserve"> Водного кодекса Республики Казахстан засорением поверхностных водных объектов признается попадание в них твердых и нерастворимых отходов, которое влечет или может повлечь ухудшение гидрологического состояния поверхностного водного объекта и затрудняет водопользование.</w:t>
      </w:r>
    </w:p>
    <w:bookmarkEnd w:id="468"/>
    <w:bookmarkStart w:name="z475" w:id="469"/>
    <w:p>
      <w:pPr>
        <w:spacing w:after="0"/>
        <w:ind w:left="0"/>
        <w:jc w:val="both"/>
      </w:pPr>
      <w:r>
        <w:rPr>
          <w:rFonts w:ascii="Times New Roman"/>
          <w:b w:val="false"/>
          <w:i w:val="false"/>
          <w:color w:val="000000"/>
          <w:sz w:val="28"/>
        </w:rPr>
        <w:t>
      В этой связи Генеральным планом предусматриваются:</w:t>
      </w:r>
    </w:p>
    <w:bookmarkEnd w:id="469"/>
    <w:bookmarkStart w:name="z476" w:id="470"/>
    <w:p>
      <w:pPr>
        <w:spacing w:after="0"/>
        <w:ind w:left="0"/>
        <w:jc w:val="both"/>
      </w:pPr>
      <w:r>
        <w:rPr>
          <w:rFonts w:ascii="Times New Roman"/>
          <w:b w:val="false"/>
          <w:i w:val="false"/>
          <w:color w:val="000000"/>
          <w:sz w:val="28"/>
        </w:rPr>
        <w:t>
      установление и соблюдение границ водоохранных зон и прибрежных защитных полос;</w:t>
      </w:r>
    </w:p>
    <w:bookmarkEnd w:id="470"/>
    <w:bookmarkStart w:name="z477" w:id="471"/>
    <w:p>
      <w:pPr>
        <w:spacing w:after="0"/>
        <w:ind w:left="0"/>
        <w:jc w:val="both"/>
      </w:pPr>
      <w:r>
        <w:rPr>
          <w:rFonts w:ascii="Times New Roman"/>
          <w:b w:val="false"/>
          <w:i w:val="false"/>
          <w:color w:val="000000"/>
          <w:sz w:val="28"/>
        </w:rPr>
        <w:t>
      запрет размещения отходов, свалок и иных источников загрязнения в пределах водоохранных территорий;</w:t>
      </w:r>
    </w:p>
    <w:bookmarkEnd w:id="471"/>
    <w:bookmarkStart w:name="z478" w:id="472"/>
    <w:p>
      <w:pPr>
        <w:spacing w:after="0"/>
        <w:ind w:left="0"/>
        <w:jc w:val="both"/>
      </w:pPr>
      <w:r>
        <w:rPr>
          <w:rFonts w:ascii="Times New Roman"/>
          <w:b w:val="false"/>
          <w:i w:val="false"/>
          <w:color w:val="000000"/>
          <w:sz w:val="28"/>
        </w:rPr>
        <w:t>
      благоустройство и озеленение прибрежных территорий;</w:t>
      </w:r>
    </w:p>
    <w:bookmarkEnd w:id="472"/>
    <w:bookmarkStart w:name="z479" w:id="473"/>
    <w:p>
      <w:pPr>
        <w:spacing w:after="0"/>
        <w:ind w:left="0"/>
        <w:jc w:val="both"/>
      </w:pPr>
      <w:r>
        <w:rPr>
          <w:rFonts w:ascii="Times New Roman"/>
          <w:b w:val="false"/>
          <w:i w:val="false"/>
          <w:color w:val="000000"/>
          <w:sz w:val="28"/>
        </w:rPr>
        <w:t>
      организация регулярной очистки русел и берегов;</w:t>
      </w:r>
    </w:p>
    <w:bookmarkEnd w:id="473"/>
    <w:bookmarkStart w:name="z480" w:id="474"/>
    <w:p>
      <w:pPr>
        <w:spacing w:after="0"/>
        <w:ind w:left="0"/>
        <w:jc w:val="both"/>
      </w:pPr>
      <w:r>
        <w:rPr>
          <w:rFonts w:ascii="Times New Roman"/>
          <w:b w:val="false"/>
          <w:i w:val="false"/>
          <w:color w:val="000000"/>
          <w:sz w:val="28"/>
        </w:rPr>
        <w:t>
      устройство систем ливневой канализации с очисткой поверхностного стока.</w:t>
      </w:r>
    </w:p>
    <w:bookmarkEnd w:id="474"/>
    <w:bookmarkStart w:name="z481" w:id="475"/>
    <w:p>
      <w:pPr>
        <w:spacing w:after="0"/>
        <w:ind w:left="0"/>
        <w:jc w:val="both"/>
      </w:pPr>
      <w:r>
        <w:rPr>
          <w:rFonts w:ascii="Times New Roman"/>
          <w:b w:val="false"/>
          <w:i w:val="false"/>
          <w:color w:val="000000"/>
          <w:sz w:val="28"/>
        </w:rPr>
        <w:t>
      В соответствии с положениями Водного кодекса Республики Казахстан охрана водных объектов включает предотвращение их истощения и рациональное использование водных ресурсов.</w:t>
      </w:r>
    </w:p>
    <w:bookmarkEnd w:id="475"/>
    <w:bookmarkStart w:name="z482" w:id="47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Водного кодекса Республики Казахстан в водоохранных зонах и прибрежных полосах запрещается деятельность, приводящая к загрязнению, засорению и истощению водных объектов, включая размещение объектов и ведение работ без соблюдения экологических требований.</w:t>
      </w:r>
    </w:p>
    <w:bookmarkEnd w:id="476"/>
    <w:bookmarkStart w:name="z483" w:id="477"/>
    <w:p>
      <w:pPr>
        <w:spacing w:after="0"/>
        <w:ind w:left="0"/>
        <w:jc w:val="both"/>
      </w:pPr>
      <w:r>
        <w:rPr>
          <w:rFonts w:ascii="Times New Roman"/>
          <w:b w:val="false"/>
          <w:i w:val="false"/>
          <w:color w:val="000000"/>
          <w:sz w:val="28"/>
        </w:rPr>
        <w:t>
      Реализация предусмотренных мероприятий обеспечит соблюдение требований водного законодательства Республики Казахстан, сохранение водных ресурсов и улучшение экологического состояния территории города Туркестана.</w:t>
      </w:r>
    </w:p>
    <w:bookmarkEnd w:id="477"/>
    <w:bookmarkStart w:name="z484" w:id="478"/>
    <w:p>
      <w:pPr>
        <w:spacing w:after="0"/>
        <w:ind w:left="0"/>
        <w:jc w:val="both"/>
      </w:pPr>
      <w:r>
        <w:rPr>
          <w:rFonts w:ascii="Times New Roman"/>
          <w:b w:val="false"/>
          <w:i w:val="false"/>
          <w:color w:val="000000"/>
          <w:sz w:val="28"/>
        </w:rPr>
        <w:t>
      Архитектурно-планировочное и объемно-пространственное решение</w:t>
      </w:r>
    </w:p>
    <w:bookmarkEnd w:id="478"/>
    <w:bookmarkStart w:name="z485" w:id="479"/>
    <w:p>
      <w:pPr>
        <w:spacing w:after="0"/>
        <w:ind w:left="0"/>
        <w:jc w:val="both"/>
      </w:pPr>
      <w:r>
        <w:rPr>
          <w:rFonts w:ascii="Times New Roman"/>
          <w:b w:val="false"/>
          <w:i w:val="false"/>
          <w:color w:val="000000"/>
          <w:sz w:val="28"/>
        </w:rPr>
        <w:t>
      Архитектурно-планировочное и объемно-пространственное решение Генерального плана основано на формировании новой региональной застройки, отвечающей современным комплексным требованиям, с учетом статуса областного центра. Функциональное зонирование проектируемой территории решено с учетом особенностей природного ландшафта, направления розы ветров, сложившейся планировочной структуры, размещением объектов жилого и общественного назначения.</w:t>
      </w:r>
    </w:p>
    <w:bookmarkEnd w:id="479"/>
    <w:bookmarkStart w:name="z486" w:id="480"/>
    <w:p>
      <w:pPr>
        <w:spacing w:after="0"/>
        <w:ind w:left="0"/>
        <w:jc w:val="both"/>
      </w:pPr>
      <w:r>
        <w:rPr>
          <w:rFonts w:ascii="Times New Roman"/>
          <w:b w:val="false"/>
          <w:i w:val="false"/>
          <w:color w:val="000000"/>
          <w:sz w:val="28"/>
        </w:rPr>
        <w:t xml:space="preserve">
      Цель Генерального плана заключается в обеспечении гармоничного развития территории и повышении ее привлекательности для населения. Для достижения этой цели предложена сбалансированная концепция застройки, ориентированная на развитие административной, общественной и спортивной инфраструктуры, а также реализацию комплекса мероприятий, способствующих социальному развитию. </w:t>
      </w:r>
    </w:p>
    <w:bookmarkEnd w:id="480"/>
    <w:bookmarkStart w:name="z487" w:id="481"/>
    <w:p>
      <w:pPr>
        <w:spacing w:after="0"/>
        <w:ind w:left="0"/>
        <w:jc w:val="both"/>
      </w:pPr>
      <w:r>
        <w:rPr>
          <w:rFonts w:ascii="Times New Roman"/>
          <w:b w:val="false"/>
          <w:i w:val="false"/>
          <w:color w:val="000000"/>
          <w:sz w:val="28"/>
        </w:rPr>
        <w:t>
      Генеральный план базируется на объектах, которые создают единый ансамбль из проектируемых административно-деловых, общественных, культовых и спортивных сооружений с предполагаемой жилой застройкой. Пространство определено высотными объектами, окруженными невысокой застройкой европейского типа с сетью пешеходных улиц, велодорожкой, каналами и бульваром.</w:t>
      </w:r>
    </w:p>
    <w:bookmarkEnd w:id="481"/>
    <w:bookmarkStart w:name="z488" w:id="482"/>
    <w:p>
      <w:pPr>
        <w:spacing w:after="0"/>
        <w:ind w:left="0"/>
        <w:jc w:val="both"/>
      </w:pPr>
      <w:r>
        <w:rPr>
          <w:rFonts w:ascii="Times New Roman"/>
          <w:b w:val="false"/>
          <w:i w:val="false"/>
          <w:color w:val="000000"/>
          <w:sz w:val="28"/>
        </w:rPr>
        <w:t>
      Центрами притяжения данной территории являются областной акимат, медиа-центр, конгресс-центр, парк с аттракционами, который открывает красивый панорамный вид для жителей района, дворец спорта с бассейном, спортивная школа олимпийского резерва, стадион на 7000 посетителей.</w:t>
      </w:r>
    </w:p>
    <w:bookmarkEnd w:id="482"/>
    <w:bookmarkStart w:name="z489" w:id="483"/>
    <w:p>
      <w:pPr>
        <w:spacing w:after="0"/>
        <w:ind w:left="0"/>
        <w:jc w:val="both"/>
      </w:pPr>
      <w:r>
        <w:rPr>
          <w:rFonts w:ascii="Times New Roman"/>
          <w:b w:val="false"/>
          <w:i w:val="false"/>
          <w:color w:val="000000"/>
          <w:sz w:val="28"/>
        </w:rPr>
        <w:t>
      Функционал проектируемых зданий широкий: жилье, гостиницы, коммерция, различные культовые, общественные здание и сооружения. Основополагающая часть пространства, свободная от застройки, определена сетью взаимоувязанных пешеходных улиц. Исходя из опыта европейских стран плотная малоэтажная застройка наряду с неширокими прогулочными улицами, велодорожкой, каналами и бульваром способствует созданию особого городского уюта и вместе с разнообразной общественной инфраструктурой способствует притяжению населения для пеших прогулок и посещения различных заведений как культурного типа, так и всевозможных коммерческих объектов.</w:t>
      </w:r>
    </w:p>
    <w:bookmarkEnd w:id="483"/>
    <w:bookmarkStart w:name="z490" w:id="484"/>
    <w:p>
      <w:pPr>
        <w:spacing w:after="0"/>
        <w:ind w:left="0"/>
        <w:jc w:val="both"/>
      </w:pPr>
      <w:r>
        <w:rPr>
          <w:rFonts w:ascii="Times New Roman"/>
          <w:b w:val="false"/>
          <w:i w:val="false"/>
          <w:color w:val="000000"/>
          <w:sz w:val="28"/>
        </w:rPr>
        <w:t xml:space="preserve">
      Во избежание хаотичной застройки все территории под застройку разбиты под отводы с допустимыми функциональными параметрами по благоустройству и иными требованиями единого архитектурного стиля с рациональным распределением нагрузки на территорию. </w:t>
      </w:r>
    </w:p>
    <w:bookmarkEnd w:id="484"/>
    <w:bookmarkStart w:name="z491" w:id="485"/>
    <w:p>
      <w:pPr>
        <w:spacing w:after="0"/>
        <w:ind w:left="0"/>
        <w:jc w:val="both"/>
      </w:pPr>
      <w:r>
        <w:rPr>
          <w:rFonts w:ascii="Times New Roman"/>
          <w:b w:val="false"/>
          <w:i w:val="false"/>
          <w:color w:val="000000"/>
          <w:sz w:val="28"/>
        </w:rPr>
        <w:t>
      Генеральном планом предусмотрены мероприятия по комплексной организации инженерной инфраструктуры. Зеленые насаждения объединены в единую планировочную структуру и дифференцированы по функциональному назначению.</w:t>
      </w:r>
    </w:p>
    <w:bookmarkEnd w:id="485"/>
    <w:bookmarkStart w:name="z492" w:id="486"/>
    <w:p>
      <w:pPr>
        <w:spacing w:after="0"/>
        <w:ind w:left="0"/>
        <w:jc w:val="both"/>
      </w:pPr>
      <w:r>
        <w:rPr>
          <w:rFonts w:ascii="Times New Roman"/>
          <w:b w:val="false"/>
          <w:i w:val="false"/>
          <w:color w:val="000000"/>
          <w:sz w:val="28"/>
        </w:rPr>
        <w:t>
      Художественный образ нового областного центра Казахстана должен соответствовать стилевым направлениям архитектуры XXI века и в тоже время содержать в себе элементы и формы, связанные с исторической особенностью города Туркестана. Современный мировой опыт науки и практики градостроительства диктует новые тенденции в проектировании, в том числе учет контекста места, выявление регионального характера архитектурно-пространственной среды, формирование единого архитектурного стиля городской застройки.</w:t>
      </w:r>
    </w:p>
    <w:bookmarkEnd w:id="486"/>
    <w:bookmarkStart w:name="z493" w:id="487"/>
    <w:p>
      <w:pPr>
        <w:spacing w:after="0"/>
        <w:ind w:left="0"/>
        <w:jc w:val="both"/>
      </w:pPr>
      <w:r>
        <w:rPr>
          <w:rFonts w:ascii="Times New Roman"/>
          <w:b w:val="false"/>
          <w:i w:val="false"/>
          <w:color w:val="000000"/>
          <w:sz w:val="28"/>
        </w:rPr>
        <w:t>
      Данный Генеральный план разработан с учетом новых требований как в части соблюдения единого архитектурного стиля, так и с учетом Концепции Генерального плана по развитию города Туркестана как культурно-духовного центра тюркского мира. Таким образом, предложенные проектные решения характеризуются принципиально новыми подходами к планированию застройки города с учетом его исторической специфики в мировом контексте.</w:t>
      </w:r>
    </w:p>
    <w:bookmarkEnd w:id="487"/>
    <w:bookmarkStart w:name="z494" w:id="488"/>
    <w:p>
      <w:pPr>
        <w:spacing w:after="0"/>
        <w:ind w:left="0"/>
        <w:jc w:val="both"/>
      </w:pPr>
      <w:r>
        <w:rPr>
          <w:rFonts w:ascii="Times New Roman"/>
          <w:b w:val="false"/>
          <w:i w:val="false"/>
          <w:color w:val="000000"/>
          <w:sz w:val="28"/>
        </w:rPr>
        <w:t>
      В будущем он должен находиться в одном ряду с такими крупными мировыми городами как Стамбул, Иерусалим и Рим, богатыми своей историей и культурой. Исторически-сложившийся архитектурный облик этих городов бесспорно является мировым градостроительным достоянием. Подход к градостроительному планированию и развитию инфраструктуры города Туркестана должен придерживаться принципов действующих СНиПов Республики Казахстан и учитывать передовые мировые аналоги и индивидуальный восточный колорит, жаркий и сухой климат, а также духовную принадлежность города.</w:t>
      </w:r>
    </w:p>
    <w:bookmarkEnd w:id="488"/>
    <w:bookmarkStart w:name="z495" w:id="489"/>
    <w:p>
      <w:pPr>
        <w:spacing w:after="0"/>
        <w:ind w:left="0"/>
        <w:jc w:val="both"/>
      </w:pPr>
      <w:r>
        <w:rPr>
          <w:rFonts w:ascii="Times New Roman"/>
          <w:b w:val="false"/>
          <w:i w:val="false"/>
          <w:color w:val="000000"/>
          <w:sz w:val="28"/>
        </w:rPr>
        <w:t>
      Для дальнейшего достижения этой амбициозной цели необходима разработка нормативно-правовых градостроительных документов, предусматривающих специфичность города с принципиально новыми подходами, базирующимися на мировом опыте по принципу "город для людей".</w:t>
      </w:r>
    </w:p>
    <w:bookmarkEnd w:id="489"/>
    <w:bookmarkStart w:name="z496" w:id="490"/>
    <w:p>
      <w:pPr>
        <w:spacing w:after="0"/>
        <w:ind w:left="0"/>
        <w:jc w:val="left"/>
      </w:pPr>
      <w:r>
        <w:rPr>
          <w:rFonts w:ascii="Times New Roman"/>
          <w:b/>
          <w:i w:val="false"/>
          <w:color w:val="000000"/>
        </w:rPr>
        <w:t xml:space="preserve"> 16. Основные технико-экономические показатели Генерального плана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поселковой черты и черты сельского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 инженерных коммуникаций,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обучающиеся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занятое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м²общей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4213,6/100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2960,3/96,3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домов (квартир) /тыс. м²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 предприятий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тыс.пассажиров/год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пассажиров/год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пассажиров/год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пассажиров/год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пассажиров/год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Миргалимсайское, Биресек-Кантагинское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Миргалимсайское, Биресек-Кантагинское, Икансу-Ктайское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Миргалимсайское, Биресек-Кантагинское, Икансу-Ктайское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расчетный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1"/>
          <w:p>
            <w:pPr>
              <w:spacing w:after="20"/>
              <w:ind w:left="20"/>
              <w:jc w:val="both"/>
            </w:pPr>
            <w:r>
              <w:rPr>
                <w:rFonts w:ascii="Times New Roman"/>
                <w:b w:val="false"/>
                <w:i w:val="false"/>
                <w:color w:val="000000"/>
                <w:sz w:val="20"/>
              </w:rPr>
              <w:t>
22.01.2002,</w:t>
            </w:r>
          </w:p>
          <w:bookmarkEnd w:id="491"/>
          <w:p>
            <w:pPr>
              <w:spacing w:after="20"/>
              <w:ind w:left="20"/>
              <w:jc w:val="both"/>
            </w:pPr>
            <w:r>
              <w:rPr>
                <w:rFonts w:ascii="Times New Roman"/>
                <w:b w:val="false"/>
                <w:i w:val="false"/>
                <w:color w:val="000000"/>
                <w:sz w:val="20"/>
              </w:rPr>
              <w:t>
30.06.2004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2"/>
          <w:p>
            <w:pPr>
              <w:spacing w:after="20"/>
              <w:ind w:left="20"/>
              <w:jc w:val="both"/>
            </w:pPr>
            <w:r>
              <w:rPr>
                <w:rFonts w:ascii="Times New Roman"/>
                <w:b w:val="false"/>
                <w:i w:val="false"/>
                <w:color w:val="000000"/>
                <w:sz w:val="20"/>
              </w:rPr>
              <w:t>
22.01.2002,</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30.06.2004,</w:t>
            </w:r>
          </w:p>
          <w:p>
            <w:pPr>
              <w:spacing w:after="20"/>
              <w:ind w:left="20"/>
              <w:jc w:val="both"/>
            </w:pPr>
            <w:r>
              <w:rPr>
                <w:rFonts w:ascii="Times New Roman"/>
                <w:b w:val="false"/>
                <w:i w:val="false"/>
                <w:color w:val="000000"/>
                <w:sz w:val="20"/>
              </w:rPr>
              <w:t>
11.11.2015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3"/>
          <w:p>
            <w:pPr>
              <w:spacing w:after="20"/>
              <w:ind w:left="20"/>
              <w:jc w:val="both"/>
            </w:pPr>
            <w:r>
              <w:rPr>
                <w:rFonts w:ascii="Times New Roman"/>
                <w:b w:val="false"/>
                <w:i w:val="false"/>
                <w:color w:val="000000"/>
                <w:sz w:val="20"/>
              </w:rPr>
              <w:t>
22.01.2002,</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30.06.2004,</w:t>
            </w:r>
          </w:p>
          <w:p>
            <w:pPr>
              <w:spacing w:after="20"/>
              <w:ind w:left="20"/>
              <w:jc w:val="both"/>
            </w:pPr>
            <w:r>
              <w:rPr>
                <w:rFonts w:ascii="Times New Roman"/>
                <w:b w:val="false"/>
                <w:i w:val="false"/>
                <w:color w:val="000000"/>
                <w:sz w:val="20"/>
              </w:rPr>
              <w:t>
11.11.2015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4"/>
          <w:p>
            <w:pPr>
              <w:spacing w:after="20"/>
              <w:ind w:left="20"/>
              <w:jc w:val="both"/>
            </w:pPr>
            <w:r>
              <w:rPr>
                <w:rFonts w:ascii="Times New Roman"/>
                <w:b w:val="false"/>
                <w:i w:val="false"/>
                <w:color w:val="000000"/>
                <w:sz w:val="20"/>
              </w:rPr>
              <w:t xml:space="preserve">
1 </w:t>
            </w:r>
          </w:p>
          <w:bookmarkEnd w:id="494"/>
          <w:p>
            <w:pPr>
              <w:spacing w:after="20"/>
              <w:ind w:left="20"/>
              <w:jc w:val="both"/>
            </w:pPr>
            <w:r>
              <w:rPr>
                <w:rFonts w:ascii="Times New Roman"/>
                <w:b w:val="false"/>
                <w:i w:val="false"/>
                <w:color w:val="000000"/>
                <w:sz w:val="20"/>
              </w:rPr>
              <w:t>
/10,0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5"/>
          <w:p>
            <w:pPr>
              <w:spacing w:after="20"/>
              <w:ind w:left="20"/>
              <w:jc w:val="both"/>
            </w:pPr>
            <w:r>
              <w:rPr>
                <w:rFonts w:ascii="Times New Roman"/>
                <w:b w:val="false"/>
                <w:i w:val="false"/>
                <w:color w:val="000000"/>
                <w:sz w:val="20"/>
              </w:rPr>
              <w:t>
1</w:t>
            </w:r>
          </w:p>
          <w:bookmarkEnd w:id="495"/>
          <w:p>
            <w:pPr>
              <w:spacing w:after="20"/>
              <w:ind w:left="20"/>
              <w:jc w:val="both"/>
            </w:pPr>
            <w:r>
              <w:rPr>
                <w:rFonts w:ascii="Times New Roman"/>
                <w:b w:val="false"/>
                <w:i w:val="false"/>
                <w:color w:val="000000"/>
                <w:sz w:val="20"/>
              </w:rPr>
              <w:t>
/40,0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6"/>
          <w:p>
            <w:pPr>
              <w:spacing w:after="20"/>
              <w:ind w:left="20"/>
              <w:jc w:val="both"/>
            </w:pPr>
            <w:r>
              <w:rPr>
                <w:rFonts w:ascii="Times New Roman"/>
                <w:b w:val="false"/>
                <w:i w:val="false"/>
                <w:color w:val="000000"/>
                <w:sz w:val="20"/>
              </w:rPr>
              <w:t>
* Показатели рекомендательного характера</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Технико-экономические показатели Генерального плана города, поселка и сельского населенного пункта приводятся на следующие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исходный год нового Генерального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расчетный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по потребности в электроэнергии, тепловой энергии, воде, газе на коммунально-бытовые и производственные нужды и по объему сброса сточных вод принимаются по данным соответствующих областных и районных служб.</w:t>
            </w:r>
          </w:p>
          <w:p>
            <w:pPr>
              <w:spacing w:after="20"/>
              <w:ind w:left="20"/>
              <w:jc w:val="both"/>
            </w:pPr>
            <w:r>
              <w:rPr>
                <w:rFonts w:ascii="Times New Roman"/>
                <w:b w:val="false"/>
                <w:i w:val="false"/>
                <w:color w:val="000000"/>
                <w:sz w:val="20"/>
              </w:rPr>
              <w:t>
3. Оценка воздействия на окружающую среду в соответствии с требованиями уполномоченного органа в области охраны окружающей среды.</w:t>
            </w:r>
          </w:p>
        </w:tc>
      </w:tr>
    </w:tbl>
    <w:bookmarkStart w:name="z511" w:id="497"/>
    <w:p>
      <w:pPr>
        <w:spacing w:after="0"/>
        <w:ind w:left="0"/>
        <w:jc w:val="both"/>
      </w:pPr>
      <w:r>
        <w:rPr>
          <w:rFonts w:ascii="Times New Roman"/>
          <w:b w:val="false"/>
          <w:i w:val="false"/>
          <w:color w:val="000000"/>
          <w:sz w:val="28"/>
        </w:rPr>
        <w:t>
      __________________________________</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Генеральному плану</w:t>
            </w:r>
            <w:r>
              <w:br/>
            </w:r>
            <w:r>
              <w:rPr>
                <w:rFonts w:ascii="Times New Roman"/>
                <w:b w:val="false"/>
                <w:i w:val="false"/>
                <w:color w:val="000000"/>
                <w:sz w:val="20"/>
              </w:rPr>
              <w:t>города Туркестана</w:t>
            </w:r>
            <w:r>
              <w:br/>
            </w:r>
            <w:r>
              <w:rPr>
                <w:rFonts w:ascii="Times New Roman"/>
                <w:b w:val="false"/>
                <w:i w:val="false"/>
                <w:color w:val="000000"/>
                <w:sz w:val="20"/>
              </w:rPr>
              <w:t>Туркестанской области</w:t>
            </w:r>
            <w:r>
              <w:br/>
            </w:r>
            <w:r>
              <w:rPr>
                <w:rFonts w:ascii="Times New Roman"/>
                <w:b w:val="false"/>
                <w:i w:val="false"/>
                <w:color w:val="000000"/>
                <w:sz w:val="20"/>
              </w:rPr>
              <w:t>(включая основные положения)</w:t>
            </w:r>
          </w:p>
        </w:tc>
      </w:tr>
    </w:tbl>
    <w:bookmarkStart w:name="z513"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99"/>
    <w:p>
      <w:pPr>
        <w:spacing w:after="0"/>
        <w:ind w:left="0"/>
        <w:jc w:val="both"/>
      </w:pPr>
      <w:r>
        <w:rPr>
          <w:rFonts w:ascii="Times New Roman"/>
          <w:b w:val="false"/>
          <w:i w:val="false"/>
          <w:color w:val="000000"/>
          <w:sz w:val="28"/>
        </w:rPr>
        <w:t>
      __________________________________</w:t>
      </w:r>
    </w:p>
    <w:bookmarkEnd w:id="4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