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51df" w14:textId="0745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2026 года № 347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следующие изменения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10" w:id="4"/>
    <w:p>
      <w:pPr>
        <w:spacing w:after="0"/>
        <w:ind w:left="0"/>
        <w:jc w:val="both"/>
      </w:pPr>
      <w:r>
        <w:rPr>
          <w:rFonts w:ascii="Times New Roman"/>
          <w:b w:val="false"/>
          <w:i w:val="false"/>
          <w:color w:val="000000"/>
          <w:sz w:val="28"/>
        </w:rPr>
        <w:t>
      1) районный уполномоченный орган – исполнительный орган, финансируемый из местного бюджета, уполномоченный на распоряжение районным коммунальным имуществом;</w:t>
      </w:r>
    </w:p>
    <w:bookmarkEnd w:id="4"/>
    <w:bookmarkStart w:name="z11" w:id="5"/>
    <w:p>
      <w:pPr>
        <w:spacing w:after="0"/>
        <w:ind w:left="0"/>
        <w:jc w:val="both"/>
      </w:pPr>
      <w:r>
        <w:rPr>
          <w:rFonts w:ascii="Times New Roman"/>
          <w:b w:val="false"/>
          <w:i w:val="false"/>
          <w:color w:val="000000"/>
          <w:sz w:val="28"/>
        </w:rPr>
        <w:t>
      2)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5"/>
    <w:bookmarkStart w:name="z12" w:id="6"/>
    <w:p>
      <w:pPr>
        <w:spacing w:after="0"/>
        <w:ind w:left="0"/>
        <w:jc w:val="both"/>
      </w:pPr>
      <w:r>
        <w:rPr>
          <w:rFonts w:ascii="Times New Roman"/>
          <w:b w:val="false"/>
          <w:i w:val="false"/>
          <w:color w:val="000000"/>
          <w:sz w:val="28"/>
        </w:rPr>
        <w:t>
      3) уполномоченный орган по коммунальному имуществу местного самоуправления – аппарат акима города районного значения, села, поселка, сельского округа;</w:t>
      </w:r>
    </w:p>
    <w:bookmarkEnd w:id="6"/>
    <w:bookmarkStart w:name="z13" w:id="7"/>
    <w:p>
      <w:pPr>
        <w:spacing w:after="0"/>
        <w:ind w:left="0"/>
        <w:jc w:val="both"/>
      </w:pPr>
      <w:r>
        <w:rPr>
          <w:rFonts w:ascii="Times New Roman"/>
          <w:b w:val="false"/>
          <w:i w:val="false"/>
          <w:color w:val="000000"/>
          <w:sz w:val="28"/>
        </w:rPr>
        <w:t>
      4) реестр государственного имущества (далее – реестр) – единая цифровая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7"/>
    <w:bookmarkStart w:name="z14" w:id="8"/>
    <w:p>
      <w:pPr>
        <w:spacing w:after="0"/>
        <w:ind w:left="0"/>
        <w:jc w:val="both"/>
      </w:pPr>
      <w:r>
        <w:rPr>
          <w:rFonts w:ascii="Times New Roman"/>
          <w:b w:val="false"/>
          <w:i w:val="false"/>
          <w:color w:val="000000"/>
          <w:sz w:val="28"/>
        </w:rPr>
        <w:t>
      5) объект мониторинга – государственные предприятия, юридические лица с участием государства, за исключением акционерного общества "Фонд национального благосостояния "Самрук-Қазына", все виды имущества, входящего в состав государственного имущества, в том числе находящегося в доверительном управлении, имущественном найме (аренде), концессии, либо переданные по договору государственно-частного партнерства;</w:t>
      </w:r>
    </w:p>
    <w:bookmarkEnd w:id="8"/>
    <w:bookmarkStart w:name="z15" w:id="9"/>
    <w:p>
      <w:pPr>
        <w:spacing w:after="0"/>
        <w:ind w:left="0"/>
        <w:jc w:val="both"/>
      </w:pPr>
      <w:r>
        <w:rPr>
          <w:rFonts w:ascii="Times New Roman"/>
          <w:b w:val="false"/>
          <w:i w:val="false"/>
          <w:color w:val="000000"/>
          <w:sz w:val="28"/>
        </w:rPr>
        <w:t>
      6) субъекты мониторинга – уполномоченный орган по управлению государственным имуществом, областной уполномоченный орган, районный уполномоченный орган, уполномоченный орган по коммунальному имуществу местного самоуправления;</w:t>
      </w:r>
    </w:p>
    <w:bookmarkEnd w:id="9"/>
    <w:bookmarkStart w:name="z16" w:id="10"/>
    <w:p>
      <w:pPr>
        <w:spacing w:after="0"/>
        <w:ind w:left="0"/>
        <w:jc w:val="both"/>
      </w:pPr>
      <w:r>
        <w:rPr>
          <w:rFonts w:ascii="Times New Roman"/>
          <w:b w:val="false"/>
          <w:i w:val="false"/>
          <w:color w:val="000000"/>
          <w:sz w:val="28"/>
        </w:rPr>
        <w:t>
      7) областной уполномоченный орган – исполнительный орган, финансируемый из местного бюджета, уполномоченный на распоряжение областным коммунальным имуществом;</w:t>
      </w:r>
    </w:p>
    <w:bookmarkEnd w:id="10"/>
    <w:bookmarkStart w:name="z17" w:id="11"/>
    <w:p>
      <w:pPr>
        <w:spacing w:after="0"/>
        <w:ind w:left="0"/>
        <w:jc w:val="both"/>
      </w:pPr>
      <w:r>
        <w:rPr>
          <w:rFonts w:ascii="Times New Roman"/>
          <w:b w:val="false"/>
          <w:i w:val="false"/>
          <w:color w:val="000000"/>
          <w:sz w:val="28"/>
        </w:rPr>
        <w:t>
      8)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9" w:id="12"/>
    <w:p>
      <w:pPr>
        <w:spacing w:after="0"/>
        <w:ind w:left="0"/>
        <w:jc w:val="both"/>
      </w:pPr>
      <w:r>
        <w:rPr>
          <w:rFonts w:ascii="Times New Roman"/>
          <w:b w:val="false"/>
          <w:i w:val="false"/>
          <w:color w:val="000000"/>
          <w:sz w:val="28"/>
        </w:rPr>
        <w:t>
      "4) формирование и ведение цифровой базы данных по объектам мониторинга на портале реестра (вспомогательный сервис "NATIJE");";</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"11. Субъекты мониторинга в целях осуществления мониторинга ежегодно проводят анализ согласно перечню объектов мониторинга, размещенному в реестре, на основе показателей финансово-хозяйственной деятельности, содержащихся в:</w:t>
      </w:r>
    </w:p>
    <w:bookmarkEnd w:id="13"/>
    <w:bookmarkStart w:name="z22" w:id="14"/>
    <w:p>
      <w:pPr>
        <w:spacing w:after="0"/>
        <w:ind w:left="0"/>
        <w:jc w:val="both"/>
      </w:pPr>
      <w:r>
        <w:rPr>
          <w:rFonts w:ascii="Times New Roman"/>
          <w:b w:val="false"/>
          <w:i w:val="false"/>
          <w:color w:val="000000"/>
          <w:sz w:val="28"/>
        </w:rPr>
        <w:t xml:space="preserve">
      1) отчетах по исполнению планов развития контролируемых государством акционерных обществ, товариществ с ограниченной ответственностью, государственных предприятий, разработанных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30 апреля 2025 года № 18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и представленных в реестре;</w:t>
      </w:r>
    </w:p>
    <w:bookmarkEnd w:id="14"/>
    <w:bookmarkStart w:name="z23" w:id="15"/>
    <w:p>
      <w:pPr>
        <w:spacing w:after="0"/>
        <w:ind w:left="0"/>
        <w:jc w:val="both"/>
      </w:pPr>
      <w:r>
        <w:rPr>
          <w:rFonts w:ascii="Times New Roman"/>
          <w:b w:val="false"/>
          <w:i w:val="false"/>
          <w:color w:val="000000"/>
          <w:sz w:val="28"/>
        </w:rPr>
        <w:t xml:space="preserve">
      2) отчетах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разработанных в соответствии с приказами Заместителя Премьер-Министра — Министра национальной экономики Республики Казахстан от 30 апреля 2025 года </w:t>
      </w:r>
      <w:r>
        <w:rPr>
          <w:rFonts w:ascii="Times New Roman"/>
          <w:b w:val="false"/>
          <w:i w:val="false"/>
          <w:color w:val="000000"/>
          <w:sz w:val="28"/>
        </w:rPr>
        <w:t>№ 22</w:t>
      </w:r>
      <w:r>
        <w:rPr>
          <w:rFonts w:ascii="Times New Roman"/>
          <w:b w:val="false"/>
          <w:i w:val="false"/>
          <w:color w:val="000000"/>
          <w:sz w:val="28"/>
        </w:rPr>
        <w:t xml:space="preserve"> "Об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и от 30 апреля 2025 года № </w:t>
      </w:r>
      <w:r>
        <w:rPr>
          <w:rFonts w:ascii="Times New Roman"/>
          <w:b w:val="false"/>
          <w:i w:val="false"/>
          <w:color w:val="000000"/>
          <w:sz w:val="28"/>
        </w:rPr>
        <w:t>23</w:t>
      </w:r>
      <w:r>
        <w:rPr>
          <w:rFonts w:ascii="Times New Roman"/>
          <w:b w:val="false"/>
          <w:i w:val="false"/>
          <w:color w:val="000000"/>
          <w:sz w:val="28"/>
        </w:rPr>
        <w:t xml:space="preserve">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представленных в реестре.";</w:t>
      </w:r>
    </w:p>
    <w:bookmarkEnd w:id="15"/>
    <w:bookmarkStart w:name="z24" w:id="16"/>
    <w:p>
      <w:pPr>
        <w:spacing w:after="0"/>
        <w:ind w:left="0"/>
        <w:jc w:val="both"/>
      </w:pPr>
      <w:r>
        <w:rPr>
          <w:rFonts w:ascii="Times New Roman"/>
          <w:b w:val="false"/>
          <w:i w:val="false"/>
          <w:color w:val="000000"/>
          <w:sz w:val="28"/>
        </w:rPr>
        <w:t>
      дополнить главой 4 следующего содержания:</w:t>
      </w:r>
    </w:p>
    <w:bookmarkEnd w:id="16"/>
    <w:bookmarkStart w:name="z25" w:id="17"/>
    <w:p>
      <w:pPr>
        <w:spacing w:after="0"/>
        <w:ind w:left="0"/>
        <w:jc w:val="both"/>
      </w:pPr>
      <w:r>
        <w:rPr>
          <w:rFonts w:ascii="Times New Roman"/>
          <w:b w:val="false"/>
          <w:i w:val="false"/>
          <w:color w:val="000000"/>
          <w:sz w:val="28"/>
        </w:rPr>
        <w:t>
      "Глава 4. Порядок осуществления мониторинга объектов государственного имущества в виде земельных участков, участков недропользования, лесных и охотничьих угодий, водохозяйственных сооружений, а также водных объектов</w:t>
      </w:r>
    </w:p>
    <w:bookmarkEnd w:id="17"/>
    <w:bookmarkStart w:name="z26" w:id="18"/>
    <w:p>
      <w:pPr>
        <w:spacing w:after="0"/>
        <w:ind w:left="0"/>
        <w:jc w:val="both"/>
      </w:pPr>
      <w:r>
        <w:rPr>
          <w:rFonts w:ascii="Times New Roman"/>
          <w:b w:val="false"/>
          <w:i w:val="false"/>
          <w:color w:val="000000"/>
          <w:sz w:val="28"/>
        </w:rPr>
        <w:t>
      20. Мониторинг объектов государственного имущества в виде земельных участков, участков недропользования, лесных и охотничьих угодий, водохозяйственных сооружений, а также водных объектов осуществляется посредством данных дистанционного зондирования Земли.</w:t>
      </w:r>
    </w:p>
    <w:bookmarkEnd w:id="18"/>
    <w:bookmarkStart w:name="z27" w:id="19"/>
    <w:p>
      <w:pPr>
        <w:spacing w:after="0"/>
        <w:ind w:left="0"/>
        <w:jc w:val="both"/>
      </w:pPr>
      <w:r>
        <w:rPr>
          <w:rFonts w:ascii="Times New Roman"/>
          <w:b w:val="false"/>
          <w:i w:val="false"/>
          <w:color w:val="000000"/>
          <w:sz w:val="28"/>
        </w:rPr>
        <w:t>
      21. Уполномоченные государственные органы в области управления земельными ресурсами, изучения и использования недр, лесного хозяйства и животного мира, охраны и использования водного фонда не реже одного раза в календарный год, не позднее 25 января года, следующего за отчетным, представляют в реестр информацию по результатам государственного контроля и надзора объектов мониторинга в виде земельных участков, участков недропользования, лесных и охотничьих угодий, водохозяйственных и гидротехнических сооружений, водных объектов посредством заполнения информации в реестре и интеграционного взаимодействия используемых цифровых систем с реестром.</w:t>
      </w:r>
    </w:p>
    <w:bookmarkEnd w:id="19"/>
    <w:bookmarkStart w:name="z28" w:id="20"/>
    <w:p>
      <w:pPr>
        <w:spacing w:after="0"/>
        <w:ind w:left="0"/>
        <w:jc w:val="both"/>
      </w:pPr>
      <w:r>
        <w:rPr>
          <w:rFonts w:ascii="Times New Roman"/>
          <w:b w:val="false"/>
          <w:i w:val="false"/>
          <w:color w:val="000000"/>
          <w:sz w:val="28"/>
        </w:rPr>
        <w:t>
      22. Отраслевые уполномоченные органы обеспечивают геоинформационный учет объектов, указанных в пункте 21 настоящих Правил, предусматривающий местоположение и границы объекта участков (поле, пастбище, блок, делянка, водохозяйственное и гидротехническое сооружение, водоҰм).</w:t>
      </w:r>
    </w:p>
    <w:bookmarkEnd w:id="20"/>
    <w:bookmarkStart w:name="z29" w:id="21"/>
    <w:p>
      <w:pPr>
        <w:spacing w:after="0"/>
        <w:ind w:left="0"/>
        <w:jc w:val="both"/>
      </w:pPr>
      <w:r>
        <w:rPr>
          <w:rFonts w:ascii="Times New Roman"/>
          <w:b w:val="false"/>
          <w:i w:val="false"/>
          <w:color w:val="000000"/>
          <w:sz w:val="28"/>
        </w:rPr>
        <w:t xml:space="preserve">
      23. Собственники (владельцы) водохозяйственных и гидротехнических сооружений, находящихся в государственной собственности, в том числе переданных в имущественный наем (аренду) или доверительное управление, обеспечивают внесение и актуализацию сведений о сооружениях в реестре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1"/>
    <w:bookmarkStart w:name="z30" w:id="22"/>
    <w:p>
      <w:pPr>
        <w:spacing w:after="0"/>
        <w:ind w:left="0"/>
        <w:jc w:val="both"/>
      </w:pPr>
      <w:r>
        <w:rPr>
          <w:rFonts w:ascii="Times New Roman"/>
          <w:b w:val="false"/>
          <w:i w:val="false"/>
          <w:color w:val="000000"/>
          <w:sz w:val="28"/>
        </w:rPr>
        <w:t>
      24. При обнаружении расхождений между фактическими данными и данными дистанционного зондирования Земли субъект мониторинга:</w:t>
      </w:r>
    </w:p>
    <w:bookmarkEnd w:id="22"/>
    <w:bookmarkStart w:name="z31" w:id="23"/>
    <w:p>
      <w:pPr>
        <w:spacing w:after="0"/>
        <w:ind w:left="0"/>
        <w:jc w:val="both"/>
      </w:pPr>
      <w:r>
        <w:rPr>
          <w:rFonts w:ascii="Times New Roman"/>
          <w:b w:val="false"/>
          <w:i w:val="false"/>
          <w:color w:val="000000"/>
          <w:sz w:val="28"/>
        </w:rPr>
        <w:t>
      1) анализирует причины расхождения и в случае наличия технического несоответствия актуализирует данные в реестре;</w:t>
      </w:r>
    </w:p>
    <w:bookmarkEnd w:id="23"/>
    <w:bookmarkStart w:name="z32" w:id="24"/>
    <w:p>
      <w:pPr>
        <w:spacing w:after="0"/>
        <w:ind w:left="0"/>
        <w:jc w:val="both"/>
      </w:pPr>
      <w:r>
        <w:rPr>
          <w:rFonts w:ascii="Times New Roman"/>
          <w:b w:val="false"/>
          <w:i w:val="false"/>
          <w:color w:val="000000"/>
          <w:sz w:val="28"/>
        </w:rPr>
        <w:t xml:space="preserve">
      2) при обнаружении фактов неэффективного использования объектов передает информацию в соответствующий уполномоченный государственный орган для принятия мер в соответствии со </w:t>
      </w:r>
      <w:r>
        <w:rPr>
          <w:rFonts w:ascii="Times New Roman"/>
          <w:b w:val="false"/>
          <w:i w:val="false"/>
          <w:color w:val="000000"/>
          <w:sz w:val="28"/>
        </w:rPr>
        <w:t>статьей 145-1</w:t>
      </w:r>
      <w:r>
        <w:rPr>
          <w:rFonts w:ascii="Times New Roman"/>
          <w:b w:val="false"/>
          <w:i w:val="false"/>
          <w:color w:val="000000"/>
          <w:sz w:val="28"/>
        </w:rPr>
        <w:t xml:space="preserve"> Земельного кодекса Республики Казахстан.".</w:t>
      </w:r>
    </w:p>
    <w:bookmarkEnd w:id="24"/>
    <w:bookmarkStart w:name="z33" w:id="25"/>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восьмого, тринадцатого, четырнадцатого, девятнадцатого, двадцатого, двадцать первого, двадцать второго, двадцать третьего, двадцать четвертого, двадцать пятого, двадцать шестого и двадцать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12 июля 2026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