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b9c0" w14:textId="60bb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июня 2023 года № 478 "Об утверждении Комплексного плана первоочередных мер в сфере гражданской защиты на 2023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2026 года № 322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2023 года № 478 "Об утверждении Комплексного плана первоочередных мер в сфере гражданской защиты на 2023 – 2027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мер в сфере гражданской защиты на 2023 – 2027 годы,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"Ожидаемые результаты:":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 и 5)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увеличение зоны покрытия авиационной техникой (от 33 до 43 единиц) от 38,8 % до 50,6 %;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количества транспортных средств (с 3345 до 4278 единиц) от 66,8 до 85,4 %;";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"Укрепление материально-технической базы":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транспортных средств, морских судов и специальной инженерной техники для выполнения работ по предупреждению и ликвидации чрезвычайных ситуаций природного и техногенного характера, в том числе используя механизм финансового лизинга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МЧС,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9 714 120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37 854 371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23 033 154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30 007 192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19 241 194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авиационной техники для выполнения работ по предупреждению и ликвидации чрезвычайных ситуаций природного и техногенного характера, в том числе используя механизм финансового лизинга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МЧС,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110 881 076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19 361 552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11 954 081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57 999 380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