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bbf9" w14:textId="cdab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2026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обеспечение политики по формированию здорового образа жизни;";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323-130), 323-131), 323-132), 323-133), 323-134) и 323-135)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"323-130) утверждение порядка формирования реестра эпидемически значимых субъектов (объектов) в сфере санитарно-эпидемиологического благополучия населения и его формы;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323-131) утверждение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Республики Казахстан о проведении мониторинга, акта о результатах мониторинга, предписания об устранении выявленных нарушений;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323-132) определение порядка проведения государственной аттестации в отношении организаций, реализующих образовательные программы технического и профессионального, послесреднего образования в области здравоохранения;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323-133) обеспечение организации медицинской помощи лицам, имеющим зависимость (алкоголь, наркотические средства, психотропные вещества, их аналоги, другие одурманивающие вещества), в том числе игровую (лудомания);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323-134) координация организации мероприятий по профилактике наркомании, алкоголизма и суицидов в области здравоохранения;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323-135) участие в разработке совместных мероприятий в области здравоохранения при взаимодействии с субъектами профилактики правонарушений;".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