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bbf9" w14:textId="cdab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апреля 2026 года № 253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обеспечение политики по формированию здорового образа жизни;";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170)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323-130), 323-131), 323-132), 323-133), 323-134) и 323-135)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"323-130) утверждение порядка формирования реестра эпидемически значимых субъектов (объектов) в сфере санитарно-эпидемиологического благополучия населения и его формы;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323-131) утверждение форм полугодового списка субъектов (объектов) особого контроля и надзора, актов о назначении, продлении сроков, результатах проверки субъектов (объектов) особого контроля и надзора, решения Главного государственного санитарного врача Республики Казахстан о проведении мониторинга, акта о результатах мониторинга, предписания об устранении выявленных нарушений;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323-132) определение порядка проведения государственной аттестации в отношении организаций, реализующих образовательные программы технического и профессионального, послесреднего образования в области здравоохранения;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323-133) обеспечение организации медицинской помощи лицам, имеющим зависимость (алкоголь, наркотические средства, психотропные вещества, их аналоги, другие одурманивающие вещества), в том числе игровую (лудомания);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323-134) координация организации мероприятий по профилактике наркомании, алкоголизма и суицидов в области здравоохранения;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323-135) участие в разработке совместных мероприятий в области здравоохранения при взаимодействии с субъектами профилактики правонарушений;".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