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2e50" w14:textId="afc2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стальных заготовок, произведенных доменно-конвертерным способом</w:t>
      </w:r>
    </w:p>
    <w:p>
      <w:pPr>
        <w:spacing w:after="0"/>
        <w:ind w:left="0"/>
        <w:jc w:val="both"/>
      </w:pPr>
      <w:r>
        <w:rPr>
          <w:rFonts w:ascii="Times New Roman"/>
          <w:b w:val="false"/>
          <w:i w:val="false"/>
          <w:color w:val="000000"/>
          <w:sz w:val="28"/>
        </w:rPr>
        <w:t>Постановление Правительства Республики Казахстан от 27 марта 2026 года № 194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разрешениях и уведомлениях", статьями 29 и 47 Договора о Евразийском экономическом союзе, а также разделом 10 приложения 7 к Договору о Евразийском экономическом союзе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стальных заготовок, произведенных доменно-конвертерным способом, на экспорт которых предоставлено исключительное право;</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4"/>
    <w:bookmarkStart w:name="z9" w:id="5"/>
    <w:p>
      <w:pPr>
        <w:spacing w:after="0"/>
        <w:ind w:left="0"/>
        <w:jc w:val="both"/>
      </w:pPr>
      <w:r>
        <w:rPr>
          <w:rFonts w:ascii="Times New Roman"/>
          <w:b w:val="false"/>
          <w:i w:val="false"/>
          <w:color w:val="000000"/>
          <w:sz w:val="28"/>
        </w:rPr>
        <w:t>
      2. Определить Комитет промышленности Министерства промышленности и строительства Республики Казахстан лицензиаром по осуществлению выдачи исключительной лицензии на экспорт отдельных видов стальных заготовок, произведенных доменно-конвертерным способом, предусмотренных подпунктом 1) пункта 1 настоящего постановления.</w:t>
      </w:r>
    </w:p>
    <w:bookmarkEnd w:id="5"/>
    <w:bookmarkStart w:name="z10" w:id="6"/>
    <w:p>
      <w:pPr>
        <w:spacing w:after="0"/>
        <w:ind w:left="0"/>
        <w:jc w:val="both"/>
      </w:pPr>
      <w:r>
        <w:rPr>
          <w:rFonts w:ascii="Times New Roman"/>
          <w:b w:val="false"/>
          <w:i w:val="false"/>
          <w:color w:val="000000"/>
          <w:sz w:val="28"/>
        </w:rPr>
        <w:t>
      3. Срок действия исключительной лицензии на экспорт отдельных видов стальных заготовок, произведенных доменно-конвертерным способом, составляет шесть месяцев с даты начала ее действия и может быть ограничен сроком действия внешнеторгового договора (контракта) или сроком действия документа, являющегося основанием для выдачи исключительной лицензии.</w:t>
      </w:r>
    </w:p>
    <w:bookmarkEnd w:id="6"/>
    <w:bookmarkStart w:name="z11" w:id="7"/>
    <w:p>
      <w:pPr>
        <w:spacing w:after="0"/>
        <w:ind w:left="0"/>
        <w:jc w:val="both"/>
      </w:pPr>
      <w:r>
        <w:rPr>
          <w:rFonts w:ascii="Times New Roman"/>
          <w:b w:val="false"/>
          <w:i w:val="false"/>
          <w:color w:val="000000"/>
          <w:sz w:val="28"/>
        </w:rPr>
        <w:t>
      4. Министерству промышленности и строительства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2026 года № 194</w:t>
            </w:r>
          </w:p>
        </w:tc>
      </w:tr>
    </w:tbl>
    <w:bookmarkStart w:name="z15" w:id="9"/>
    <w:p>
      <w:pPr>
        <w:spacing w:after="0"/>
        <w:ind w:left="0"/>
        <w:jc w:val="left"/>
      </w:pPr>
      <w:r>
        <w:rPr>
          <w:rFonts w:ascii="Times New Roman"/>
          <w:b/>
          <w:i w:val="false"/>
          <w:color w:val="000000"/>
        </w:rPr>
        <w:t xml:space="preserve"> Перечень  </w:t>
      </w:r>
      <w:r>
        <w:br/>
      </w:r>
      <w:r>
        <w:rPr>
          <w:rFonts w:ascii="Times New Roman"/>
          <w:b/>
          <w:i w:val="false"/>
          <w:color w:val="000000"/>
        </w:rPr>
        <w:t>отдельных видов стальных заготовок, произведенных доменно-конвертерным способом,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стальных заготовок, произведенных доменно-конвертерным способом, на экспорт которых предоставлено исключительное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других первичных формах (кроме железа товарной позиции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6" w:id="10"/>
    <w:p>
      <w:pPr>
        <w:spacing w:after="0"/>
        <w:ind w:left="0"/>
        <w:jc w:val="both"/>
      </w:pPr>
      <w:r>
        <w:rPr>
          <w:rFonts w:ascii="Times New Roman"/>
          <w:b w:val="false"/>
          <w:i w:val="false"/>
          <w:color w:val="000000"/>
          <w:sz w:val="28"/>
        </w:rPr>
        <w:t xml:space="preserve">
      Примечание: расшифровка аббревиатуры: </w:t>
      </w:r>
    </w:p>
    <w:bookmarkEnd w:id="10"/>
    <w:bookmarkStart w:name="z17" w:id="11"/>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bookmarkEnd w:id="11"/>
    <w:bookmarkStart w:name="z18" w:id="12"/>
    <w:p>
      <w:pPr>
        <w:spacing w:after="0"/>
        <w:ind w:left="0"/>
        <w:jc w:val="both"/>
      </w:pPr>
      <w:r>
        <w:rPr>
          <w:rFonts w:ascii="Times New Roman"/>
          <w:b w:val="false"/>
          <w:i w:val="false"/>
          <w:color w:val="000000"/>
          <w:sz w:val="28"/>
        </w:rPr>
        <w:t>
      _____________________________________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2026 года № 194</w:t>
            </w:r>
          </w:p>
        </w:tc>
      </w:tr>
    </w:tbl>
    <w:bookmarkStart w:name="z20" w:id="13"/>
    <w:p>
      <w:pPr>
        <w:spacing w:after="0"/>
        <w:ind w:left="0"/>
        <w:jc w:val="left"/>
      </w:pPr>
      <w:r>
        <w:rPr>
          <w:rFonts w:ascii="Times New Roman"/>
          <w:b/>
          <w:i w:val="false"/>
          <w:color w:val="000000"/>
        </w:rPr>
        <w:t xml:space="preserve"> Перечень участников внешнеторговой деятельности, которым предоставлено исключительное право</w:t>
      </w:r>
    </w:p>
    <w:bookmarkEnd w:id="13"/>
    <w:bookmarkStart w:name="z21" w:id="14"/>
    <w:p>
      <w:pPr>
        <w:spacing w:after="0"/>
        <w:ind w:left="0"/>
        <w:jc w:val="both"/>
      </w:pPr>
      <w:r>
        <w:rPr>
          <w:rFonts w:ascii="Times New Roman"/>
          <w:b w:val="false"/>
          <w:i w:val="false"/>
          <w:color w:val="000000"/>
          <w:sz w:val="28"/>
        </w:rPr>
        <w:t>
      1. Акционерное общество "Qarmet".</w:t>
      </w:r>
    </w:p>
    <w:bookmarkEnd w:id="14"/>
    <w:bookmarkStart w:name="z22" w:id="15"/>
    <w:p>
      <w:pPr>
        <w:spacing w:after="0"/>
        <w:ind w:left="0"/>
        <w:jc w:val="both"/>
      </w:pPr>
      <w:r>
        <w:rPr>
          <w:rFonts w:ascii="Times New Roman"/>
          <w:b w:val="false"/>
          <w:i w:val="false"/>
          <w:color w:val="000000"/>
          <w:sz w:val="28"/>
        </w:rPr>
        <w:t>
      _____________________________________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2026 года № 194</w:t>
            </w:r>
          </w:p>
        </w:tc>
      </w:tr>
    </w:tbl>
    <w:bookmarkStart w:name="z24" w:id="16"/>
    <w:p>
      <w:pPr>
        <w:spacing w:after="0"/>
        <w:ind w:left="0"/>
        <w:jc w:val="left"/>
      </w:pPr>
      <w:r>
        <w:rPr>
          <w:rFonts w:ascii="Times New Roman"/>
          <w:b/>
          <w:i w:val="false"/>
          <w:color w:val="000000"/>
        </w:rPr>
        <w:t xml:space="preserve"> Правила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16"/>
    <w:bookmarkStart w:name="z25" w:id="17"/>
    <w:p>
      <w:pPr>
        <w:spacing w:after="0"/>
        <w:ind w:left="0"/>
        <w:jc w:val="left"/>
      </w:pPr>
      <w:r>
        <w:rPr>
          <w:rFonts w:ascii="Times New Roman"/>
          <w:b/>
          <w:i w:val="false"/>
          <w:color w:val="000000"/>
        </w:rPr>
        <w:t xml:space="preserve"> Глава 1. Общие положения</w:t>
      </w:r>
    </w:p>
    <w:bookmarkEnd w:id="17"/>
    <w:bookmarkStart w:name="z26" w:id="18"/>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а также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Совета Евразийской экономической комиссии от 24 ноября 2023 года № 125, и определяют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исключительная лицензия).</w:t>
      </w:r>
    </w:p>
    <w:bookmarkEnd w:id="18"/>
    <w:bookmarkStart w:name="z27" w:id="19"/>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9"/>
    <w:bookmarkStart w:name="z28" w:id="20"/>
    <w:p>
      <w:pPr>
        <w:spacing w:after="0"/>
        <w:ind w:left="0"/>
        <w:jc w:val="both"/>
      </w:pPr>
      <w:r>
        <w:rPr>
          <w:rFonts w:ascii="Times New Roman"/>
          <w:b w:val="false"/>
          <w:i w:val="false"/>
          <w:color w:val="000000"/>
          <w:sz w:val="28"/>
        </w:rPr>
        <w:t>
      1) лицензиар – Комитет промышленности Министерства промышленности и строительства Республики Казахстан;</w:t>
      </w:r>
    </w:p>
    <w:bookmarkEnd w:id="20"/>
    <w:bookmarkStart w:name="z29" w:id="21"/>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стальных заготовок, произведенных доменно-конвертерным способом, в соответствии с настоящим постановлением.</w:t>
      </w:r>
    </w:p>
    <w:bookmarkEnd w:id="21"/>
    <w:bookmarkStart w:name="z30" w:id="22"/>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22"/>
    <w:bookmarkStart w:name="z31" w:id="23"/>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случаях:</w:t>
      </w:r>
    </w:p>
    <w:bookmarkEnd w:id="23"/>
    <w:bookmarkStart w:name="z32" w:id="24"/>
    <w:p>
      <w:pPr>
        <w:spacing w:after="0"/>
        <w:ind w:left="0"/>
        <w:jc w:val="both"/>
      </w:pPr>
      <w:r>
        <w:rPr>
          <w:rFonts w:ascii="Times New Roman"/>
          <w:b w:val="false"/>
          <w:i w:val="false"/>
          <w:color w:val="000000"/>
          <w:sz w:val="28"/>
        </w:rPr>
        <w:t>
      1) добровольного обращения лицензиата;</w:t>
      </w:r>
    </w:p>
    <w:bookmarkEnd w:id="24"/>
    <w:bookmarkStart w:name="z33" w:id="25"/>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25"/>
    <w:bookmarkStart w:name="z34" w:id="26"/>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26"/>
    <w:bookmarkStart w:name="z35" w:id="27"/>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27"/>
    <w:bookmarkStart w:name="z36" w:id="28"/>
    <w:p>
      <w:pPr>
        <w:spacing w:after="0"/>
        <w:ind w:left="0"/>
        <w:jc w:val="both"/>
      </w:pPr>
      <w:r>
        <w:rPr>
          <w:rFonts w:ascii="Times New Roman"/>
          <w:b w:val="false"/>
          <w:i w:val="false"/>
          <w:color w:val="000000"/>
          <w:sz w:val="28"/>
        </w:rPr>
        <w:t>
      5) наличия судебного акта.</w:t>
      </w:r>
    </w:p>
    <w:bookmarkEnd w:id="28"/>
    <w:bookmarkStart w:name="z37" w:id="29"/>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29"/>
    <w:bookmarkStart w:name="z38" w:id="30"/>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3), 4) и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30"/>
    <w:bookmarkStart w:name="z39" w:id="31"/>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4) и 5) пункта 3 настоящих Правил, – на срок, не превышающий одного месяца.</w:t>
      </w:r>
    </w:p>
    <w:bookmarkEnd w:id="31"/>
    <w:bookmarkStart w:name="z40" w:id="32"/>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32"/>
    <w:bookmarkStart w:name="z41" w:id="33"/>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для приостановления или прекращения действия исключительной лицензии.</w:t>
      </w:r>
    </w:p>
    <w:bookmarkEnd w:id="33"/>
    <w:bookmarkStart w:name="z42" w:id="34"/>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34"/>
    <w:bookmarkStart w:name="z43" w:id="35"/>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35"/>
    <w:bookmarkStart w:name="z44" w:id="36"/>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36"/>
    <w:bookmarkStart w:name="z45" w:id="37"/>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37"/>
    <w:bookmarkStart w:name="z46" w:id="38"/>
    <w:p>
      <w:pPr>
        <w:spacing w:after="0"/>
        <w:ind w:left="0"/>
        <w:jc w:val="both"/>
      </w:pPr>
      <w:r>
        <w:rPr>
          <w:rFonts w:ascii="Times New Roman"/>
          <w:b w:val="false"/>
          <w:i w:val="false"/>
          <w:color w:val="000000"/>
          <w:sz w:val="28"/>
        </w:rPr>
        <w:t>
      8. Возобновление действия исключительной лицензии, приостановленной по основанию, предусмотренному подпунктом 1) пункта 3 настоящих Правил, осуществляется по обращению лицензиата.</w:t>
      </w:r>
    </w:p>
    <w:bookmarkEnd w:id="38"/>
    <w:bookmarkStart w:name="z47" w:id="39"/>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39"/>
    <w:bookmarkStart w:name="z48" w:id="40"/>
    <w:p>
      <w:pPr>
        <w:spacing w:after="0"/>
        <w:ind w:left="0"/>
        <w:jc w:val="both"/>
      </w:pPr>
      <w:r>
        <w:rPr>
          <w:rFonts w:ascii="Times New Roman"/>
          <w:b w:val="false"/>
          <w:i w:val="false"/>
          <w:color w:val="000000"/>
          <w:sz w:val="28"/>
        </w:rPr>
        <w:t>
      9. При приостановлении действия исключительной лицензии по основаниям, предусмотренным подпунктами 2), 3), 4) и 5)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40"/>
    <w:bookmarkStart w:name="z49" w:id="41"/>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41"/>
    <w:bookmarkStart w:name="z50" w:id="42"/>
    <w:p>
      <w:pPr>
        <w:spacing w:after="0"/>
        <w:ind w:left="0"/>
        <w:jc w:val="both"/>
      </w:pPr>
      <w:r>
        <w:rPr>
          <w:rFonts w:ascii="Times New Roman"/>
          <w:b w:val="false"/>
          <w:i w:val="false"/>
          <w:color w:val="000000"/>
          <w:sz w:val="28"/>
        </w:rPr>
        <w:t>
      При приостановлении действия исключительной лицензии по основаниям, указанным в подпункте 5)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42"/>
    <w:bookmarkStart w:name="z51" w:id="43"/>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43"/>
    <w:bookmarkStart w:name="z52" w:id="44"/>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прекращения действия исключительной лицензии.</w:t>
      </w:r>
    </w:p>
    <w:bookmarkEnd w:id="44"/>
    <w:bookmarkStart w:name="z53" w:id="45"/>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случаях:</w:t>
      </w:r>
    </w:p>
    <w:bookmarkEnd w:id="45"/>
    <w:bookmarkStart w:name="z54" w:id="46"/>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46"/>
    <w:bookmarkStart w:name="z55" w:id="47"/>
    <w:p>
      <w:pPr>
        <w:spacing w:after="0"/>
        <w:ind w:left="0"/>
        <w:jc w:val="both"/>
      </w:pPr>
      <w:r>
        <w:rPr>
          <w:rFonts w:ascii="Times New Roman"/>
          <w:b w:val="false"/>
          <w:i w:val="false"/>
          <w:color w:val="000000"/>
          <w:sz w:val="28"/>
        </w:rPr>
        <w:t>
      2) истечения срока, на которую она выдана;</w:t>
      </w:r>
    </w:p>
    <w:bookmarkEnd w:id="47"/>
    <w:bookmarkStart w:name="z56" w:id="48"/>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48"/>
    <w:bookmarkStart w:name="z57" w:id="49"/>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49"/>
    <w:bookmarkStart w:name="z58" w:id="50"/>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50"/>
    <w:bookmarkStart w:name="z59" w:id="51"/>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51"/>
    <w:bookmarkStart w:name="z60" w:id="52"/>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52"/>
    <w:bookmarkStart w:name="z61" w:id="53"/>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53"/>
    <w:bookmarkStart w:name="z62" w:id="54"/>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54"/>
    <w:bookmarkStart w:name="z63" w:id="55"/>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55"/>
    <w:bookmarkStart w:name="z64" w:id="56"/>
    <w:p>
      <w:pPr>
        <w:spacing w:after="0"/>
        <w:ind w:left="0"/>
        <w:jc w:val="both"/>
      </w:pPr>
      <w:r>
        <w:rPr>
          <w:rFonts w:ascii="Times New Roman"/>
          <w:b w:val="false"/>
          <w:i w:val="false"/>
          <w:color w:val="000000"/>
          <w:sz w:val="28"/>
        </w:rPr>
        <w:t>
      11) выявления допущенных нарушений при выдаче исключительной лицензии, повлекших выдачу исключительной лицензии, которая при соблюдении установленного порядка не могла быть выдана;</w:t>
      </w:r>
    </w:p>
    <w:bookmarkEnd w:id="56"/>
    <w:bookmarkStart w:name="z65" w:id="57"/>
    <w:p>
      <w:pPr>
        <w:spacing w:after="0"/>
        <w:ind w:left="0"/>
        <w:jc w:val="both"/>
      </w:pPr>
      <w:r>
        <w:rPr>
          <w:rFonts w:ascii="Times New Roman"/>
          <w:b w:val="false"/>
          <w:i w:val="false"/>
          <w:color w:val="000000"/>
          <w:sz w:val="28"/>
        </w:rPr>
        <w:t>
      12) наличия судебного акта;</w:t>
      </w:r>
    </w:p>
    <w:bookmarkEnd w:id="57"/>
    <w:bookmarkStart w:name="z66" w:id="58"/>
    <w:p>
      <w:pPr>
        <w:spacing w:after="0"/>
        <w:ind w:left="0"/>
        <w:jc w:val="both"/>
      </w:pPr>
      <w:r>
        <w:rPr>
          <w:rFonts w:ascii="Times New Roman"/>
          <w:b w:val="false"/>
          <w:i w:val="false"/>
          <w:color w:val="000000"/>
          <w:sz w:val="28"/>
        </w:rPr>
        <w:t>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пунктом 5 настоящих Правил.</w:t>
      </w:r>
    </w:p>
    <w:bookmarkEnd w:id="58"/>
    <w:bookmarkStart w:name="z67" w:id="59"/>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59"/>
    <w:bookmarkStart w:name="z68" w:id="60"/>
    <w:p>
      <w:pPr>
        <w:spacing w:after="0"/>
        <w:ind w:left="0"/>
        <w:jc w:val="both"/>
      </w:pPr>
      <w:r>
        <w:rPr>
          <w:rFonts w:ascii="Times New Roman"/>
          <w:b w:val="false"/>
          <w:i w:val="false"/>
          <w:color w:val="000000"/>
          <w:sz w:val="28"/>
        </w:rPr>
        <w:t>
      13. При наступлении случаев, указанных в подпунктах 2), 3), 4), 5), 6), 7), 8), 9), 10), 11), 12) и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пунктом 6 настоящих Правил, и необходимости вернуть исключительную лицензию лицензиару.</w:t>
      </w:r>
    </w:p>
    <w:bookmarkEnd w:id="60"/>
    <w:bookmarkStart w:name="z69" w:id="61"/>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 в случае ее выдачи на бумажном носителе.</w:t>
      </w:r>
    </w:p>
    <w:bookmarkEnd w:id="61"/>
    <w:bookmarkStart w:name="z70" w:id="62"/>
    <w:p>
      <w:pPr>
        <w:spacing w:after="0"/>
        <w:ind w:left="0"/>
        <w:jc w:val="both"/>
      </w:pPr>
      <w:r>
        <w:rPr>
          <w:rFonts w:ascii="Times New Roman"/>
          <w:b w:val="false"/>
          <w:i w:val="false"/>
          <w:color w:val="000000"/>
          <w:sz w:val="28"/>
        </w:rPr>
        <w:t xml:space="preserve">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62"/>
    <w:bookmarkStart w:name="z71" w:id="63"/>
    <w:p>
      <w:pPr>
        <w:spacing w:after="0"/>
        <w:ind w:left="0"/>
        <w:jc w:val="both"/>
      </w:pPr>
      <w:r>
        <w:rPr>
          <w:rFonts w:ascii="Times New Roman"/>
          <w:b w:val="false"/>
          <w:i w:val="false"/>
          <w:color w:val="000000"/>
          <w:sz w:val="28"/>
        </w:rPr>
        <w:t>
      16. Лицензиар в день принятия решения о приостановлении, возобновлении или прекращении действия исключительной лицензии направляет соответствующее уведомление в Комитет государственных доходов Министерства финансов Республики Казахстан, Пограничную службу Комитета национальной безопасности Республики Казахстан и лицензиату.</w:t>
      </w:r>
    </w:p>
    <w:bookmarkEnd w:id="63"/>
    <w:bookmarkStart w:name="z72" w:id="64"/>
    <w:p>
      <w:pPr>
        <w:spacing w:after="0"/>
        <w:ind w:left="0"/>
        <w:jc w:val="both"/>
      </w:pPr>
      <w:r>
        <w:rPr>
          <w:rFonts w:ascii="Times New Roman"/>
          <w:b w:val="false"/>
          <w:i w:val="false"/>
          <w:color w:val="000000"/>
          <w:sz w:val="28"/>
        </w:rPr>
        <w:t>
      _____________________________________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