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08761" w14:textId="93087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24 ноября 2022 года № 945 "Об утверждении Концепции развития здравоохранения Республики Казахстан до 2026 года"</w:t>
      </w:r>
    </w:p>
    <w:p>
      <w:pPr>
        <w:spacing w:after="0"/>
        <w:ind w:left="0"/>
        <w:jc w:val="both"/>
      </w:pPr>
      <w:r>
        <w:rPr>
          <w:rFonts w:ascii="Times New Roman"/>
          <w:b w:val="false"/>
          <w:i w:val="false"/>
          <w:color w:val="000000"/>
          <w:sz w:val="28"/>
        </w:rPr>
        <w:t>Постановление Правительства Республики Казахстан от 11 марта 2026 года № 162</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24 ноября 2022 года № 945 "Об утверждении Концепции развития здравоохранения Республики Казахстан до 2026 года" следующие изменения:</w:t>
      </w:r>
    </w:p>
    <w:bookmarkEnd w:id="1"/>
    <w:bookmarkStart w:name="z5" w:id="2"/>
    <w:p>
      <w:pPr>
        <w:spacing w:after="0"/>
        <w:ind w:left="0"/>
        <w:jc w:val="both"/>
      </w:pPr>
      <w:r>
        <w:rPr>
          <w:rFonts w:ascii="Times New Roman"/>
          <w:b w:val="false"/>
          <w:i w:val="false"/>
          <w:color w:val="000000"/>
          <w:sz w:val="28"/>
        </w:rPr>
        <w:t>
      заголовок изложить в следующей редакции:</w:t>
      </w:r>
    </w:p>
    <w:bookmarkEnd w:id="2"/>
    <w:bookmarkStart w:name="z6" w:id="3"/>
    <w:p>
      <w:pPr>
        <w:spacing w:after="0"/>
        <w:ind w:left="0"/>
        <w:jc w:val="both"/>
      </w:pPr>
      <w:r>
        <w:rPr>
          <w:rFonts w:ascii="Times New Roman"/>
          <w:b w:val="false"/>
          <w:i w:val="false"/>
          <w:color w:val="000000"/>
          <w:sz w:val="28"/>
        </w:rPr>
        <w:t>
      "Об утверждении Концепции развития здравоохранения Республики Казахстан на 2022 – 2029 годы";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8" w:id="4"/>
    <w:p>
      <w:pPr>
        <w:spacing w:after="0"/>
        <w:ind w:left="0"/>
        <w:jc w:val="both"/>
      </w:pPr>
      <w:r>
        <w:rPr>
          <w:rFonts w:ascii="Times New Roman"/>
          <w:b w:val="false"/>
          <w:i w:val="false"/>
          <w:color w:val="000000"/>
          <w:sz w:val="28"/>
        </w:rPr>
        <w:t>
      "1. Утвердить прилагаемую Концепцию развития здравоохранения Республики Казахстан на 2022 – 2029 годы (далее – Концепция).</w:t>
      </w:r>
    </w:p>
    <w:bookmarkEnd w:id="4"/>
    <w:bookmarkStart w:name="z9" w:id="5"/>
    <w:p>
      <w:pPr>
        <w:spacing w:after="0"/>
        <w:ind w:left="0"/>
        <w:jc w:val="both"/>
      </w:pPr>
      <w:r>
        <w:rPr>
          <w:rFonts w:ascii="Times New Roman"/>
          <w:b w:val="false"/>
          <w:i w:val="false"/>
          <w:color w:val="000000"/>
          <w:sz w:val="28"/>
        </w:rPr>
        <w:t xml:space="preserve">
      2. Центральным государственным и местным исполнительным органам, заинтересованным организациям (по согласованию), ответственным за реализацию Концепции: </w:t>
      </w:r>
    </w:p>
    <w:bookmarkEnd w:id="5"/>
    <w:bookmarkStart w:name="z10" w:id="6"/>
    <w:p>
      <w:pPr>
        <w:spacing w:after="0"/>
        <w:ind w:left="0"/>
        <w:jc w:val="both"/>
      </w:pPr>
      <w:r>
        <w:rPr>
          <w:rFonts w:ascii="Times New Roman"/>
          <w:b w:val="false"/>
          <w:i w:val="false"/>
          <w:color w:val="000000"/>
          <w:sz w:val="28"/>
        </w:rPr>
        <w:t xml:space="preserve">
      1) принять необходимые меры по реализации Концепции; </w:t>
      </w:r>
    </w:p>
    <w:bookmarkEnd w:id="6"/>
    <w:bookmarkStart w:name="z11" w:id="7"/>
    <w:p>
      <w:pPr>
        <w:spacing w:after="0"/>
        <w:ind w:left="0"/>
        <w:jc w:val="both"/>
      </w:pPr>
      <w:r>
        <w:rPr>
          <w:rFonts w:ascii="Times New Roman"/>
          <w:b w:val="false"/>
          <w:i w:val="false"/>
          <w:color w:val="000000"/>
          <w:sz w:val="28"/>
        </w:rPr>
        <w:t xml:space="preserve">
      2) обеспечить своевременное исполнение Плана действий по реализации Концепции; </w:t>
      </w:r>
    </w:p>
    <w:bookmarkEnd w:id="7"/>
    <w:bookmarkStart w:name="z12" w:id="8"/>
    <w:p>
      <w:pPr>
        <w:spacing w:after="0"/>
        <w:ind w:left="0"/>
        <w:jc w:val="both"/>
      </w:pPr>
      <w:r>
        <w:rPr>
          <w:rFonts w:ascii="Times New Roman"/>
          <w:b w:val="false"/>
          <w:i w:val="false"/>
          <w:color w:val="000000"/>
          <w:sz w:val="28"/>
        </w:rPr>
        <w:t>
      3) не позднее 1 апреля года, следующего за отчетным годом, представлять информацию о ходе реализации Концепции в Министерство здравоохранения Республики Казахстан.</w:t>
      </w:r>
    </w:p>
    <w:bookmarkEnd w:id="8"/>
    <w:bookmarkStart w:name="z13" w:id="9"/>
    <w:p>
      <w:pPr>
        <w:spacing w:after="0"/>
        <w:ind w:left="0"/>
        <w:jc w:val="both"/>
      </w:pPr>
      <w:r>
        <w:rPr>
          <w:rFonts w:ascii="Times New Roman"/>
          <w:b w:val="false"/>
          <w:i w:val="false"/>
          <w:color w:val="000000"/>
          <w:sz w:val="28"/>
        </w:rPr>
        <w:t>
      3. Министерству здравоохранения Республики Казахстан не позднее 1 мая года, следующего за отчетным годом, представлять информацию о ходе реализации Концепции в уполномоченный орган по государственному планированию, а также размещать ее на своем интернет-ресурсе (за исключением информации ограниченного доступа).";</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Концепцию</w:t>
      </w:r>
      <w:r>
        <w:rPr>
          <w:rFonts w:ascii="Times New Roman"/>
          <w:b w:val="false"/>
          <w:i w:val="false"/>
          <w:color w:val="000000"/>
          <w:sz w:val="28"/>
        </w:rPr>
        <w:t xml:space="preserve"> развития здравоохранения Республики Казахстан до 2026 года, утвержденную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15" w:id="10"/>
    <w:p>
      <w:pPr>
        <w:spacing w:after="0"/>
        <w:ind w:left="0"/>
        <w:jc w:val="both"/>
      </w:pPr>
      <w:r>
        <w:rPr>
          <w:rFonts w:ascii="Times New Roman"/>
          <w:b w:val="false"/>
          <w:i w:val="false"/>
          <w:color w:val="000000"/>
          <w:sz w:val="28"/>
        </w:rPr>
        <w:t>
      2. Контроль за исполнением настоящего постановления возложить на Министерство здравоохранения Республики Казахстан.</w:t>
      </w:r>
    </w:p>
    <w:bookmarkEnd w:id="10"/>
    <w:bookmarkStart w:name="z16" w:id="11"/>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11 марта 2026 года № 162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Утверждена </w:t>
            </w:r>
            <w:r>
              <w:br/>
            </w:r>
            <w:r>
              <w:rPr>
                <w:rFonts w:ascii="Times New Roman"/>
                <w:b w:val="false"/>
                <w:i w:val="false"/>
                <w:color w:val="000000"/>
                <w:sz w:val="20"/>
              </w:rPr>
              <w:t xml:space="preserve"> постановлением Правительства </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xml:space="preserve"> от "24" ноября 2022 года № 945 </w:t>
            </w:r>
          </w:p>
        </w:tc>
      </w:tr>
    </w:tbl>
    <w:bookmarkStart w:name="z20" w:id="12"/>
    <w:p>
      <w:pPr>
        <w:spacing w:after="0"/>
        <w:ind w:left="0"/>
        <w:jc w:val="left"/>
      </w:pPr>
      <w:r>
        <w:rPr>
          <w:rFonts w:ascii="Times New Roman"/>
          <w:b/>
          <w:i w:val="false"/>
          <w:color w:val="000000"/>
        </w:rPr>
        <w:t xml:space="preserve"> Концепция</w:t>
      </w:r>
      <w:r>
        <w:br/>
      </w:r>
      <w:r>
        <w:rPr>
          <w:rFonts w:ascii="Times New Roman"/>
          <w:b/>
          <w:i w:val="false"/>
          <w:color w:val="000000"/>
        </w:rPr>
        <w:t>развития здравоохранения Республики Казахстан на 2022 – 2029 годы</w:t>
      </w:r>
    </w:p>
    <w:bookmarkEnd w:id="12"/>
    <w:bookmarkStart w:name="z21" w:id="13"/>
    <w:p>
      <w:pPr>
        <w:spacing w:after="0"/>
        <w:ind w:left="0"/>
        <w:jc w:val="left"/>
      </w:pPr>
      <w:r>
        <w:rPr>
          <w:rFonts w:ascii="Times New Roman"/>
          <w:b/>
          <w:i w:val="false"/>
          <w:color w:val="000000"/>
        </w:rPr>
        <w:t xml:space="preserve"> Раздел 1. Паспорт</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развития здравоохранения Республики Казахстан на 2022 – 2029 годы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разработки (указываются вышестоящие документы СГП, в реализацию которых обеспечивается разработка Концепции)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4"/>
          <w:p>
            <w:pPr>
              <w:spacing w:after="20"/>
              <w:ind w:left="20"/>
              <w:jc w:val="both"/>
            </w:pPr>
            <w:r>
              <w:rPr>
                <w:rFonts w:ascii="Times New Roman"/>
                <w:b w:val="false"/>
                <w:i w:val="false"/>
                <w:color w:val="000000"/>
                <w:sz w:val="20"/>
              </w:rPr>
              <w:t>
1) "Об утверждении Национального плана развития Республики Казахстан до 2029 года и признании утратившими силу некоторых указов Президента Республики Казахстан"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30 июля 2024 года № 611);</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w:t>
            </w:r>
            <w:r>
              <w:rPr>
                <w:rFonts w:ascii="Times New Roman"/>
                <w:b w:val="false"/>
                <w:i w:val="false"/>
                <w:color w:val="000000"/>
                <w:sz w:val="20"/>
              </w:rPr>
              <w:t>Послание</w:t>
            </w:r>
            <w:r>
              <w:rPr>
                <w:rFonts w:ascii="Times New Roman"/>
                <w:b w:val="false"/>
                <w:i w:val="false"/>
                <w:color w:val="000000"/>
                <w:sz w:val="20"/>
              </w:rPr>
              <w:t xml:space="preserve"> Главы государства народу Казахстана от 2 сентября 2024 года "Справедливый Казахстан: закон и порядок, экономический рост, общественный оптимизм";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w:t>
            </w:r>
            <w:r>
              <w:rPr>
                <w:rFonts w:ascii="Times New Roman"/>
                <w:b w:val="false"/>
                <w:i w:val="false"/>
                <w:color w:val="000000"/>
                <w:sz w:val="20"/>
              </w:rPr>
              <w:t>Дорожная карта</w:t>
            </w:r>
            <w:r>
              <w:rPr>
                <w:rFonts w:ascii="Times New Roman"/>
                <w:b w:val="false"/>
                <w:i w:val="false"/>
                <w:color w:val="000000"/>
                <w:sz w:val="20"/>
              </w:rPr>
              <w:t xml:space="preserve"> по реализации Предвыборной платформы Президента Республики Казахстан "Справедливый Казахстан – для всех и для каждого. Сейчас и навсегда";</w:t>
            </w:r>
          </w:p>
          <w:p>
            <w:pPr>
              <w:spacing w:after="20"/>
              <w:ind w:left="20"/>
              <w:jc w:val="both"/>
            </w:pPr>
            <w:r>
              <w:rPr>
                <w:rFonts w:ascii="Times New Roman"/>
                <w:b w:val="false"/>
                <w:i w:val="false"/>
                <w:color w:val="000000"/>
                <w:sz w:val="20"/>
              </w:rPr>
              <w:t>
4) поручение Премьер-Министра Республики Казахстан Бектенова О.А. от 9 апреля 2025 года № 16-12/1703.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 ответственные за разработку, а также реализацию программного документа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5"/>
          <w:p>
            <w:pPr>
              <w:spacing w:after="20"/>
              <w:ind w:left="20"/>
              <w:jc w:val="both"/>
            </w:pPr>
            <w:r>
              <w:rPr>
                <w:rFonts w:ascii="Times New Roman"/>
                <w:b w:val="false"/>
                <w:i w:val="false"/>
                <w:color w:val="000000"/>
                <w:sz w:val="20"/>
              </w:rPr>
              <w:t>
Министерство здравоохранения Республики Казахстан,</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искусственного интеллекта и цифрового развития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труда и социальной защиты населения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Министерство науки и высшего образования Республики Казахстан, </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просвещения Республики Казахстан, Министерство туризма и спорта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Министерство внутренних дел Республики Казахстан,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Министерство национальной экономики Республики Казахстан, </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финансов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сельского хозяйства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культуры и информации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по чрезвычайным ситуациям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Министерство торговли и интеграции Республики Казахстан,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Министерство иностранных дел Республики Казахстан, </w:t>
            </w:r>
          </w:p>
          <w:p>
            <w:pPr>
              <w:spacing w:after="20"/>
              <w:ind w:left="20"/>
              <w:jc w:val="both"/>
            </w:pPr>
            <w:r>
              <w:rPr>
                <w:rFonts w:ascii="Times New Roman"/>
                <w:b w:val="false"/>
                <w:i w:val="false"/>
                <w:color w:val="000000"/>
                <w:sz w:val="20"/>
              </w:rPr>
              <w:t>
Министерство транспорта Республики Казахстан, акиматы областей, городов Астаны, Алматы и Шымкента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реализации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2029 годы</w:t>
            </w:r>
          </w:p>
        </w:tc>
      </w:tr>
    </w:tbl>
    <w:p>
      <w:pPr>
        <w:spacing w:after="0"/>
        <w:ind w:left="0"/>
        <w:jc w:val="left"/>
      </w:pPr>
      <w:r>
        <w:br/>
      </w:r>
      <w:r>
        <w:rPr>
          <w:rFonts w:ascii="Times New Roman"/>
          <w:b w:val="false"/>
          <w:i w:val="false"/>
          <w:color w:val="000000"/>
          <w:sz w:val="28"/>
        </w:rPr>
        <w:t>
</w:t>
      </w:r>
    </w:p>
    <w:bookmarkStart w:name="z38" w:id="16"/>
    <w:p>
      <w:pPr>
        <w:spacing w:after="0"/>
        <w:ind w:left="0"/>
        <w:jc w:val="left"/>
      </w:pPr>
      <w:r>
        <w:rPr>
          <w:rFonts w:ascii="Times New Roman"/>
          <w:b/>
          <w:i w:val="false"/>
          <w:color w:val="000000"/>
        </w:rPr>
        <w:t xml:space="preserve"> Раздел 2. Анализ текущей ситуации</w:t>
      </w:r>
    </w:p>
    <w:bookmarkEnd w:id="16"/>
    <w:bookmarkStart w:name="z39" w:id="17"/>
    <w:p>
      <w:pPr>
        <w:spacing w:after="0"/>
        <w:ind w:left="0"/>
        <w:jc w:val="both"/>
      </w:pPr>
      <w:r>
        <w:rPr>
          <w:rFonts w:ascii="Times New Roman"/>
          <w:b w:val="false"/>
          <w:i w:val="false"/>
          <w:color w:val="000000"/>
          <w:sz w:val="28"/>
        </w:rPr>
        <w:t>
      Система здравоохранения Казахстана является единой социально ориентированной структурой, обеспечивающей доступность и качество медицинской помощи. В Стратегии "Казахстан – 2050" укрепление здоровья нации определено одной из приоритетных задач, а здравоохранение рассматривается как важный элемент социальной политики и гарант государственных обязательств перед гражданами.</w:t>
      </w:r>
    </w:p>
    <w:bookmarkEnd w:id="17"/>
    <w:bookmarkStart w:name="z40" w:id="18"/>
    <w:p>
      <w:pPr>
        <w:spacing w:after="0"/>
        <w:ind w:left="0"/>
        <w:jc w:val="both"/>
      </w:pPr>
      <w:r>
        <w:rPr>
          <w:rFonts w:ascii="Times New Roman"/>
          <w:b w:val="false"/>
          <w:i w:val="false"/>
          <w:color w:val="000000"/>
          <w:sz w:val="28"/>
        </w:rPr>
        <w:t xml:space="preserve">
      Реализация среднесрочных целей в области охраны здоровья населения в рамках Национального плана развития Республики Казахстан до 2029 года предусматривает приоритетное развитие профилактики заболеваемости и снижение смертности, совершенствование системы финансирования, а также повышение качества и доступности медицинской помощи. </w:t>
      </w:r>
    </w:p>
    <w:bookmarkEnd w:id="18"/>
    <w:bookmarkStart w:name="z41" w:id="19"/>
    <w:p>
      <w:pPr>
        <w:spacing w:after="0"/>
        <w:ind w:left="0"/>
        <w:jc w:val="both"/>
      </w:pPr>
      <w:r>
        <w:rPr>
          <w:rFonts w:ascii="Times New Roman"/>
          <w:b w:val="false"/>
          <w:i w:val="false"/>
          <w:color w:val="000000"/>
          <w:sz w:val="28"/>
        </w:rPr>
        <w:t>
      Казахстан подтверждает свою приверженность целям устойчивого развития (далее – ЦУР) Организации Объединенных Наций (далее – ООН), улучшив позиции в индексе ЦУР до 66-го места в 2023 году. В 2025 году страна заняла 43-е место в рейтинге World Happiness Report – лучший результат среди стран Содружества Независимых Государств.</w:t>
      </w:r>
    </w:p>
    <w:bookmarkEnd w:id="19"/>
    <w:bookmarkStart w:name="z42" w:id="20"/>
    <w:p>
      <w:pPr>
        <w:spacing w:after="0"/>
        <w:ind w:left="0"/>
        <w:jc w:val="both"/>
      </w:pPr>
      <w:r>
        <w:rPr>
          <w:rFonts w:ascii="Times New Roman"/>
          <w:b w:val="false"/>
          <w:i w:val="false"/>
          <w:color w:val="000000"/>
          <w:sz w:val="28"/>
        </w:rPr>
        <w:t xml:space="preserve">
      </w:t>
      </w:r>
      <w:r>
        <w:rPr>
          <w:rFonts w:ascii="Times New Roman"/>
          <w:b w:val="false"/>
          <w:i/>
          <w:color w:val="000000"/>
          <w:sz w:val="28"/>
        </w:rPr>
        <w:t>Медико-демографические показатели здоровья</w:t>
      </w:r>
    </w:p>
    <w:bookmarkEnd w:id="20"/>
    <w:bookmarkStart w:name="z43" w:id="21"/>
    <w:p>
      <w:pPr>
        <w:spacing w:after="0"/>
        <w:ind w:left="0"/>
        <w:jc w:val="both"/>
      </w:pPr>
      <w:r>
        <w:rPr>
          <w:rFonts w:ascii="Times New Roman"/>
          <w:b w:val="false"/>
          <w:i w:val="false"/>
          <w:color w:val="000000"/>
          <w:sz w:val="28"/>
        </w:rPr>
        <w:t>
      Ожидаемая продолжительность жизни (далее – ОПЖ) в Казахстане за 5 лет сократила разрыв со средним уровнем Организаций экономического сотрудничества и развития (далее – ОЭСР) с 8,9 лет в 2020 году (ОЭСР – 80,3; Республика Казахстан – 71,37) до 5,76 лет в 2024 году (ОЭСР – 81,2; Республика Казахстан – 75,44). В 2021 году из-за пандемии короновирусной инфекции (далее – КВИ) ОПЖ снизилась до 70,23 лет на фоне роста смертности от заболеваний системы кровообращения и нервной системы. У мужчин снижение составило 2,49 года (с 68,82 в 2019 до 66,33 в 2021), у женщин – 3,27 года (с 77,3 до 74,03). В 2024 году ОПЖ в Казахстане (75,44) сопоставима с уровнем стран ОЭСР с наименьшими показателями – Латвия, Литва, Венгрия, Словакия (74–75 лет).</w:t>
      </w:r>
    </w:p>
    <w:bookmarkEnd w:id="21"/>
    <w:bookmarkStart w:name="z44" w:id="22"/>
    <w:p>
      <w:pPr>
        <w:spacing w:after="0"/>
        <w:ind w:left="0"/>
        <w:jc w:val="both"/>
      </w:pPr>
      <w:r>
        <w:rPr>
          <w:rFonts w:ascii="Times New Roman"/>
          <w:b w:val="false"/>
          <w:i w:val="false"/>
          <w:color w:val="000000"/>
          <w:sz w:val="28"/>
        </w:rPr>
        <w:t xml:space="preserve">
      По итогам 2024 года основные причины смертности: болезни системы кровообращения (далее – БСК) – 22,3 %, болезни нервной системы – 19,1 %, новообразования – 10,2 %, болезни органов дыхания – 10,0 %, системы пищеварения – 8,3 %, травмы и отравления – 7,8 %: </w:t>
      </w:r>
    </w:p>
    <w:bookmarkEnd w:id="22"/>
    <w:bookmarkStart w:name="z45" w:id="23"/>
    <w:p>
      <w:pPr>
        <w:spacing w:after="0"/>
        <w:ind w:left="0"/>
        <w:jc w:val="both"/>
      </w:pPr>
      <w:r>
        <w:rPr>
          <w:rFonts w:ascii="Times New Roman"/>
          <w:b w:val="false"/>
          <w:i w:val="false"/>
          <w:color w:val="000000"/>
          <w:sz w:val="28"/>
        </w:rPr>
        <w:t>
      смертность от БСК: рост в 2020 году на 18,8 % (193,8 на 100 тысяч населения), в 2021 году – на 17,1 % (226,9), затем снижение до 138,1 в 2024 году, болезни нервной системы – 126,9 на 100 тысяч населения в 2024 с ростом на фоне старения;</w:t>
      </w:r>
    </w:p>
    <w:bookmarkEnd w:id="23"/>
    <w:bookmarkStart w:name="z46" w:id="24"/>
    <w:p>
      <w:pPr>
        <w:spacing w:after="0"/>
        <w:ind w:left="0"/>
        <w:jc w:val="both"/>
      </w:pPr>
      <w:r>
        <w:rPr>
          <w:rFonts w:ascii="Times New Roman"/>
          <w:b w:val="false"/>
          <w:i w:val="false"/>
          <w:color w:val="000000"/>
          <w:sz w:val="28"/>
        </w:rPr>
        <w:t>
      смертность от болезней органов дыхания: пик в 2020 году – 122,9 на 100 тысяч населения из-за КВИ, снижение в 2024 году - 66,0 (на 46,3 %), в структуре смертности от болезней органов дыхания преобладают хронические неинфекционные заболевания легких, более 50 % составляет хроническая обструктивная болезнь легких (далее – ХОБЛ);</w:t>
      </w:r>
    </w:p>
    <w:bookmarkEnd w:id="24"/>
    <w:bookmarkStart w:name="z47" w:id="25"/>
    <w:p>
      <w:pPr>
        <w:spacing w:after="0"/>
        <w:ind w:left="0"/>
        <w:jc w:val="both"/>
      </w:pPr>
      <w:r>
        <w:rPr>
          <w:rFonts w:ascii="Times New Roman"/>
          <w:b w:val="false"/>
          <w:i w:val="false"/>
          <w:color w:val="000000"/>
          <w:sz w:val="28"/>
        </w:rPr>
        <w:t>
      смертность от злокачественных новообразований (далее – ЗНО): снижение с 74,2 (2020 год) до 65,3 (2024 год), от болезней пищеварения – с 68,5 до 55,2, от травм – с 60,1 до 51,8 на 100 тысяч населения.</w:t>
      </w:r>
    </w:p>
    <w:bookmarkEnd w:id="25"/>
    <w:bookmarkStart w:name="z48" w:id="26"/>
    <w:p>
      <w:pPr>
        <w:spacing w:after="0"/>
        <w:ind w:left="0"/>
        <w:jc w:val="both"/>
      </w:pPr>
      <w:r>
        <w:rPr>
          <w:rFonts w:ascii="Times New Roman"/>
          <w:b w:val="false"/>
          <w:i w:val="false"/>
          <w:color w:val="000000"/>
          <w:sz w:val="28"/>
        </w:rPr>
        <w:t>
      Заболеваемость ЗНО выросла за 5 лет с 166,0 до 207,7 на 100 тысяч; в 2024 году зарегистрировано 41318 новых случаев, более 55 % – лица трудоспособного возраста. По причинам смертности: рак легкого (16,2 %), рак желудка (11,2 %), колоректальный рак (10,6 %) и рак молочной железы (8,1 %). На учете состоят более 234 тысяч человек.</w:t>
      </w:r>
    </w:p>
    <w:bookmarkEnd w:id="26"/>
    <w:bookmarkStart w:name="z49" w:id="27"/>
    <w:p>
      <w:pPr>
        <w:spacing w:after="0"/>
        <w:ind w:left="0"/>
        <w:jc w:val="both"/>
      </w:pPr>
      <w:r>
        <w:rPr>
          <w:rFonts w:ascii="Times New Roman"/>
          <w:b w:val="false"/>
          <w:i w:val="false"/>
          <w:color w:val="000000"/>
          <w:sz w:val="28"/>
        </w:rPr>
        <w:t>
      По оценкам Всемирной организации здравоохранения (далее – ВОЗ) глобальное бремя онкологических заболеваний растет параллельно с ростом потребности в услугах и к 2050 году достигнет 35 млн, рост на 77 % по сравнению с уровнем 2022 года.</w:t>
      </w:r>
    </w:p>
    <w:bookmarkEnd w:id="27"/>
    <w:bookmarkStart w:name="z50" w:id="28"/>
    <w:p>
      <w:pPr>
        <w:spacing w:after="0"/>
        <w:ind w:left="0"/>
        <w:jc w:val="both"/>
      </w:pPr>
      <w:r>
        <w:rPr>
          <w:rFonts w:ascii="Times New Roman"/>
          <w:b w:val="false"/>
          <w:i w:val="false"/>
          <w:color w:val="000000"/>
          <w:sz w:val="28"/>
        </w:rPr>
        <w:t>
      С 2020 до 2023 года наблюдался рост количества смертей в дорожно-транспортных происшествиях: если в 2020 году погибло 1997 человек, то в 2021 году число возросло до 2270, а в 2022 году – до 2425, в 2023 году – 2544 погибших. В 2024 году наблюдалось ощутимое снижение – количество погибших составило 1950 человек.</w:t>
      </w:r>
    </w:p>
    <w:bookmarkEnd w:id="28"/>
    <w:bookmarkStart w:name="z51" w:id="29"/>
    <w:p>
      <w:pPr>
        <w:spacing w:after="0"/>
        <w:ind w:left="0"/>
        <w:jc w:val="both"/>
      </w:pPr>
      <w:r>
        <w:rPr>
          <w:rFonts w:ascii="Times New Roman"/>
          <w:b w:val="false"/>
          <w:i w:val="false"/>
          <w:color w:val="000000"/>
          <w:sz w:val="28"/>
        </w:rPr>
        <w:t>
      Заболеваемость сахарным диабетом (далее – СД) за 5 лет выросла почти в 1,8 раза: с 185,7 (2020 год) до 337,0 (2024 год) на 100 тысяч населения. Отмечается рост распространенности СД 2 типа среди лиц старше 40-45 лет. Среди осложнений СД 2 типа растут сердечно-сосудистые осложнения, ампутации снижаются (удельный вес - 0,26 % в 2024 году).</w:t>
      </w:r>
    </w:p>
    <w:bookmarkEnd w:id="29"/>
    <w:bookmarkStart w:name="z52" w:id="30"/>
    <w:p>
      <w:pPr>
        <w:spacing w:after="0"/>
        <w:ind w:left="0"/>
        <w:jc w:val="both"/>
      </w:pPr>
      <w:r>
        <w:rPr>
          <w:rFonts w:ascii="Times New Roman"/>
          <w:b w:val="false"/>
          <w:i w:val="false"/>
          <w:color w:val="000000"/>
          <w:sz w:val="28"/>
        </w:rPr>
        <w:t>
      Смертность от СД в 2024 году составила 22,5 на 100 тысяч населения. По оценкам Международной федерации диабета в Казахстане диабет является причиной смертности в 8-10 % случаев, включая сердечно-сосудистые заболевания атеросклеротического генеза (65-80 %), онкологию, инфекции, болезни почек, диабетическую кому.</w:t>
      </w:r>
    </w:p>
    <w:bookmarkEnd w:id="30"/>
    <w:bookmarkStart w:name="z53" w:id="31"/>
    <w:p>
      <w:pPr>
        <w:spacing w:after="0"/>
        <w:ind w:left="0"/>
        <w:jc w:val="both"/>
      </w:pPr>
      <w:r>
        <w:rPr>
          <w:rFonts w:ascii="Times New Roman"/>
          <w:b w:val="false"/>
          <w:i w:val="false"/>
          <w:color w:val="000000"/>
          <w:sz w:val="28"/>
        </w:rPr>
        <w:t>
      Ситуация по туберкулезу стабильная: с 2020 по 2024 год распространенность снизилась на 10 % (с 49,2 до 44,4 на 100 тысяч населения), заболеваемость – на 7 % (с 35,7 до 33,3 на 100 тысяч населения), смертность – на 47 % (с 1,9 до 1,0 на 100 тысяч населения).</w:t>
      </w:r>
    </w:p>
    <w:bookmarkEnd w:id="31"/>
    <w:bookmarkStart w:name="z54" w:id="32"/>
    <w:p>
      <w:pPr>
        <w:spacing w:after="0"/>
        <w:ind w:left="0"/>
        <w:jc w:val="both"/>
      </w:pPr>
      <w:r>
        <w:rPr>
          <w:rFonts w:ascii="Times New Roman"/>
          <w:b w:val="false"/>
          <w:i w:val="false"/>
          <w:color w:val="000000"/>
          <w:sz w:val="28"/>
        </w:rPr>
        <w:t>
      Отмечено снижение преждевременной смертности (определяемая как вероятность умереть в возрасте от 30 до 70 лет от сердечно-сосудистых заболеваний, сахарного диабета, рака или хронических респираторных заболеваний) от основных неинфекционных заболеваний (далее – НИЗ) с 20,5 % в 2020 году до 15,9 % в 2024 году. Остается высокая смертность среди мужчин (22,53 %), и практически каждый третий мужчина подвержен риску скоропостижной смерти в возрасте до 70 лет.</w:t>
      </w:r>
    </w:p>
    <w:bookmarkEnd w:id="32"/>
    <w:bookmarkStart w:name="z55" w:id="33"/>
    <w:p>
      <w:pPr>
        <w:spacing w:after="0"/>
        <w:ind w:left="0"/>
        <w:jc w:val="both"/>
      </w:pPr>
      <w:r>
        <w:rPr>
          <w:rFonts w:ascii="Times New Roman"/>
          <w:b w:val="false"/>
          <w:i w:val="false"/>
          <w:color w:val="000000"/>
          <w:sz w:val="28"/>
        </w:rPr>
        <w:t>
      Разрыв в ОПЖ со странами ОЭСР на 5,76 года обусловлен не столько уникальной структурой заболеваемости, сколько высокой смертностью от предотвратимых причин, особенно среди мужчин трудоспособного возраста. Это указывает на не реализованные возможности в профилактике, ранней диагностике и лечении, что особенно актуально в условиях роста бремени данных заболеваний.</w:t>
      </w:r>
    </w:p>
    <w:bookmarkEnd w:id="33"/>
    <w:bookmarkStart w:name="z56" w:id="34"/>
    <w:p>
      <w:pPr>
        <w:spacing w:after="0"/>
        <w:ind w:left="0"/>
        <w:jc w:val="both"/>
      </w:pPr>
      <w:r>
        <w:rPr>
          <w:rFonts w:ascii="Times New Roman"/>
          <w:b w:val="false"/>
          <w:i w:val="false"/>
          <w:color w:val="000000"/>
          <w:sz w:val="28"/>
        </w:rPr>
        <w:t>
      Особую тревогу вызывает тенденция роста заболеваемости сахарным диабетом, что свидетельствует о недостаточной эффективности мер по управлению факторами риска.</w:t>
      </w:r>
    </w:p>
    <w:bookmarkEnd w:id="34"/>
    <w:bookmarkStart w:name="z57" w:id="35"/>
    <w:p>
      <w:pPr>
        <w:spacing w:after="0"/>
        <w:ind w:left="0"/>
        <w:jc w:val="both"/>
      </w:pPr>
      <w:r>
        <w:rPr>
          <w:rFonts w:ascii="Times New Roman"/>
          <w:b w:val="false"/>
          <w:i w:val="false"/>
          <w:color w:val="000000"/>
          <w:sz w:val="28"/>
        </w:rPr>
        <w:t xml:space="preserve">
      </w:t>
      </w:r>
      <w:r>
        <w:rPr>
          <w:rFonts w:ascii="Times New Roman"/>
          <w:b w:val="false"/>
          <w:i/>
          <w:color w:val="000000"/>
          <w:sz w:val="28"/>
        </w:rPr>
        <w:t>Распространенность поведенческих факторов риска</w:t>
      </w:r>
    </w:p>
    <w:bookmarkEnd w:id="35"/>
    <w:bookmarkStart w:name="z58" w:id="36"/>
    <w:p>
      <w:pPr>
        <w:spacing w:after="0"/>
        <w:ind w:left="0"/>
        <w:jc w:val="both"/>
      </w:pPr>
      <w:r>
        <w:rPr>
          <w:rFonts w:ascii="Times New Roman"/>
          <w:b w:val="false"/>
          <w:i w:val="false"/>
          <w:color w:val="000000"/>
          <w:sz w:val="28"/>
        </w:rPr>
        <w:t xml:space="preserve">
      В 2024 году распространенность потребления табака в Казахстане выросла до 20,7 % (в 2023 году – 19,4 %): у мужчин – с 36,0 % до 39,8 %, у женщин – с 7,6 % до 8,5 %. </w:t>
      </w:r>
    </w:p>
    <w:bookmarkEnd w:id="36"/>
    <w:bookmarkStart w:name="z59" w:id="37"/>
    <w:p>
      <w:pPr>
        <w:spacing w:after="0"/>
        <w:ind w:left="0"/>
        <w:jc w:val="both"/>
      </w:pPr>
      <w:r>
        <w:rPr>
          <w:rFonts w:ascii="Times New Roman"/>
          <w:b w:val="false"/>
          <w:i w:val="false"/>
          <w:color w:val="000000"/>
          <w:sz w:val="28"/>
        </w:rPr>
        <w:t xml:space="preserve">
      По данным эпидемиологического надзора за детским ожирением (далее – COSI) (2020 год) каждый пятый ребенок 6-9 лет (20,6%) имеет избыточный вес, из них 6,6 % – ожирение. </w:t>
      </w:r>
    </w:p>
    <w:bookmarkEnd w:id="37"/>
    <w:bookmarkStart w:name="z60" w:id="38"/>
    <w:p>
      <w:pPr>
        <w:spacing w:after="0"/>
        <w:ind w:left="0"/>
        <w:jc w:val="both"/>
      </w:pPr>
      <w:r>
        <w:rPr>
          <w:rFonts w:ascii="Times New Roman"/>
          <w:b w:val="false"/>
          <w:i w:val="false"/>
          <w:color w:val="000000"/>
          <w:sz w:val="28"/>
        </w:rPr>
        <w:t xml:space="preserve">
      Заболеваемость ожирением за 2020 – 2024 годы стабильная – 45,5 и 45,3 на 100 тысяч населения соответственно. У подростков 15–17 лет отмечается снижение: с 122,9 в 2020 году до 95,5 в 2024 году. </w:t>
      </w:r>
    </w:p>
    <w:bookmarkEnd w:id="38"/>
    <w:bookmarkStart w:name="z61" w:id="39"/>
    <w:p>
      <w:pPr>
        <w:spacing w:after="0"/>
        <w:ind w:left="0"/>
        <w:jc w:val="both"/>
      </w:pPr>
      <w:r>
        <w:rPr>
          <w:rFonts w:ascii="Times New Roman"/>
          <w:b w:val="false"/>
          <w:i w:val="false"/>
          <w:color w:val="000000"/>
          <w:sz w:val="28"/>
        </w:rPr>
        <w:t>
      Доля граждан, ведущих здоровый образ жизни, в 2023 году составила 34,2 %, включая высокий уровень приверженности – 7,2 % и удовлетворительный – 27,0 %. В 2022 году этот показатель составил 31,4 %, в 2021 году – 23,2 %.</w:t>
      </w:r>
    </w:p>
    <w:bookmarkEnd w:id="39"/>
    <w:bookmarkStart w:name="z62" w:id="40"/>
    <w:p>
      <w:pPr>
        <w:spacing w:after="0"/>
        <w:ind w:left="0"/>
        <w:jc w:val="both"/>
      </w:pPr>
      <w:r>
        <w:rPr>
          <w:rFonts w:ascii="Times New Roman"/>
          <w:b w:val="false"/>
          <w:i w:val="false"/>
          <w:color w:val="000000"/>
          <w:sz w:val="28"/>
        </w:rPr>
        <w:t>
      Потребление соли по итогам 2024 года составило в среднем 17 грамм в день, что почти в 4 раза превышает норму ВОЗ.</w:t>
      </w:r>
    </w:p>
    <w:bookmarkEnd w:id="40"/>
    <w:bookmarkStart w:name="z63" w:id="41"/>
    <w:p>
      <w:pPr>
        <w:spacing w:after="0"/>
        <w:ind w:left="0"/>
        <w:jc w:val="both"/>
      </w:pPr>
      <w:r>
        <w:rPr>
          <w:rFonts w:ascii="Times New Roman"/>
          <w:b w:val="false"/>
          <w:i w:val="false"/>
          <w:color w:val="000000"/>
          <w:sz w:val="28"/>
        </w:rPr>
        <w:t>
      Заболеваемость психическими поведенческими расстройствами (далее – ППР) вследствие употребления психоактивных веществ (далее – ПАВ) в 2024 году снизилась на 6,8 % и составила 12768 человек, или 62,9 на 100 тысяч населения (2023 год – 67,5, 2022 год – 66,1). На 31 декабря 2024 года количество лиц с ППР вследствие употребления ПАВ, состоящих на динамическом наблюдении, составило 109748 человек, или 540,7 на 100 тысяч населения (2023 год – 546,3, 2022 год – 569,2). При этом показатель смертности от цирроза печени составляет 28,2 на 100 тысяч населения (64 % в структуре болезней органов пищеварения). За 5 лет в Казахстане число пациентов с циррозом выросло в 1,2 раза, с раком печени – в 1,3 раза, с хроническими вирусными гепатитами B и C – в 2,5 раза.</w:t>
      </w:r>
    </w:p>
    <w:bookmarkEnd w:id="41"/>
    <w:bookmarkStart w:name="z64" w:id="42"/>
    <w:p>
      <w:pPr>
        <w:spacing w:after="0"/>
        <w:ind w:left="0"/>
        <w:jc w:val="both"/>
      </w:pPr>
      <w:r>
        <w:rPr>
          <w:rFonts w:ascii="Times New Roman"/>
          <w:b w:val="false"/>
          <w:i w:val="false"/>
          <w:color w:val="000000"/>
          <w:sz w:val="28"/>
        </w:rPr>
        <w:t>
      Нарастает угроза новых синтетических наркотиков (соли, смеси, капли, таблетки), вызывающих тяжелые расстройства и высокую зависимость. Наблюдается отставание лабораторных возможностей от темпов появления новых соединений.</w:t>
      </w:r>
    </w:p>
    <w:bookmarkEnd w:id="42"/>
    <w:bookmarkStart w:name="z65" w:id="43"/>
    <w:p>
      <w:pPr>
        <w:spacing w:after="0"/>
        <w:ind w:left="0"/>
        <w:jc w:val="both"/>
      </w:pPr>
      <w:r>
        <w:rPr>
          <w:rFonts w:ascii="Times New Roman"/>
          <w:b w:val="false"/>
          <w:i w:val="false"/>
          <w:color w:val="000000"/>
          <w:sz w:val="28"/>
        </w:rPr>
        <w:t xml:space="preserve">
      Первичная заболеваемость ППР без употребления ПАВ выросла за 5 лет в 1,4 раза: с 8516 (45,1 на 100 тысяч населения) в 2020 году до 13231 (65,2 на 100 тысяч населения) в 2024 году. </w:t>
      </w:r>
    </w:p>
    <w:bookmarkEnd w:id="43"/>
    <w:bookmarkStart w:name="z66" w:id="44"/>
    <w:p>
      <w:pPr>
        <w:spacing w:after="0"/>
        <w:ind w:left="0"/>
        <w:jc w:val="both"/>
      </w:pPr>
      <w:r>
        <w:rPr>
          <w:rFonts w:ascii="Times New Roman"/>
          <w:b w:val="false"/>
          <w:i w:val="false"/>
          <w:color w:val="000000"/>
          <w:sz w:val="28"/>
        </w:rPr>
        <w:t>
      Суицид остается острой проблемой среди молодежи: за 2020 – 2024 годы уровень составил около 3,5 тысяч случаев в год, суицидальных попыток – около 4,5 тысяч случаев. Основная доля – в возрасте 18-64 лет (83 %), лица старше 65 лет – 11 %. Причины: материальные трудности, жилищные условия, конфликты в семье, разводы, нежелательная беременность.</w:t>
      </w:r>
    </w:p>
    <w:bookmarkEnd w:id="44"/>
    <w:bookmarkStart w:name="z67" w:id="45"/>
    <w:p>
      <w:pPr>
        <w:spacing w:after="0"/>
        <w:ind w:left="0"/>
        <w:jc w:val="both"/>
      </w:pPr>
      <w:r>
        <w:rPr>
          <w:rFonts w:ascii="Times New Roman"/>
          <w:b w:val="false"/>
          <w:i w:val="false"/>
          <w:color w:val="000000"/>
          <w:sz w:val="28"/>
        </w:rPr>
        <w:t>
      Репродуктивное здоровье девочек-подростков характеризуется ранним началом половой жизни (медианное значение – 16,5 лет). За 5 лет рождаемость среди подростков 15-18 лет снизилась на 23 %: с 5,0 до 2,9 на 1000 девушек; аборты сократились на 30 % (с 1,0 до 0,7 на 1000 девушек).</w:t>
      </w:r>
    </w:p>
    <w:bookmarkEnd w:id="45"/>
    <w:bookmarkStart w:name="z68" w:id="46"/>
    <w:p>
      <w:pPr>
        <w:spacing w:after="0"/>
        <w:ind w:left="0"/>
        <w:jc w:val="both"/>
      </w:pPr>
      <w:r>
        <w:rPr>
          <w:rFonts w:ascii="Times New Roman"/>
          <w:b w:val="false"/>
          <w:i w:val="false"/>
          <w:color w:val="000000"/>
          <w:sz w:val="28"/>
        </w:rPr>
        <w:t>
      Рост потребления табака и сохраняющееся чрезвычайно высокое потребление соли (одно из самых высоких в мире) свидетельствуют о необходимости дополнительных мер в сфере общественного здравоохранения.</w:t>
      </w:r>
    </w:p>
    <w:bookmarkEnd w:id="46"/>
    <w:bookmarkStart w:name="z69" w:id="47"/>
    <w:p>
      <w:pPr>
        <w:spacing w:after="0"/>
        <w:ind w:left="0"/>
        <w:jc w:val="both"/>
      </w:pPr>
      <w:r>
        <w:rPr>
          <w:rFonts w:ascii="Times New Roman"/>
          <w:b w:val="false"/>
          <w:i w:val="false"/>
          <w:color w:val="000000"/>
          <w:sz w:val="28"/>
        </w:rPr>
        <w:t xml:space="preserve">
      Стабильно высокий уровень суицида среди молодежи указывает на недостаток межведомственных решений, связанных с социальными и экономическими аспектами. </w:t>
      </w:r>
    </w:p>
    <w:bookmarkEnd w:id="47"/>
    <w:bookmarkStart w:name="z70" w:id="48"/>
    <w:p>
      <w:pPr>
        <w:spacing w:after="0"/>
        <w:ind w:left="0"/>
        <w:jc w:val="both"/>
      </w:pPr>
      <w:r>
        <w:rPr>
          <w:rFonts w:ascii="Times New Roman"/>
          <w:b w:val="false"/>
          <w:i w:val="false"/>
          <w:color w:val="000000"/>
          <w:sz w:val="28"/>
        </w:rPr>
        <w:t xml:space="preserve">
      </w:t>
      </w:r>
      <w:r>
        <w:rPr>
          <w:rFonts w:ascii="Times New Roman"/>
          <w:b w:val="false"/>
          <w:i/>
          <w:color w:val="000000"/>
          <w:sz w:val="28"/>
        </w:rPr>
        <w:t>Формирование общественного здоровья</w:t>
      </w:r>
    </w:p>
    <w:bookmarkEnd w:id="48"/>
    <w:bookmarkStart w:name="z71" w:id="49"/>
    <w:p>
      <w:pPr>
        <w:spacing w:after="0"/>
        <w:ind w:left="0"/>
        <w:jc w:val="both"/>
      </w:pPr>
      <w:r>
        <w:rPr>
          <w:rFonts w:ascii="Times New Roman"/>
          <w:b w:val="false"/>
          <w:i w:val="false"/>
          <w:color w:val="000000"/>
          <w:sz w:val="28"/>
        </w:rPr>
        <w:t>
      Существующие ограничительные меры: запрет курения в общественных местах, продажа табачных и алкогольных изделий лицам до 21 года, реклама, выкладка, штучная продажа, маркировка с предупреждениями, ограничение времени продажи алкоголя, полный запрет вейпов, повышение ставок акцизов на табачные изделия и алкогольную продукцию, запрет на продажу энергетиков лицам до 21 года.</w:t>
      </w:r>
    </w:p>
    <w:bookmarkEnd w:id="49"/>
    <w:bookmarkStart w:name="z72" w:id="50"/>
    <w:p>
      <w:pPr>
        <w:spacing w:after="0"/>
        <w:ind w:left="0"/>
        <w:jc w:val="both"/>
      </w:pPr>
      <w:r>
        <w:rPr>
          <w:rFonts w:ascii="Times New Roman"/>
          <w:b w:val="false"/>
          <w:i w:val="false"/>
          <w:color w:val="000000"/>
          <w:sz w:val="28"/>
        </w:rPr>
        <w:t>
      Функционируют 30 антитабачных центров и 4489 школ здоровья: 4215 при первичной медико-санитарной помощи (далее – ПМСП), 274 в стационарах, с охватом более 339 тысяч человек.</w:t>
      </w:r>
    </w:p>
    <w:bookmarkEnd w:id="50"/>
    <w:bookmarkStart w:name="z73" w:id="51"/>
    <w:p>
      <w:pPr>
        <w:spacing w:after="0"/>
        <w:ind w:left="0"/>
        <w:jc w:val="both"/>
      </w:pPr>
      <w:r>
        <w:rPr>
          <w:rFonts w:ascii="Times New Roman"/>
          <w:b w:val="false"/>
          <w:i w:val="false"/>
          <w:color w:val="000000"/>
          <w:sz w:val="28"/>
        </w:rPr>
        <w:t>
      Действуют 103 молодежных центра здоровья (далее – МЦЗ), которые оказывают медико-социальную помощь. Ежегодно обращаются около 700 тысяч человек, из них 41,1 % – молодежь 15-18 лет. Основные специалисты: психолог – 36,3 % обращений, терапевт – 18,7 %, гинеколог – 14,4 %.</w:t>
      </w:r>
    </w:p>
    <w:bookmarkEnd w:id="51"/>
    <w:bookmarkStart w:name="z74" w:id="52"/>
    <w:p>
      <w:pPr>
        <w:spacing w:after="0"/>
        <w:ind w:left="0"/>
        <w:jc w:val="both"/>
      </w:pPr>
      <w:r>
        <w:rPr>
          <w:rFonts w:ascii="Times New Roman"/>
          <w:b w:val="false"/>
          <w:i w:val="false"/>
          <w:color w:val="000000"/>
          <w:sz w:val="28"/>
        </w:rPr>
        <w:t>
      Функционируют 20 центров психического здоровья, 83 первичных центра в городах, 207 кабинетов в районах. Утверждены межведомственный единый алгоритм выявления несовершеннолетних с признаками суицидального поведения и дальнейшей работы с ними, а также алгоритм действий государственных органов по оказанию помощи ребенку, совершившему попытку суицида.</w:t>
      </w:r>
    </w:p>
    <w:bookmarkEnd w:id="52"/>
    <w:bookmarkStart w:name="z75" w:id="53"/>
    <w:p>
      <w:pPr>
        <w:spacing w:after="0"/>
        <w:ind w:left="0"/>
        <w:jc w:val="both"/>
      </w:pPr>
      <w:r>
        <w:rPr>
          <w:rFonts w:ascii="Times New Roman"/>
          <w:b w:val="false"/>
          <w:i w:val="false"/>
          <w:color w:val="000000"/>
          <w:sz w:val="28"/>
        </w:rPr>
        <w:t>
      В 19 регионах действуют отделения медико-социальной реабилитации на 375 коек, при центрах психического здоровья (далее – ЦПЗ) работают 38 центров временной адаптации и детоксикации.</w:t>
      </w:r>
    </w:p>
    <w:bookmarkEnd w:id="53"/>
    <w:bookmarkStart w:name="z76" w:id="54"/>
    <w:p>
      <w:pPr>
        <w:spacing w:after="0"/>
        <w:ind w:left="0"/>
        <w:jc w:val="both"/>
      </w:pPr>
      <w:r>
        <w:rPr>
          <w:rFonts w:ascii="Times New Roman"/>
          <w:b w:val="false"/>
          <w:i w:val="false"/>
          <w:color w:val="000000"/>
          <w:sz w:val="28"/>
        </w:rPr>
        <w:t xml:space="preserve">
      Существование широкой сети структур, ориентированных на формирование здоровых форм поведения, на фоне ухудшающихся показателей по некоторым факторам риска указывает на их недостаточную эффективность по отдельным направлениям. </w:t>
      </w:r>
    </w:p>
    <w:bookmarkEnd w:id="54"/>
    <w:bookmarkStart w:name="z77" w:id="55"/>
    <w:p>
      <w:pPr>
        <w:spacing w:after="0"/>
        <w:ind w:left="0"/>
        <w:jc w:val="both"/>
      </w:pPr>
      <w:r>
        <w:rPr>
          <w:rFonts w:ascii="Times New Roman"/>
          <w:b w:val="false"/>
          <w:i w:val="false"/>
          <w:color w:val="000000"/>
          <w:sz w:val="28"/>
        </w:rPr>
        <w:t xml:space="preserve">
      </w:t>
      </w:r>
      <w:r>
        <w:rPr>
          <w:rFonts w:ascii="Times New Roman"/>
          <w:b w:val="false"/>
          <w:i/>
          <w:color w:val="000000"/>
          <w:sz w:val="28"/>
        </w:rPr>
        <w:t>Скорая медицинская помощь</w:t>
      </w:r>
    </w:p>
    <w:bookmarkEnd w:id="55"/>
    <w:bookmarkStart w:name="z78" w:id="56"/>
    <w:p>
      <w:pPr>
        <w:spacing w:after="0"/>
        <w:ind w:left="0"/>
        <w:jc w:val="both"/>
      </w:pPr>
      <w:r>
        <w:rPr>
          <w:rFonts w:ascii="Times New Roman"/>
          <w:b w:val="false"/>
          <w:i w:val="false"/>
          <w:color w:val="000000"/>
          <w:sz w:val="28"/>
        </w:rPr>
        <w:t>
      Служба скорой медицинской помощи включает 20 станций, 96 городских подстанций и 195 районных отделений. Среднее время доезда в 2024 году: по 1 категории – 8,7 минут, 2 категория – 12,4 минут, 3 категория – 18,6 минут, 4 категория – 25,0 минут.</w:t>
      </w:r>
    </w:p>
    <w:bookmarkEnd w:id="56"/>
    <w:bookmarkStart w:name="z79" w:id="57"/>
    <w:p>
      <w:pPr>
        <w:spacing w:after="0"/>
        <w:ind w:left="0"/>
        <w:jc w:val="both"/>
      </w:pPr>
      <w:r>
        <w:rPr>
          <w:rFonts w:ascii="Times New Roman"/>
          <w:b w:val="false"/>
          <w:i w:val="false"/>
          <w:color w:val="000000"/>
          <w:sz w:val="28"/>
        </w:rPr>
        <w:t>
      Вызовы 4 категории составили 39 % от общего числа. Для их обслуживания при организациях ПМСП создано 647 мобильных бригад (1 бригада на 25 тысяч населения).</w:t>
      </w:r>
    </w:p>
    <w:bookmarkEnd w:id="57"/>
    <w:bookmarkStart w:name="z80" w:id="58"/>
    <w:p>
      <w:pPr>
        <w:spacing w:after="0"/>
        <w:ind w:left="0"/>
        <w:jc w:val="both"/>
      </w:pPr>
      <w:r>
        <w:rPr>
          <w:rFonts w:ascii="Times New Roman"/>
          <w:b w:val="false"/>
          <w:i w:val="false"/>
          <w:color w:val="000000"/>
          <w:sz w:val="28"/>
        </w:rPr>
        <w:t>
      В 2024 году выполнено 2184 вылета санитарной авиации (в 2023 году – 2317).</w:t>
      </w:r>
    </w:p>
    <w:bookmarkEnd w:id="58"/>
    <w:bookmarkStart w:name="z81" w:id="59"/>
    <w:p>
      <w:pPr>
        <w:spacing w:after="0"/>
        <w:ind w:left="0"/>
        <w:jc w:val="both"/>
      </w:pPr>
      <w:r>
        <w:rPr>
          <w:rFonts w:ascii="Times New Roman"/>
          <w:b w:val="false"/>
          <w:i w:val="false"/>
          <w:color w:val="000000"/>
          <w:sz w:val="28"/>
        </w:rPr>
        <w:t>
      Высокая доля вызовов 4 категории (39 %) может отражать пробелы в охвате ПМСП – недостаточной доступностью, охвате профилактикой и управлением заболеваниями.</w:t>
      </w:r>
    </w:p>
    <w:bookmarkEnd w:id="59"/>
    <w:bookmarkStart w:name="z82" w:id="60"/>
    <w:p>
      <w:pPr>
        <w:spacing w:after="0"/>
        <w:ind w:left="0"/>
        <w:jc w:val="both"/>
      </w:pPr>
      <w:r>
        <w:rPr>
          <w:rFonts w:ascii="Times New Roman"/>
          <w:b w:val="false"/>
          <w:i w:val="false"/>
          <w:color w:val="000000"/>
          <w:sz w:val="28"/>
        </w:rPr>
        <w:t xml:space="preserve">
      </w:t>
      </w:r>
      <w:r>
        <w:rPr>
          <w:rFonts w:ascii="Times New Roman"/>
          <w:b w:val="false"/>
          <w:i/>
          <w:color w:val="000000"/>
          <w:sz w:val="28"/>
        </w:rPr>
        <w:t>Первичная медико-санитарная помощь</w:t>
      </w:r>
    </w:p>
    <w:bookmarkEnd w:id="60"/>
    <w:bookmarkStart w:name="z83" w:id="61"/>
    <w:p>
      <w:pPr>
        <w:spacing w:after="0"/>
        <w:ind w:left="0"/>
        <w:jc w:val="both"/>
      </w:pPr>
      <w:r>
        <w:rPr>
          <w:rFonts w:ascii="Times New Roman"/>
          <w:b w:val="false"/>
          <w:i w:val="false"/>
          <w:color w:val="000000"/>
          <w:sz w:val="28"/>
        </w:rPr>
        <w:t>
      Наблюдается устойчивый рост охвата ПМСП: 19,8 млн в 2023 году, в 2024 году – 20,0 млн, в 2025 году – 20,3 млн. Распределение: 62 % – город, 38 % – село.</w:t>
      </w:r>
    </w:p>
    <w:bookmarkEnd w:id="61"/>
    <w:bookmarkStart w:name="z84" w:id="62"/>
    <w:p>
      <w:pPr>
        <w:spacing w:after="0"/>
        <w:ind w:left="0"/>
        <w:jc w:val="both"/>
      </w:pPr>
      <w:r>
        <w:rPr>
          <w:rFonts w:ascii="Times New Roman"/>
          <w:b w:val="false"/>
          <w:i w:val="false"/>
          <w:color w:val="000000"/>
          <w:sz w:val="28"/>
        </w:rPr>
        <w:t>
      По состоянию на начало 2025 года функционируют 677 организаций ПМСП, из них 426 (62,92 %) – в городе, 251 (37,08 %) – в селе. Доля частных организаций – 46,8 %. Участковая сеть ПМСП: врачи общей практики (далее – ВОП) – 10992 (80,6 %), терапевты – 868 (6,4 %), педиатры – 1770 (13,0 %). Укомплектованность более 90 %. На участках ВОП соотношение 1 врач на 2,67 среднего медицинского работника (далее – СМР), на терапевтических и педиатрических участках ниже нормы.</w:t>
      </w:r>
    </w:p>
    <w:bookmarkEnd w:id="62"/>
    <w:bookmarkStart w:name="z85" w:id="63"/>
    <w:p>
      <w:pPr>
        <w:spacing w:after="0"/>
        <w:ind w:left="0"/>
        <w:jc w:val="both"/>
      </w:pPr>
      <w:r>
        <w:rPr>
          <w:rFonts w:ascii="Times New Roman"/>
          <w:b w:val="false"/>
          <w:i w:val="false"/>
          <w:color w:val="000000"/>
          <w:sz w:val="28"/>
        </w:rPr>
        <w:t>
      Охват программами управления хроническими заболеваниями (далее – ПУЗ) в 2024 году составил 4,7 % от состоящих на динамическом наблюдении по трем включенным нозологиям. Причины низкого охвата: дефицит кадров в ПМСП, высокая текучесть, отсутствие интеграции регистра ПУЗ с медицинскими информационными системами (далее – МИС), слабая обратная связь с пациентами на амбулаторном лекарственном обеспечении (далее – АЛО), низкая вовлеченность пациентов. Число пациентов с ХОБЛ составляет около 80 тысяч, госпитализаций – стабильно 27 тысяч в год. Основные причины – тяжелые обострения и дыхательная недостаточность, в половине случаев потребность в вентиляции легких является основной причиной экстренной госпитализации.</w:t>
      </w:r>
    </w:p>
    <w:bookmarkEnd w:id="63"/>
    <w:bookmarkStart w:name="z86" w:id="64"/>
    <w:p>
      <w:pPr>
        <w:spacing w:after="0"/>
        <w:ind w:left="0"/>
        <w:jc w:val="both"/>
      </w:pPr>
      <w:r>
        <w:rPr>
          <w:rFonts w:ascii="Times New Roman"/>
          <w:b w:val="false"/>
          <w:i w:val="false"/>
          <w:color w:val="000000"/>
          <w:sz w:val="28"/>
        </w:rPr>
        <w:t>
      При подозрении на онкологическое или гематологическое заболевание в ПМСП с 2024 года действует маршрут "Зеленый коридор", обеспечивающий консультацию и обследование в течение 18 рабочих дней. По состоянию на 2025 год функционируют 2362 смотровых кабинета (850 мужских, 1 512 женских) и 525 онкологических кабинетов, обеспечивающих прием, диагностику, лечение и наблюдение пациентов.</w:t>
      </w:r>
    </w:p>
    <w:bookmarkEnd w:id="64"/>
    <w:bookmarkStart w:name="z87" w:id="65"/>
    <w:p>
      <w:pPr>
        <w:spacing w:after="0"/>
        <w:ind w:left="0"/>
        <w:jc w:val="both"/>
      </w:pPr>
      <w:r>
        <w:rPr>
          <w:rFonts w:ascii="Times New Roman"/>
          <w:b w:val="false"/>
          <w:i w:val="false"/>
          <w:color w:val="000000"/>
          <w:sz w:val="28"/>
        </w:rPr>
        <w:t>
      В 2024 году оптимизированы диагностические процедуры, пересмотрен порядок направлений к узким специалистам, устранена необходимость повторных визитов к ВОП. Доля доступных для самозаписи графиков ВОП выросла с 20 % до 90 %. Сокращен перечень анализов для госпитализации, увеличены сроки их действия: с 10 до 12 дней, с 1 до 3 месяцев. Разработан новый алгоритм совместной работы ВОП и профильных специалистов.</w:t>
      </w:r>
    </w:p>
    <w:bookmarkEnd w:id="65"/>
    <w:bookmarkStart w:name="z88" w:id="66"/>
    <w:p>
      <w:pPr>
        <w:spacing w:after="0"/>
        <w:ind w:left="0"/>
        <w:jc w:val="both"/>
      </w:pPr>
      <w:r>
        <w:rPr>
          <w:rFonts w:ascii="Times New Roman"/>
          <w:b w:val="false"/>
          <w:i w:val="false"/>
          <w:color w:val="000000"/>
          <w:sz w:val="28"/>
        </w:rPr>
        <w:t>
      В 2024 году охват диспансерных больных динамическим наблюдением увеличился на 12,7 % – до 2 млн человек, число оказанных им услуг выросло на 10 % – до 12 млн. Скрининг на НИЗ ежегодно проходят 3,4 млн взрослых, независимо от места жительства. В рамках онкоскрининга обследовано 2,5 млн человек, выявлено более 2,7 тысяч больных. Доля раннего выявления (0–1 стадия) рака шейки матки достигла 72 %, рака молочной железы – 56 %.</w:t>
      </w:r>
    </w:p>
    <w:bookmarkEnd w:id="66"/>
    <w:bookmarkStart w:name="z89" w:id="67"/>
    <w:p>
      <w:pPr>
        <w:spacing w:after="0"/>
        <w:ind w:left="0"/>
        <w:jc w:val="both"/>
      </w:pPr>
      <w:r>
        <w:rPr>
          <w:rFonts w:ascii="Times New Roman"/>
          <w:b w:val="false"/>
          <w:i w:val="false"/>
          <w:color w:val="000000"/>
          <w:sz w:val="28"/>
        </w:rPr>
        <w:t>
      С 2025 года для мужчин 50-76 лет введен дополнительный скрининг: амбулаторная коронарография и ультразвуковое исследование (далее – УЗИ) брахиоцефальных сосудов. Выявленные заболевания подлежат лечению, наблюдению и обеспечиваются бесплатными лекарствами.</w:t>
      </w:r>
    </w:p>
    <w:bookmarkEnd w:id="67"/>
    <w:bookmarkStart w:name="z90" w:id="68"/>
    <w:p>
      <w:pPr>
        <w:spacing w:after="0"/>
        <w:ind w:left="0"/>
        <w:jc w:val="both"/>
      </w:pPr>
      <w:r>
        <w:rPr>
          <w:rFonts w:ascii="Times New Roman"/>
          <w:b w:val="false"/>
          <w:i w:val="false"/>
          <w:color w:val="000000"/>
          <w:sz w:val="28"/>
        </w:rPr>
        <w:t>
      Высокая текучесть кадров, перегрузка врачей (в 2024 году – 21 %, коэффициент совместительства 1,5) и дефицит специалистов отражаются на результатах работы ПМСП, особенно доступности в отдаленных населенных пунктах.</w:t>
      </w:r>
    </w:p>
    <w:bookmarkEnd w:id="68"/>
    <w:bookmarkStart w:name="z91" w:id="69"/>
    <w:p>
      <w:pPr>
        <w:spacing w:after="0"/>
        <w:ind w:left="0"/>
        <w:jc w:val="both"/>
      </w:pPr>
      <w:r>
        <w:rPr>
          <w:rFonts w:ascii="Times New Roman"/>
          <w:b w:val="false"/>
          <w:i w:val="false"/>
          <w:color w:val="000000"/>
          <w:sz w:val="28"/>
        </w:rPr>
        <w:t xml:space="preserve">
      Низкий охват ПУЗ свидетельствует о существенном пробеле в реализации ключевой функции ПМСП по управлению здоровьем населения и профилактике. </w:t>
      </w:r>
    </w:p>
    <w:bookmarkEnd w:id="69"/>
    <w:bookmarkStart w:name="z92" w:id="70"/>
    <w:p>
      <w:pPr>
        <w:spacing w:after="0"/>
        <w:ind w:left="0"/>
        <w:jc w:val="both"/>
      </w:pPr>
      <w:r>
        <w:rPr>
          <w:rFonts w:ascii="Times New Roman"/>
          <w:b w:val="false"/>
          <w:i w:val="false"/>
          <w:color w:val="000000"/>
          <w:sz w:val="28"/>
        </w:rPr>
        <w:t>
      Основными проблемами оказания ПМСП являются: недостаточная доступность и охват профилактикой и управлением заболеваниями, рост НИЗ, необходимость межведомственных решений, связанных с социальными и экономическими аспектами, недостаточная эффективность текущих мер по профилактике поведенческих факторов риска, неукомплектованность кадрами, особенно в отдаленных населенных пунктах.</w:t>
      </w:r>
    </w:p>
    <w:bookmarkEnd w:id="70"/>
    <w:bookmarkStart w:name="z93" w:id="71"/>
    <w:p>
      <w:pPr>
        <w:spacing w:after="0"/>
        <w:ind w:left="0"/>
        <w:jc w:val="both"/>
      </w:pPr>
      <w:r>
        <w:rPr>
          <w:rFonts w:ascii="Times New Roman"/>
          <w:b w:val="false"/>
          <w:i w:val="false"/>
          <w:color w:val="000000"/>
          <w:sz w:val="28"/>
        </w:rPr>
        <w:t xml:space="preserve">
      </w:t>
      </w:r>
      <w:r>
        <w:rPr>
          <w:rFonts w:ascii="Times New Roman"/>
          <w:b w:val="false"/>
          <w:i/>
          <w:color w:val="000000"/>
          <w:sz w:val="28"/>
        </w:rPr>
        <w:t>Специализированная,</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том</w:t>
      </w:r>
      <w:r>
        <w:rPr>
          <w:rFonts w:ascii="Times New Roman"/>
          <w:b w:val="false"/>
          <w:i w:val="false"/>
          <w:color w:val="000000"/>
          <w:sz w:val="28"/>
        </w:rPr>
        <w:t xml:space="preserve"> </w:t>
      </w:r>
      <w:r>
        <w:rPr>
          <w:rFonts w:ascii="Times New Roman"/>
          <w:b w:val="false"/>
          <w:i/>
          <w:color w:val="000000"/>
          <w:sz w:val="28"/>
        </w:rPr>
        <w:t>числе</w:t>
      </w:r>
      <w:r>
        <w:rPr>
          <w:rFonts w:ascii="Times New Roman"/>
          <w:b w:val="false"/>
          <w:i w:val="false"/>
          <w:color w:val="000000"/>
          <w:sz w:val="28"/>
        </w:rPr>
        <w:t xml:space="preserve"> </w:t>
      </w:r>
      <w:r>
        <w:rPr>
          <w:rFonts w:ascii="Times New Roman"/>
          <w:b w:val="false"/>
          <w:i/>
          <w:color w:val="000000"/>
          <w:sz w:val="28"/>
        </w:rPr>
        <w:t>высокотехнологичная,</w:t>
      </w:r>
      <w:r>
        <w:rPr>
          <w:rFonts w:ascii="Times New Roman"/>
          <w:b w:val="false"/>
          <w:i w:val="false"/>
          <w:color w:val="000000"/>
          <w:sz w:val="28"/>
        </w:rPr>
        <w:t xml:space="preserve"> </w:t>
      </w:r>
      <w:r>
        <w:rPr>
          <w:rFonts w:ascii="Times New Roman"/>
          <w:b w:val="false"/>
          <w:i/>
          <w:color w:val="000000"/>
          <w:sz w:val="28"/>
        </w:rPr>
        <w:t>медицинская</w:t>
      </w:r>
      <w:r>
        <w:rPr>
          <w:rFonts w:ascii="Times New Roman"/>
          <w:b w:val="false"/>
          <w:i w:val="false"/>
          <w:color w:val="000000"/>
          <w:sz w:val="28"/>
        </w:rPr>
        <w:t xml:space="preserve"> </w:t>
      </w:r>
      <w:r>
        <w:rPr>
          <w:rFonts w:ascii="Times New Roman"/>
          <w:b w:val="false"/>
          <w:i/>
          <w:color w:val="000000"/>
          <w:sz w:val="28"/>
        </w:rPr>
        <w:t>помощь</w:t>
      </w:r>
    </w:p>
    <w:bookmarkEnd w:id="71"/>
    <w:bookmarkStart w:name="z94" w:id="72"/>
    <w:p>
      <w:pPr>
        <w:spacing w:after="0"/>
        <w:ind w:left="0"/>
        <w:jc w:val="both"/>
      </w:pPr>
      <w:r>
        <w:rPr>
          <w:rFonts w:ascii="Times New Roman"/>
          <w:b w:val="false"/>
          <w:i w:val="false"/>
          <w:color w:val="000000"/>
          <w:sz w:val="28"/>
        </w:rPr>
        <w:t>
      Дополнительное финансирование за счет внедрения обязательного социального медицинского страхования (далее – ОСМС) позволило значительно повысить доступность специализированной и высокотехнологичной медицинской помощи, расширить перечень предоставляемых услуг.</w:t>
      </w:r>
    </w:p>
    <w:bookmarkEnd w:id="72"/>
    <w:bookmarkStart w:name="z95" w:id="73"/>
    <w:p>
      <w:pPr>
        <w:spacing w:after="0"/>
        <w:ind w:left="0"/>
        <w:jc w:val="both"/>
      </w:pPr>
      <w:r>
        <w:rPr>
          <w:rFonts w:ascii="Times New Roman"/>
          <w:b w:val="false"/>
          <w:i w:val="false"/>
          <w:color w:val="000000"/>
          <w:sz w:val="28"/>
        </w:rPr>
        <w:t>
      За период 2019 – 2024 годов количество консультативно-диагностических услуг увеличилось почти в 7 раз, в том числе: позитронно-эмиссионная томография – на 136 %, компьютерная томография / магнитно-резонансная томография – на 600 %, стоматологические услуги – на 184 %, высокотехнологичные медицинские услуги – на 188 %.</w:t>
      </w:r>
    </w:p>
    <w:bookmarkEnd w:id="73"/>
    <w:bookmarkStart w:name="z96" w:id="74"/>
    <w:p>
      <w:pPr>
        <w:spacing w:after="0"/>
        <w:ind w:left="0"/>
        <w:jc w:val="both"/>
      </w:pPr>
      <w:r>
        <w:rPr>
          <w:rFonts w:ascii="Times New Roman"/>
          <w:b w:val="false"/>
          <w:i w:val="false"/>
          <w:color w:val="000000"/>
          <w:sz w:val="28"/>
        </w:rPr>
        <w:t>
      Реализуется Комплексный план по борьбе с онкологическими заболеваниями в Республике Казахстан на 2023 – 2027 годы.</w:t>
      </w:r>
    </w:p>
    <w:bookmarkEnd w:id="74"/>
    <w:bookmarkStart w:name="z97" w:id="75"/>
    <w:p>
      <w:pPr>
        <w:spacing w:after="0"/>
        <w:ind w:left="0"/>
        <w:jc w:val="both"/>
      </w:pPr>
      <w:r>
        <w:rPr>
          <w:rFonts w:ascii="Times New Roman"/>
          <w:b w:val="false"/>
          <w:i w:val="false"/>
          <w:color w:val="000000"/>
          <w:sz w:val="28"/>
        </w:rPr>
        <w:t>
      Пятилетняя выживаемость в 2024 году составила 57,1 %. Охват впервые выявленных пациентов с онкологическими заболеваниями лучевой терапией составил 41 % (12 тысяч пациентов), включая томотерапию, стереотаксис, интенсивно-модулированную радиотерапию, образно-направленную радиотерапию.</w:t>
      </w:r>
    </w:p>
    <w:bookmarkEnd w:id="75"/>
    <w:bookmarkStart w:name="z98" w:id="76"/>
    <w:p>
      <w:pPr>
        <w:spacing w:after="0"/>
        <w:ind w:left="0"/>
        <w:jc w:val="both"/>
      </w:pPr>
      <w:r>
        <w:rPr>
          <w:rFonts w:ascii="Times New Roman"/>
          <w:b w:val="false"/>
          <w:i w:val="false"/>
          <w:color w:val="000000"/>
          <w:sz w:val="28"/>
        </w:rPr>
        <w:t xml:space="preserve">
      В 2024 году помощь получили 49075 пациентов с острым нарушением мозгового кровообращения и 55327 с инфарктом (в 2023 – 45919 и 53832, соответственно). Для снижения смертности от БСК функционируют 83 инсультных центра и 48 центров чрескожных коронарных вмешательств. </w:t>
      </w:r>
    </w:p>
    <w:bookmarkEnd w:id="76"/>
    <w:bookmarkStart w:name="z99" w:id="77"/>
    <w:p>
      <w:pPr>
        <w:spacing w:after="0"/>
        <w:ind w:left="0"/>
        <w:jc w:val="both"/>
      </w:pPr>
      <w:r>
        <w:rPr>
          <w:rFonts w:ascii="Times New Roman"/>
          <w:b w:val="false"/>
          <w:i w:val="false"/>
          <w:color w:val="000000"/>
          <w:sz w:val="28"/>
        </w:rPr>
        <w:t>
      Реализуется Дорожная карта по реализации мер совершенствования наркологической и токсикологической помощи населению Республики Казахстан на 2024 – 2026 годы. Расширяется амбулаторная помощь, увеличивается число ЦПЗ и открываются отделения медико-социальной реабилитации для лиц с ППР при употреблении ПАВ.</w:t>
      </w:r>
    </w:p>
    <w:bookmarkEnd w:id="77"/>
    <w:bookmarkStart w:name="z100" w:id="78"/>
    <w:p>
      <w:pPr>
        <w:spacing w:after="0"/>
        <w:ind w:left="0"/>
        <w:jc w:val="both"/>
      </w:pPr>
      <w:r>
        <w:rPr>
          <w:rFonts w:ascii="Times New Roman"/>
          <w:b w:val="false"/>
          <w:i w:val="false"/>
          <w:color w:val="000000"/>
          <w:sz w:val="28"/>
        </w:rPr>
        <w:t>
      В 2024 году в листе ожидания находились 4117 человек (в 2020 году – 3408). Функционируют 7 центров трансплантаций, 40 донорских организаций и 5 лабораторий типирования. За 5 лет проведено 1005 операций, из них 92,1 % – от прижизненных доноров, 7,9 % – от кадавра. Приверженность к посмертному донорству остается низкой.</w:t>
      </w:r>
    </w:p>
    <w:bookmarkEnd w:id="78"/>
    <w:bookmarkStart w:name="z101" w:id="79"/>
    <w:p>
      <w:pPr>
        <w:spacing w:after="0"/>
        <w:ind w:left="0"/>
        <w:jc w:val="both"/>
      </w:pPr>
      <w:r>
        <w:rPr>
          <w:rFonts w:ascii="Times New Roman"/>
          <w:b w:val="false"/>
          <w:i w:val="false"/>
          <w:color w:val="000000"/>
          <w:sz w:val="28"/>
        </w:rPr>
        <w:t>
      В целом рост финансирования повысил доступность специализированной помощи, но остаются пробелы в своевременном охвате необходимыми услугами, включая географические барьеры, при этом оценка необеспеченных потребностей проводится не системно.</w:t>
      </w:r>
    </w:p>
    <w:bookmarkEnd w:id="79"/>
    <w:bookmarkStart w:name="z102" w:id="80"/>
    <w:p>
      <w:pPr>
        <w:spacing w:after="0"/>
        <w:ind w:left="0"/>
        <w:jc w:val="both"/>
      </w:pPr>
      <w:r>
        <w:rPr>
          <w:rFonts w:ascii="Times New Roman"/>
          <w:b w:val="false"/>
          <w:i w:val="false"/>
          <w:color w:val="000000"/>
          <w:sz w:val="28"/>
        </w:rPr>
        <w:t>
      Слабая интеграция между уровнями медицинской помощи ограничивает преемственность и влияет на эффективность использования ресурсов, особенно в контексте хронических заболеваний и социально уязвимых групп населения. Специализированная помощь ориентирована на лечение уже возникших заболеваний и осложнений.</w:t>
      </w:r>
    </w:p>
    <w:bookmarkEnd w:id="80"/>
    <w:bookmarkStart w:name="z103" w:id="81"/>
    <w:p>
      <w:pPr>
        <w:spacing w:after="0"/>
        <w:ind w:left="0"/>
        <w:jc w:val="both"/>
      </w:pPr>
      <w:r>
        <w:rPr>
          <w:rFonts w:ascii="Times New Roman"/>
          <w:b w:val="false"/>
          <w:i w:val="false"/>
          <w:color w:val="000000"/>
          <w:sz w:val="28"/>
        </w:rPr>
        <w:t xml:space="preserve">
      </w:t>
      </w:r>
      <w:r>
        <w:rPr>
          <w:rFonts w:ascii="Times New Roman"/>
          <w:b w:val="false"/>
          <w:i/>
          <w:color w:val="000000"/>
          <w:sz w:val="28"/>
        </w:rPr>
        <w:t>Планирование семьи</w:t>
      </w:r>
    </w:p>
    <w:bookmarkEnd w:id="81"/>
    <w:bookmarkStart w:name="z104" w:id="82"/>
    <w:p>
      <w:pPr>
        <w:spacing w:after="0"/>
        <w:ind w:left="0"/>
        <w:jc w:val="both"/>
      </w:pPr>
      <w:r>
        <w:rPr>
          <w:rFonts w:ascii="Times New Roman"/>
          <w:b w:val="false"/>
          <w:i w:val="false"/>
          <w:color w:val="000000"/>
          <w:sz w:val="28"/>
        </w:rPr>
        <w:t xml:space="preserve">
      Увеличился показатель неудовлетворенной потребности в планировании семьи с 10 % (2015 год) до 18 % (2024 год). </w:t>
      </w:r>
    </w:p>
    <w:bookmarkEnd w:id="82"/>
    <w:bookmarkStart w:name="z105" w:id="83"/>
    <w:p>
      <w:pPr>
        <w:spacing w:after="0"/>
        <w:ind w:left="0"/>
        <w:jc w:val="both"/>
      </w:pPr>
      <w:r>
        <w:rPr>
          <w:rFonts w:ascii="Times New Roman"/>
          <w:b w:val="false"/>
          <w:i w:val="false"/>
          <w:color w:val="000000"/>
          <w:sz w:val="28"/>
        </w:rPr>
        <w:t xml:space="preserve">
      С 2020 по 2024 годы анемия у женщин 15-49 лет снизилась с 27,0 до 23,7 (на 13,9 %). Среди экстрагенитальных заболеваний (далее – ЭГЗ) преобладают: анемия – 32 %, гипертензия – 29,2 %, вирусные инфекции – 21,6 %, мочеполовая инфекция – 16,03 %, сахарный диабет – 7,23 %. </w:t>
      </w:r>
    </w:p>
    <w:bookmarkEnd w:id="83"/>
    <w:bookmarkStart w:name="z106" w:id="84"/>
    <w:p>
      <w:pPr>
        <w:spacing w:after="0"/>
        <w:ind w:left="0"/>
        <w:jc w:val="both"/>
      </w:pPr>
      <w:r>
        <w:rPr>
          <w:rFonts w:ascii="Times New Roman"/>
          <w:b w:val="false"/>
          <w:i w:val="false"/>
          <w:color w:val="000000"/>
          <w:sz w:val="28"/>
        </w:rPr>
        <w:t>
      Показатель распространенности современных контрацептивных средств снизился с 53,6 % в 2015 году до 43,7 % по итогам 2024 года. Не доступны инъекционные контрацептивы и импланты.</w:t>
      </w:r>
    </w:p>
    <w:bookmarkEnd w:id="84"/>
    <w:bookmarkStart w:name="z107" w:id="85"/>
    <w:p>
      <w:pPr>
        <w:spacing w:after="0"/>
        <w:ind w:left="0"/>
        <w:jc w:val="both"/>
      </w:pPr>
      <w:r>
        <w:rPr>
          <w:rFonts w:ascii="Times New Roman"/>
          <w:b w:val="false"/>
          <w:i w:val="false"/>
          <w:color w:val="000000"/>
          <w:sz w:val="28"/>
        </w:rPr>
        <w:t>
      Утверждена специальная программа по охвату контрацепцией и прегравидарной подготовкой – "Аналар саулығы".</w:t>
      </w:r>
    </w:p>
    <w:bookmarkEnd w:id="85"/>
    <w:bookmarkStart w:name="z108" w:id="86"/>
    <w:p>
      <w:pPr>
        <w:spacing w:after="0"/>
        <w:ind w:left="0"/>
        <w:jc w:val="both"/>
      </w:pPr>
      <w:r>
        <w:rPr>
          <w:rFonts w:ascii="Times New Roman"/>
          <w:b w:val="false"/>
          <w:i w:val="false"/>
          <w:color w:val="000000"/>
          <w:sz w:val="28"/>
        </w:rPr>
        <w:t xml:space="preserve">
      Охват прегравидарной подготовкой составляет 40 %. </w:t>
      </w:r>
    </w:p>
    <w:bookmarkEnd w:id="86"/>
    <w:bookmarkStart w:name="z109" w:id="87"/>
    <w:p>
      <w:pPr>
        <w:spacing w:after="0"/>
        <w:ind w:left="0"/>
        <w:jc w:val="both"/>
      </w:pPr>
      <w:r>
        <w:rPr>
          <w:rFonts w:ascii="Times New Roman"/>
          <w:b w:val="false"/>
          <w:i w:val="false"/>
          <w:color w:val="000000"/>
          <w:sz w:val="28"/>
        </w:rPr>
        <w:t>
      С 2025 года женщины фертильного возраста, планирующие беременность, проходят 12 базовых обследований в рамках ОСМС.</w:t>
      </w:r>
    </w:p>
    <w:bookmarkEnd w:id="87"/>
    <w:bookmarkStart w:name="z110" w:id="88"/>
    <w:p>
      <w:pPr>
        <w:spacing w:after="0"/>
        <w:ind w:left="0"/>
        <w:jc w:val="both"/>
      </w:pPr>
      <w:r>
        <w:rPr>
          <w:rFonts w:ascii="Times New Roman"/>
          <w:b w:val="false"/>
          <w:i w:val="false"/>
          <w:color w:val="000000"/>
          <w:sz w:val="28"/>
        </w:rPr>
        <w:t>
      Снижение охвата современными методами контрацепции, рост неудовлетворенной потребности и низкий охват прегравидарной подготовкой указывают на недостаточную результативность действующих мер. Последствия выражаются в дополнительном бремени на здравоохранение за счет незапланированных беременностей, повышения рисков материнской заболеваемости и смертности.</w:t>
      </w:r>
    </w:p>
    <w:bookmarkEnd w:id="88"/>
    <w:bookmarkStart w:name="z111" w:id="89"/>
    <w:p>
      <w:pPr>
        <w:spacing w:after="0"/>
        <w:ind w:left="0"/>
        <w:jc w:val="both"/>
      </w:pPr>
      <w:r>
        <w:rPr>
          <w:rFonts w:ascii="Times New Roman"/>
          <w:b w:val="false"/>
          <w:i w:val="false"/>
          <w:color w:val="000000"/>
          <w:sz w:val="28"/>
        </w:rPr>
        <w:t xml:space="preserve">
      </w:t>
      </w:r>
      <w:r>
        <w:rPr>
          <w:rFonts w:ascii="Times New Roman"/>
          <w:b w:val="false"/>
          <w:i/>
          <w:color w:val="000000"/>
          <w:sz w:val="28"/>
        </w:rPr>
        <w:t>Охрана материнского здоровья</w:t>
      </w:r>
    </w:p>
    <w:bookmarkEnd w:id="89"/>
    <w:bookmarkStart w:name="z112" w:id="90"/>
    <w:p>
      <w:pPr>
        <w:spacing w:after="0"/>
        <w:ind w:left="0"/>
        <w:jc w:val="both"/>
      </w:pPr>
      <w:r>
        <w:rPr>
          <w:rFonts w:ascii="Times New Roman"/>
          <w:b w:val="false"/>
          <w:i w:val="false"/>
          <w:color w:val="000000"/>
          <w:sz w:val="28"/>
        </w:rPr>
        <w:t xml:space="preserve">
      В 2020 и 2021 годах материнская смертность выросла до 36,5 и 44,7 на 100 тысяч живорождений, 56,4 % случаев были связаны с COVID-19 и пневмониями. </w:t>
      </w:r>
    </w:p>
    <w:bookmarkEnd w:id="90"/>
    <w:bookmarkStart w:name="z113" w:id="91"/>
    <w:p>
      <w:pPr>
        <w:spacing w:after="0"/>
        <w:ind w:left="0"/>
        <w:jc w:val="both"/>
      </w:pPr>
      <w:r>
        <w:rPr>
          <w:rFonts w:ascii="Times New Roman"/>
          <w:b w:val="false"/>
          <w:i w:val="false"/>
          <w:color w:val="000000"/>
          <w:sz w:val="28"/>
        </w:rPr>
        <w:t>
      В 2024 году показатель снизился до 10,1, в том числе доля смертности от управляемых причин с 44 % до 35 %. В структуре материнской смертности 65 % составляют ЭГЗ, 35 % – осложнения беременности и родов. Охват дородовым наблюдением составил 99,2 %. Ежегодно под наблюдением находятся в среднем 600 тысяч беременных, из них 40 % – с высоким риском.</w:t>
      </w:r>
    </w:p>
    <w:bookmarkEnd w:id="91"/>
    <w:bookmarkStart w:name="z114" w:id="92"/>
    <w:p>
      <w:pPr>
        <w:spacing w:after="0"/>
        <w:ind w:left="0"/>
        <w:jc w:val="both"/>
      </w:pPr>
      <w:r>
        <w:rPr>
          <w:rFonts w:ascii="Times New Roman"/>
          <w:b w:val="false"/>
          <w:i w:val="false"/>
          <w:color w:val="000000"/>
          <w:sz w:val="28"/>
        </w:rPr>
        <w:t>
      В 2024 году обеспеченность акушерами-гинекологами, неонатологами и анестезиологами-реаниматологами в организациях родовспоможения составила 92 %. Оснащенность родовспомогательных организаций – 87 %.</w:t>
      </w:r>
    </w:p>
    <w:bookmarkEnd w:id="92"/>
    <w:bookmarkStart w:name="z115" w:id="93"/>
    <w:p>
      <w:pPr>
        <w:spacing w:after="0"/>
        <w:ind w:left="0"/>
        <w:jc w:val="both"/>
      </w:pPr>
      <w:r>
        <w:rPr>
          <w:rFonts w:ascii="Times New Roman"/>
          <w:b w:val="false"/>
          <w:i w:val="false"/>
          <w:color w:val="000000"/>
          <w:sz w:val="28"/>
        </w:rPr>
        <w:t>
      По состоянию на конец 2024 года в 20 регионах открыты 23 центра охраны плода, 300 специалистов УЗИ получили международный сертификат "FMF" (Фонд медицины плода).</w:t>
      </w:r>
    </w:p>
    <w:bookmarkEnd w:id="93"/>
    <w:bookmarkStart w:name="z116" w:id="94"/>
    <w:p>
      <w:pPr>
        <w:spacing w:after="0"/>
        <w:ind w:left="0"/>
        <w:jc w:val="both"/>
      </w:pPr>
      <w:r>
        <w:rPr>
          <w:rFonts w:ascii="Times New Roman"/>
          <w:b w:val="false"/>
          <w:i w:val="false"/>
          <w:color w:val="000000"/>
          <w:sz w:val="28"/>
        </w:rPr>
        <w:t>
      В 13 регионах открыто 15 клиник одного дня, закуплено 27 УЗИ и 10 биохимических анализаторов.</w:t>
      </w:r>
    </w:p>
    <w:bookmarkEnd w:id="94"/>
    <w:bookmarkStart w:name="z117" w:id="95"/>
    <w:p>
      <w:pPr>
        <w:spacing w:after="0"/>
        <w:ind w:left="0"/>
        <w:jc w:val="both"/>
      </w:pPr>
      <w:r>
        <w:rPr>
          <w:rFonts w:ascii="Times New Roman"/>
          <w:b w:val="false"/>
          <w:i w:val="false"/>
          <w:color w:val="000000"/>
          <w:sz w:val="28"/>
        </w:rPr>
        <w:t>
      50 тысяч беременных получили 250 тысяч диагностических услуг, выявляемость врожденных пороков развития (далее – ВПР) выросла на 10 %, прервано более 1000 беременностей, младенческая смертность от ВПР снижена на 15 %, инвалидность – на 3 %.</w:t>
      </w:r>
    </w:p>
    <w:bookmarkEnd w:id="95"/>
    <w:bookmarkStart w:name="z118" w:id="96"/>
    <w:p>
      <w:pPr>
        <w:spacing w:after="0"/>
        <w:ind w:left="0"/>
        <w:jc w:val="both"/>
      </w:pPr>
      <w:r>
        <w:rPr>
          <w:rFonts w:ascii="Times New Roman"/>
          <w:b w:val="false"/>
          <w:i w:val="false"/>
          <w:color w:val="000000"/>
          <w:sz w:val="28"/>
        </w:rPr>
        <w:t>
      В 2024 году внедрена фетальная медицина, проведено 37 малоинвазивных операций плоду.</w:t>
      </w:r>
    </w:p>
    <w:bookmarkEnd w:id="96"/>
    <w:bookmarkStart w:name="z119" w:id="97"/>
    <w:p>
      <w:pPr>
        <w:spacing w:after="0"/>
        <w:ind w:left="0"/>
        <w:jc w:val="both"/>
      </w:pPr>
      <w:r>
        <w:rPr>
          <w:rFonts w:ascii="Times New Roman"/>
          <w:b w:val="false"/>
          <w:i w:val="false"/>
          <w:color w:val="000000"/>
          <w:sz w:val="28"/>
        </w:rPr>
        <w:t>
      Преобладание ЭГЗ в структуре материнской смертности (65 %) указывает на пробелы в оказании дородовой профилактики и недостаточную интеграцию услуг по управлению здоровьем женщин до наступления беременности в ПМСП.</w:t>
      </w:r>
    </w:p>
    <w:bookmarkEnd w:id="97"/>
    <w:bookmarkStart w:name="z120" w:id="98"/>
    <w:p>
      <w:pPr>
        <w:spacing w:after="0"/>
        <w:ind w:left="0"/>
        <w:jc w:val="both"/>
      </w:pPr>
      <w:r>
        <w:rPr>
          <w:rFonts w:ascii="Times New Roman"/>
          <w:b w:val="false"/>
          <w:i w:val="false"/>
          <w:color w:val="000000"/>
          <w:sz w:val="28"/>
        </w:rPr>
        <w:t>
      Неравномерная доступность и вариативность качества услуг родовспоможения обусловлена неполной обеспеченностью медицинским оборудованием (87 %), изношенностью материально-технической базы отдельных организаций, а также дефицитом профильных специалистов – акушеров-гинекологов, неонатологов и анестезиологов-реаниматологов.</w:t>
      </w:r>
    </w:p>
    <w:bookmarkEnd w:id="98"/>
    <w:bookmarkStart w:name="z121" w:id="99"/>
    <w:p>
      <w:pPr>
        <w:spacing w:after="0"/>
        <w:ind w:left="0"/>
        <w:jc w:val="both"/>
      </w:pPr>
      <w:r>
        <w:rPr>
          <w:rFonts w:ascii="Times New Roman"/>
          <w:b w:val="false"/>
          <w:i w:val="false"/>
          <w:color w:val="000000"/>
          <w:sz w:val="28"/>
        </w:rPr>
        <w:t xml:space="preserve">
      </w:t>
      </w:r>
      <w:r>
        <w:rPr>
          <w:rFonts w:ascii="Times New Roman"/>
          <w:b w:val="false"/>
          <w:i/>
          <w:color w:val="000000"/>
          <w:sz w:val="28"/>
        </w:rPr>
        <w:t>Неонатальная помощь</w:t>
      </w:r>
    </w:p>
    <w:bookmarkEnd w:id="99"/>
    <w:bookmarkStart w:name="z122" w:id="100"/>
    <w:p>
      <w:pPr>
        <w:spacing w:after="0"/>
        <w:ind w:left="0"/>
        <w:jc w:val="both"/>
      </w:pPr>
      <w:r>
        <w:rPr>
          <w:rFonts w:ascii="Times New Roman"/>
          <w:b w:val="false"/>
          <w:i w:val="false"/>
          <w:color w:val="000000"/>
          <w:sz w:val="28"/>
        </w:rPr>
        <w:t>
      Показатель неонатальной смертности снизился с 4,8 на 1000 живорожденных в 2020 году до 3,4 в 2024 году. Благодаря росту коечного фонда неонатальной хирургии на 20 % ежегодно 1500 новорожденных с ВПР получают операции, 40 % – эндовидеохирургические. Показатель выживаемости вырос с 88 % до 93 %. Открыты 17 центров раннего вмешательства для детей с врожденными пороками. Внедряются молекулярно-генетическая диагностика, органосохраняющие операции.</w:t>
      </w:r>
    </w:p>
    <w:bookmarkEnd w:id="100"/>
    <w:bookmarkStart w:name="z123" w:id="101"/>
    <w:p>
      <w:pPr>
        <w:spacing w:after="0"/>
        <w:ind w:left="0"/>
        <w:jc w:val="both"/>
      </w:pPr>
      <w:r>
        <w:rPr>
          <w:rFonts w:ascii="Times New Roman"/>
          <w:b w:val="false"/>
          <w:i w:val="false"/>
          <w:color w:val="000000"/>
          <w:sz w:val="28"/>
        </w:rPr>
        <w:t>
      Для раннего выявления наследственных и врожденных нарушений проводится 5 видов скринингов: пренатальный, неонатальный (в первые дни жизни на гипотиреоз и фенилкетонурию), офтальмологический, ретинопатия у недоношенных, аудиологический и скрининг психофизического развития у новорожденных и детей раннего возраста.</w:t>
      </w:r>
    </w:p>
    <w:bookmarkEnd w:id="101"/>
    <w:bookmarkStart w:name="z124" w:id="102"/>
    <w:p>
      <w:pPr>
        <w:spacing w:after="0"/>
        <w:ind w:left="0"/>
        <w:jc w:val="both"/>
      </w:pPr>
      <w:r>
        <w:rPr>
          <w:rFonts w:ascii="Times New Roman"/>
          <w:b w:val="false"/>
          <w:i w:val="false"/>
          <w:color w:val="000000"/>
          <w:sz w:val="28"/>
        </w:rPr>
        <w:t>
      В целом реализованные меры обеспечили снижение неонатальной смертности на 20 % и достижение лучших показателей в регионе.</w:t>
      </w:r>
    </w:p>
    <w:bookmarkEnd w:id="102"/>
    <w:bookmarkStart w:name="z125" w:id="103"/>
    <w:p>
      <w:pPr>
        <w:spacing w:after="0"/>
        <w:ind w:left="0"/>
        <w:jc w:val="both"/>
      </w:pPr>
      <w:r>
        <w:rPr>
          <w:rFonts w:ascii="Times New Roman"/>
          <w:b w:val="false"/>
          <w:i w:val="false"/>
          <w:color w:val="000000"/>
          <w:sz w:val="28"/>
        </w:rPr>
        <w:t xml:space="preserve">
      </w:t>
      </w:r>
      <w:r>
        <w:rPr>
          <w:rFonts w:ascii="Times New Roman"/>
          <w:b w:val="false"/>
          <w:i/>
          <w:color w:val="000000"/>
          <w:sz w:val="28"/>
        </w:rPr>
        <w:t>Детское здоровье</w:t>
      </w:r>
    </w:p>
    <w:bookmarkEnd w:id="103"/>
    <w:bookmarkStart w:name="z126" w:id="104"/>
    <w:p>
      <w:pPr>
        <w:spacing w:after="0"/>
        <w:ind w:left="0"/>
        <w:jc w:val="both"/>
      </w:pPr>
      <w:r>
        <w:rPr>
          <w:rFonts w:ascii="Times New Roman"/>
          <w:b w:val="false"/>
          <w:i w:val="false"/>
          <w:color w:val="000000"/>
          <w:sz w:val="28"/>
        </w:rPr>
        <w:t>
      Младенческая смертность снизилась с 7,77 (2020 год) до 6,80 на 1000 живорожденных (2024 год).</w:t>
      </w:r>
    </w:p>
    <w:bookmarkEnd w:id="104"/>
    <w:bookmarkStart w:name="z127" w:id="105"/>
    <w:p>
      <w:pPr>
        <w:spacing w:after="0"/>
        <w:ind w:left="0"/>
        <w:jc w:val="both"/>
      </w:pPr>
      <w:r>
        <w:rPr>
          <w:rFonts w:ascii="Times New Roman"/>
          <w:b w:val="false"/>
          <w:i w:val="false"/>
          <w:color w:val="000000"/>
          <w:sz w:val="28"/>
        </w:rPr>
        <w:t>
      Детская смертность снизилась незначительно: с 9,41 (2020 год) до 9,30 на 1000 живорожденных (2024 год).</w:t>
      </w:r>
    </w:p>
    <w:bookmarkEnd w:id="105"/>
    <w:bookmarkStart w:name="z128" w:id="106"/>
    <w:p>
      <w:pPr>
        <w:spacing w:after="0"/>
        <w:ind w:left="0"/>
        <w:jc w:val="both"/>
      </w:pPr>
      <w:r>
        <w:rPr>
          <w:rFonts w:ascii="Times New Roman"/>
          <w:b w:val="false"/>
          <w:i w:val="false"/>
          <w:color w:val="000000"/>
          <w:sz w:val="28"/>
        </w:rPr>
        <w:t>
      Реализована регионализация перинатальной помощи. На 20 % увеличен коечный фонд неонатальной хирургии на базе перинатальных центров, усилена материально-техническая база и внедрены эффективные перинатальные технологии, в том числе с применением эндовидеохирургии, что позволило повысить выживаемость младенцев после операции и снизить смертность на 15 %.</w:t>
      </w:r>
    </w:p>
    <w:bookmarkEnd w:id="106"/>
    <w:bookmarkStart w:name="z129" w:id="107"/>
    <w:p>
      <w:pPr>
        <w:spacing w:after="0"/>
        <w:ind w:left="0"/>
        <w:jc w:val="both"/>
      </w:pPr>
      <w:r>
        <w:rPr>
          <w:rFonts w:ascii="Times New Roman"/>
          <w:b w:val="false"/>
          <w:i w:val="false"/>
          <w:color w:val="000000"/>
          <w:sz w:val="28"/>
        </w:rPr>
        <w:t>
      По данным опроса качества жизни населения в 2024 году: 0,6 % семей отметили случаи отсутствия возможности оплаты необходимого лечения или лекарственных средств для ребенка, 0,2 % сталкивались с недоступностью по месту жительства лечения или лекарственных средств, в которых нуждался ребенок.</w:t>
      </w:r>
    </w:p>
    <w:bookmarkEnd w:id="107"/>
    <w:bookmarkStart w:name="z130" w:id="108"/>
    <w:p>
      <w:pPr>
        <w:spacing w:after="0"/>
        <w:ind w:left="0"/>
        <w:jc w:val="both"/>
      </w:pPr>
      <w:r>
        <w:rPr>
          <w:rFonts w:ascii="Times New Roman"/>
          <w:b w:val="false"/>
          <w:i w:val="false"/>
          <w:color w:val="000000"/>
          <w:sz w:val="28"/>
        </w:rPr>
        <w:t>
      По состоянию на начало 2025 года общая выживаемость при детских злокачественных новообразованиях превысила 75 % благодаря таргетной терапии, интраартериальной химиотерапии и 3D-протезированию. Проведено 26 радиохирургических операций с применением технологии "Гамма-нож".</w:t>
      </w:r>
    </w:p>
    <w:bookmarkEnd w:id="108"/>
    <w:bookmarkStart w:name="z131" w:id="109"/>
    <w:p>
      <w:pPr>
        <w:spacing w:after="0"/>
        <w:ind w:left="0"/>
        <w:jc w:val="both"/>
      </w:pPr>
      <w:r>
        <w:rPr>
          <w:rFonts w:ascii="Times New Roman"/>
          <w:b w:val="false"/>
          <w:i w:val="false"/>
          <w:color w:val="000000"/>
          <w:sz w:val="28"/>
        </w:rPr>
        <w:t>
      За 10 лет выполнено более 500 трансплантаций гемопоэтических стволовых клеток, включая неродственные от зарубежных доноров.</w:t>
      </w:r>
    </w:p>
    <w:bookmarkEnd w:id="109"/>
    <w:bookmarkStart w:name="z132" w:id="110"/>
    <w:p>
      <w:pPr>
        <w:spacing w:after="0"/>
        <w:ind w:left="0"/>
        <w:jc w:val="both"/>
      </w:pPr>
      <w:r>
        <w:rPr>
          <w:rFonts w:ascii="Times New Roman"/>
          <w:b w:val="false"/>
          <w:i w:val="false"/>
          <w:color w:val="000000"/>
          <w:sz w:val="28"/>
        </w:rPr>
        <w:t>
      Положительная динамика по данному направлению выражается в снижении младенческой и детской смертности, расширении доступа к высокотехнологичной и дорогостоящей терапии. На эффективность перинатальной и детской службы влияют наблюдаемая в стране недостаточная обеспеченность врачами (в 2024 году акушеров-гинекологов, неонатологов, анестезиолог-реаниматологов – 92 %) в организациях родовспоможения, дефицит педиатров и детских профильных специалистов как на первичном звене, так и в многопрофильных детских стационарах. Сохраняются низкий уровень материально-технического состояния родовспомогательных учреждений и детства, несоответствие их современным требованиям, недостаточная оснащенность медицинским оборудованием, неукомплектованность кадрами.</w:t>
      </w:r>
    </w:p>
    <w:bookmarkEnd w:id="110"/>
    <w:bookmarkStart w:name="z133" w:id="111"/>
    <w:p>
      <w:pPr>
        <w:spacing w:after="0"/>
        <w:ind w:left="0"/>
        <w:jc w:val="both"/>
      </w:pPr>
      <w:r>
        <w:rPr>
          <w:rFonts w:ascii="Times New Roman"/>
          <w:b w:val="false"/>
          <w:i w:val="false"/>
          <w:color w:val="000000"/>
          <w:sz w:val="28"/>
        </w:rPr>
        <w:t xml:space="preserve">
      </w:t>
      </w:r>
      <w:r>
        <w:rPr>
          <w:rFonts w:ascii="Times New Roman"/>
          <w:b w:val="false"/>
          <w:i/>
          <w:color w:val="000000"/>
          <w:sz w:val="28"/>
        </w:rPr>
        <w:t>Школьная медицина</w:t>
      </w:r>
    </w:p>
    <w:bookmarkEnd w:id="111"/>
    <w:bookmarkStart w:name="z134" w:id="112"/>
    <w:p>
      <w:pPr>
        <w:spacing w:after="0"/>
        <w:ind w:left="0"/>
        <w:jc w:val="both"/>
      </w:pPr>
      <w:r>
        <w:rPr>
          <w:rFonts w:ascii="Times New Roman"/>
          <w:b w:val="false"/>
          <w:i w:val="false"/>
          <w:color w:val="000000"/>
          <w:sz w:val="28"/>
        </w:rPr>
        <w:t>
      По состоянию на начало 2025 года в стране функционирует более 7 тысяч школ, которые закреплены за поликлиниками и укомплектованы медицинскими работниками на 95 %.</w:t>
      </w:r>
    </w:p>
    <w:bookmarkEnd w:id="112"/>
    <w:bookmarkStart w:name="z135" w:id="113"/>
    <w:p>
      <w:pPr>
        <w:spacing w:after="0"/>
        <w:ind w:left="0"/>
        <w:jc w:val="both"/>
      </w:pPr>
      <w:r>
        <w:rPr>
          <w:rFonts w:ascii="Times New Roman"/>
          <w:b w:val="false"/>
          <w:i w:val="false"/>
          <w:color w:val="000000"/>
          <w:sz w:val="28"/>
        </w:rPr>
        <w:t>
      Внедрен электронный паспорт здоровья ребенка, упростивший маршрут перед поступлением в организации дошкольного и среднего образования.</w:t>
      </w:r>
    </w:p>
    <w:bookmarkEnd w:id="113"/>
    <w:bookmarkStart w:name="z136" w:id="114"/>
    <w:p>
      <w:pPr>
        <w:spacing w:after="0"/>
        <w:ind w:left="0"/>
        <w:jc w:val="both"/>
      </w:pPr>
      <w:r>
        <w:rPr>
          <w:rFonts w:ascii="Times New Roman"/>
          <w:b w:val="false"/>
          <w:i w:val="false"/>
          <w:color w:val="000000"/>
          <w:sz w:val="28"/>
        </w:rPr>
        <w:t>
      В 2024 году 90 % школьников прошли профилактические осмотры, из них у 377 тысяч детей выявлены заболевания, из них 40 % взяты на динамическое наблюдение. Наиболее часто выявляются патологии органов пищеварения, зрения, дыхания, а также стоматологические заболевания.</w:t>
      </w:r>
    </w:p>
    <w:bookmarkEnd w:id="114"/>
    <w:bookmarkStart w:name="z137" w:id="115"/>
    <w:p>
      <w:pPr>
        <w:spacing w:after="0"/>
        <w:ind w:left="0"/>
        <w:jc w:val="both"/>
      </w:pPr>
      <w:r>
        <w:rPr>
          <w:rFonts w:ascii="Times New Roman"/>
          <w:b w:val="false"/>
          <w:i w:val="false"/>
          <w:color w:val="000000"/>
          <w:sz w:val="28"/>
        </w:rPr>
        <w:t xml:space="preserve">
      В школах открыты 146 стоматологических кабинетов. </w:t>
      </w:r>
    </w:p>
    <w:bookmarkEnd w:id="115"/>
    <w:bookmarkStart w:name="z138" w:id="116"/>
    <w:p>
      <w:pPr>
        <w:spacing w:after="0"/>
        <w:ind w:left="0"/>
        <w:jc w:val="both"/>
      </w:pPr>
      <w:r>
        <w:rPr>
          <w:rFonts w:ascii="Times New Roman"/>
          <w:b w:val="false"/>
          <w:i w:val="false"/>
          <w:color w:val="000000"/>
          <w:sz w:val="28"/>
        </w:rPr>
        <w:t>
      В 17,2 % сельских школ нет доступа к интернету в медпунктах. Отмечается низкая обеспеченность школ автоматическими дефибрилляторами.</w:t>
      </w:r>
    </w:p>
    <w:bookmarkEnd w:id="116"/>
    <w:bookmarkStart w:name="z139" w:id="117"/>
    <w:p>
      <w:pPr>
        <w:spacing w:after="0"/>
        <w:ind w:left="0"/>
        <w:jc w:val="both"/>
      </w:pPr>
      <w:r>
        <w:rPr>
          <w:rFonts w:ascii="Times New Roman"/>
          <w:b w:val="false"/>
          <w:i w:val="false"/>
          <w:color w:val="000000"/>
          <w:sz w:val="28"/>
        </w:rPr>
        <w:t>
      С 2023 года действует стандарт оказания медицинской помощи в организациях среднего образования: определены норматив 1 ставка школьной медицинской сестры на 700 учащихся; норматив материально-технического оснащения и график работы медицинского пункта. Предусмотрена новая должность врача, координирующая школьную медицину, в каждой поликлинике из расчета 1 врач на 2000 школьного населения.</w:t>
      </w:r>
    </w:p>
    <w:bookmarkEnd w:id="117"/>
    <w:bookmarkStart w:name="z140" w:id="118"/>
    <w:p>
      <w:pPr>
        <w:spacing w:after="0"/>
        <w:ind w:left="0"/>
        <w:jc w:val="both"/>
      </w:pPr>
      <w:r>
        <w:rPr>
          <w:rFonts w:ascii="Times New Roman"/>
          <w:b w:val="false"/>
          <w:i w:val="false"/>
          <w:color w:val="000000"/>
          <w:sz w:val="28"/>
        </w:rPr>
        <w:t xml:space="preserve">
      Таким образом, сформирована системная основа для развития школьной медицины с интеграцией с ПМСП, цифровыми решениями и профилактической направленностью. Однако остаются недостаточными организация динамического наблюдения и оздоровления детей школьного возраста, внедрение цифровых систем ведения медицинской документации и ограниченность возможности дистанционного консультирования. </w:t>
      </w:r>
    </w:p>
    <w:bookmarkEnd w:id="118"/>
    <w:bookmarkStart w:name="z141" w:id="119"/>
    <w:p>
      <w:pPr>
        <w:spacing w:after="0"/>
        <w:ind w:left="0"/>
        <w:jc w:val="both"/>
      </w:pPr>
      <w:r>
        <w:rPr>
          <w:rFonts w:ascii="Times New Roman"/>
          <w:b w:val="false"/>
          <w:i w:val="false"/>
          <w:color w:val="000000"/>
          <w:sz w:val="28"/>
        </w:rPr>
        <w:t xml:space="preserve">
      </w:t>
      </w:r>
      <w:r>
        <w:rPr>
          <w:rFonts w:ascii="Times New Roman"/>
          <w:b w:val="false"/>
          <w:i/>
          <w:color w:val="000000"/>
          <w:sz w:val="28"/>
        </w:rPr>
        <w:t>Медицинская реабилитация</w:t>
      </w:r>
    </w:p>
    <w:bookmarkEnd w:id="119"/>
    <w:bookmarkStart w:name="z142" w:id="120"/>
    <w:p>
      <w:pPr>
        <w:spacing w:after="0"/>
        <w:ind w:left="0"/>
        <w:jc w:val="both"/>
      </w:pPr>
      <w:r>
        <w:rPr>
          <w:rFonts w:ascii="Times New Roman"/>
          <w:b w:val="false"/>
          <w:i w:val="false"/>
          <w:color w:val="000000"/>
          <w:sz w:val="28"/>
        </w:rPr>
        <w:t>
      Медицинскую реабилитацию оказывают 838 организаций (482 государственных, 316 частных, 40 ведомственных), всего 12434 койки. Реабилитация проводится по 7 профилям: кардиология, кардиохирургия, неврология, нейрохирургия, травматология, ортопедия и с 2024 года — онкология.</w:t>
      </w:r>
    </w:p>
    <w:bookmarkEnd w:id="120"/>
    <w:bookmarkStart w:name="z143" w:id="121"/>
    <w:p>
      <w:pPr>
        <w:spacing w:after="0"/>
        <w:ind w:left="0"/>
        <w:jc w:val="both"/>
      </w:pPr>
      <w:r>
        <w:rPr>
          <w:rFonts w:ascii="Times New Roman"/>
          <w:b w:val="false"/>
          <w:i w:val="false"/>
          <w:color w:val="000000"/>
          <w:sz w:val="28"/>
        </w:rPr>
        <w:t>
      В 2024 году впервые признаны инвалидами по причине травм 3498 человек, в том числе по причине дорожно-транспортных происшествий (далее – ДТП) – 354 человек (38 детей) и по причине производственных травм – 221 человек. При снижении числа признанных инвалидами от всех травм количество ставших инвалидами от ДТП выросло на 14,6 % (354 человека).</w:t>
      </w:r>
    </w:p>
    <w:bookmarkEnd w:id="121"/>
    <w:bookmarkStart w:name="z144" w:id="122"/>
    <w:p>
      <w:pPr>
        <w:spacing w:after="0"/>
        <w:ind w:left="0"/>
        <w:jc w:val="both"/>
      </w:pPr>
      <w:r>
        <w:rPr>
          <w:rFonts w:ascii="Times New Roman"/>
          <w:b w:val="false"/>
          <w:i w:val="false"/>
          <w:color w:val="000000"/>
          <w:sz w:val="28"/>
        </w:rPr>
        <w:t>
      С 2022 года функционирует научно-исследовательский институт курортологии и медицинской реабилитации, который является научным координирующим центром.</w:t>
      </w:r>
    </w:p>
    <w:bookmarkEnd w:id="122"/>
    <w:bookmarkStart w:name="z145" w:id="123"/>
    <w:p>
      <w:pPr>
        <w:spacing w:after="0"/>
        <w:ind w:left="0"/>
        <w:jc w:val="both"/>
      </w:pPr>
      <w:r>
        <w:rPr>
          <w:rFonts w:ascii="Times New Roman"/>
          <w:b w:val="false"/>
          <w:i w:val="false"/>
          <w:color w:val="000000"/>
          <w:sz w:val="28"/>
        </w:rPr>
        <w:t>
      Медицинская реабилитация за последние 5 лет демонстрирует динамичное развитие, однако остается фрагментированной: отсутствие системного подхода и пробелы в доступности услуг нарушают преемственность и устойчивость реабилитационного результата.</w:t>
      </w:r>
    </w:p>
    <w:bookmarkEnd w:id="123"/>
    <w:bookmarkStart w:name="z146" w:id="124"/>
    <w:p>
      <w:pPr>
        <w:spacing w:after="0"/>
        <w:ind w:left="0"/>
        <w:jc w:val="both"/>
      </w:pPr>
      <w:r>
        <w:rPr>
          <w:rFonts w:ascii="Times New Roman"/>
          <w:b w:val="false"/>
          <w:i w:val="false"/>
          <w:color w:val="000000"/>
          <w:sz w:val="28"/>
        </w:rPr>
        <w:t xml:space="preserve">
      </w:t>
      </w:r>
      <w:r>
        <w:rPr>
          <w:rFonts w:ascii="Times New Roman"/>
          <w:b w:val="false"/>
          <w:i/>
          <w:color w:val="000000"/>
          <w:sz w:val="28"/>
        </w:rPr>
        <w:t>Вирус иммунодефицита человека</w:t>
      </w:r>
      <w:r>
        <w:rPr>
          <w:rFonts w:ascii="Times New Roman"/>
          <w:b w:val="false"/>
          <w:i w:val="false"/>
          <w:color w:val="000000"/>
          <w:sz w:val="28"/>
        </w:rPr>
        <w:t xml:space="preserve"> (далее – </w:t>
      </w:r>
      <w:r>
        <w:rPr>
          <w:rFonts w:ascii="Times New Roman"/>
          <w:b w:val="false"/>
          <w:i/>
          <w:color w:val="000000"/>
          <w:sz w:val="28"/>
        </w:rPr>
        <w:t>ВИЧ)</w:t>
      </w:r>
    </w:p>
    <w:bookmarkEnd w:id="124"/>
    <w:bookmarkStart w:name="z147" w:id="125"/>
    <w:p>
      <w:pPr>
        <w:spacing w:after="0"/>
        <w:ind w:left="0"/>
        <w:jc w:val="both"/>
      </w:pPr>
      <w:r>
        <w:rPr>
          <w:rFonts w:ascii="Times New Roman"/>
          <w:b w:val="false"/>
          <w:i w:val="false"/>
          <w:color w:val="000000"/>
          <w:sz w:val="28"/>
        </w:rPr>
        <w:t>
      Распространенность ВИЧ находится в концентрированной стадии. По итогам 2024 года всего оценочное количество людей, живущих с ВИЧ (далее – ЛЖВ), составило 42000, знает свой ВИЧ положительный статус 83 % ЛЖВ (84 % на первое полугодие 2025). В лечении ВИЧ охват антивирусной терапией (далее – АРТ) составил 90 % (91 % в первом полугодии 2025 года). Внедрен принцип "Тестируй и лечи", лечение начинается сразу после постановки диагноза, независимо от иммунного статуса. 92 % пациентов на АРТ достигли вирусологической супрессии.</w:t>
      </w:r>
    </w:p>
    <w:bookmarkEnd w:id="125"/>
    <w:bookmarkStart w:name="z148" w:id="126"/>
    <w:p>
      <w:pPr>
        <w:spacing w:after="0"/>
        <w:ind w:left="0"/>
        <w:jc w:val="both"/>
      </w:pPr>
      <w:r>
        <w:rPr>
          <w:rFonts w:ascii="Times New Roman"/>
          <w:b w:val="false"/>
          <w:i w:val="false"/>
          <w:color w:val="000000"/>
          <w:sz w:val="28"/>
        </w:rPr>
        <w:t>
      Уровень передачи ВИЧ от матери ребенку составляет менее 2 %.</w:t>
      </w:r>
    </w:p>
    <w:bookmarkEnd w:id="126"/>
    <w:bookmarkStart w:name="z149" w:id="127"/>
    <w:p>
      <w:pPr>
        <w:spacing w:after="0"/>
        <w:ind w:left="0"/>
        <w:jc w:val="both"/>
      </w:pPr>
      <w:r>
        <w:rPr>
          <w:rFonts w:ascii="Times New Roman"/>
          <w:b w:val="false"/>
          <w:i w:val="false"/>
          <w:color w:val="000000"/>
          <w:sz w:val="28"/>
        </w:rPr>
        <w:t>
      Реализуется программа доконтактной профилактики ВИЧ (11781 пользователей на конец 2024 года). Постконтактная профилактика доступна при обращении в течение 72 часов.</w:t>
      </w:r>
    </w:p>
    <w:bookmarkEnd w:id="127"/>
    <w:bookmarkStart w:name="z150" w:id="128"/>
    <w:p>
      <w:pPr>
        <w:spacing w:after="0"/>
        <w:ind w:left="0"/>
        <w:jc w:val="both"/>
      </w:pPr>
      <w:r>
        <w:rPr>
          <w:rFonts w:ascii="Times New Roman"/>
          <w:b w:val="false"/>
          <w:i w:val="false"/>
          <w:color w:val="000000"/>
          <w:sz w:val="28"/>
        </w:rPr>
        <w:t xml:space="preserve">
      Действует обязательное тестирование пациентов с симптомами инфекции, передающейся половым путем (далее – ИППП), на ВИЧ. Доступ к лечению ИППП обеспечивают 32 дружественных кабинета. </w:t>
      </w:r>
    </w:p>
    <w:bookmarkEnd w:id="128"/>
    <w:bookmarkStart w:name="z151" w:id="129"/>
    <w:p>
      <w:pPr>
        <w:spacing w:after="0"/>
        <w:ind w:left="0"/>
        <w:jc w:val="both"/>
      </w:pPr>
      <w:r>
        <w:rPr>
          <w:rFonts w:ascii="Times New Roman"/>
          <w:b w:val="false"/>
          <w:i w:val="false"/>
          <w:color w:val="000000"/>
          <w:sz w:val="28"/>
        </w:rPr>
        <w:t>
      В целом ВИЧ-инфекция в Казахстане распространена преимущественно среди отдельных групп населения. Стигматизация как в отношении ЛЖВ, так и МСМ может быть существенным препятствием для обращения за медицинской помощью, раскрытия статуса и приверженности лечению.</w:t>
      </w:r>
    </w:p>
    <w:bookmarkEnd w:id="129"/>
    <w:bookmarkStart w:name="z152" w:id="130"/>
    <w:p>
      <w:pPr>
        <w:spacing w:after="0"/>
        <w:ind w:left="0"/>
        <w:jc w:val="both"/>
      </w:pPr>
      <w:r>
        <w:rPr>
          <w:rFonts w:ascii="Times New Roman"/>
          <w:b w:val="false"/>
          <w:i w:val="false"/>
          <w:color w:val="000000"/>
          <w:sz w:val="28"/>
        </w:rPr>
        <w:t xml:space="preserve">
      </w:t>
      </w:r>
      <w:r>
        <w:rPr>
          <w:rFonts w:ascii="Times New Roman"/>
          <w:b w:val="false"/>
          <w:i/>
          <w:color w:val="000000"/>
          <w:sz w:val="28"/>
        </w:rPr>
        <w:t>Туберкулез</w:t>
      </w:r>
    </w:p>
    <w:bookmarkEnd w:id="130"/>
    <w:bookmarkStart w:name="z153" w:id="131"/>
    <w:p>
      <w:pPr>
        <w:spacing w:after="0"/>
        <w:ind w:left="0"/>
        <w:jc w:val="both"/>
      </w:pPr>
      <w:r>
        <w:rPr>
          <w:rFonts w:ascii="Times New Roman"/>
          <w:b w:val="false"/>
          <w:i w:val="false"/>
          <w:color w:val="000000"/>
          <w:sz w:val="28"/>
        </w:rPr>
        <w:t>
      За последние 5 лет заболеваемость туберкулезом снизилась на 30 % и достигла 33,5 на 100 тысяч населения в 2024 году, смертность составила 1 случая на 100 тысяч населения (снижение на 58 %).</w:t>
      </w:r>
    </w:p>
    <w:bookmarkEnd w:id="131"/>
    <w:bookmarkStart w:name="z154" w:id="132"/>
    <w:p>
      <w:pPr>
        <w:spacing w:after="0"/>
        <w:ind w:left="0"/>
        <w:jc w:val="both"/>
      </w:pPr>
      <w:r>
        <w:rPr>
          <w:rFonts w:ascii="Times New Roman"/>
          <w:b w:val="false"/>
          <w:i w:val="false"/>
          <w:color w:val="000000"/>
          <w:sz w:val="28"/>
        </w:rPr>
        <w:t>
      Внедрены современные методы диагностики туберкулеза, включая ускоренные тесты для выявления туберкулеза с множественной и широкой лекарственной устойчивостью. Применяются эффективные схемы лечения, включая новые препараты и короткие режимы. Эффективность лечения достигла 80 %.</w:t>
      </w:r>
    </w:p>
    <w:bookmarkEnd w:id="132"/>
    <w:bookmarkStart w:name="z155" w:id="133"/>
    <w:p>
      <w:pPr>
        <w:spacing w:after="0"/>
        <w:ind w:left="0"/>
        <w:jc w:val="both"/>
      </w:pPr>
      <w:r>
        <w:rPr>
          <w:rFonts w:ascii="Times New Roman"/>
          <w:b w:val="false"/>
          <w:i w:val="false"/>
          <w:color w:val="000000"/>
          <w:sz w:val="28"/>
        </w:rPr>
        <w:t>
      В целом наблюдается положительная динамика по борьбе с туберкулезом, в том числе за счет доступности современных методов диагностики и эффективного лечения.</w:t>
      </w:r>
    </w:p>
    <w:bookmarkEnd w:id="133"/>
    <w:bookmarkStart w:name="z156" w:id="134"/>
    <w:p>
      <w:pPr>
        <w:spacing w:after="0"/>
        <w:ind w:left="0"/>
        <w:jc w:val="both"/>
      </w:pPr>
      <w:r>
        <w:rPr>
          <w:rFonts w:ascii="Times New Roman"/>
          <w:b w:val="false"/>
          <w:i w:val="false"/>
          <w:color w:val="000000"/>
          <w:sz w:val="28"/>
        </w:rPr>
        <w:t xml:space="preserve">
      </w:t>
      </w:r>
      <w:r>
        <w:rPr>
          <w:rFonts w:ascii="Times New Roman"/>
          <w:b w:val="false"/>
          <w:i/>
          <w:color w:val="000000"/>
          <w:sz w:val="28"/>
        </w:rPr>
        <w:t>Паллиативная помощь</w:t>
      </w:r>
    </w:p>
    <w:bookmarkEnd w:id="134"/>
    <w:bookmarkStart w:name="z157" w:id="135"/>
    <w:p>
      <w:pPr>
        <w:spacing w:after="0"/>
        <w:ind w:left="0"/>
        <w:jc w:val="both"/>
      </w:pPr>
      <w:r>
        <w:rPr>
          <w:rFonts w:ascii="Times New Roman"/>
          <w:b w:val="false"/>
          <w:i w:val="false"/>
          <w:color w:val="000000"/>
          <w:sz w:val="28"/>
        </w:rPr>
        <w:t>
      Паллиативную помощь оказывают 9 хосписов, большинство – в ветхих зданиях без ремонта и оснащения. В регионах без самостоятельных учреждений паллиативная помощь оказывается в отделениях при онкодиспансерах и многопрофильных больницах. В 2024 году паллиативную помощь на дому оказывало 197 мобильных бригад. При потребности в 13979 пациентов в 2024 году охвачено 5937 человек (42,5 % от пациентов с онкозаболеваниями 4-й группы).</w:t>
      </w:r>
    </w:p>
    <w:bookmarkEnd w:id="135"/>
    <w:bookmarkStart w:name="z158" w:id="136"/>
    <w:p>
      <w:pPr>
        <w:spacing w:after="0"/>
        <w:ind w:left="0"/>
        <w:jc w:val="both"/>
      </w:pPr>
      <w:r>
        <w:rPr>
          <w:rFonts w:ascii="Times New Roman"/>
          <w:b w:val="false"/>
          <w:i w:val="false"/>
          <w:color w:val="000000"/>
          <w:sz w:val="28"/>
        </w:rPr>
        <w:t>
      По оценке ежегодно в паллиативной помощи нуждаются 83,5-128,0 тысяч человек, включая более 2,5 тысяч детей. В структуре потребности у взрослых преобладают онкозаболевания (40 %), болезни сердца (27 %), дыхательной системы (12 %), травмы (11 %), туберкулез, ВИЧ, деменция и диабет. У детей преобладают врожденные пороки и генетические заболевания (42 %), сердечная патология (23 %) и онкологические заболевания (7 %).</w:t>
      </w:r>
    </w:p>
    <w:bookmarkEnd w:id="136"/>
    <w:bookmarkStart w:name="z159" w:id="137"/>
    <w:p>
      <w:pPr>
        <w:spacing w:after="0"/>
        <w:ind w:left="0"/>
        <w:jc w:val="both"/>
      </w:pPr>
      <w:r>
        <w:rPr>
          <w:rFonts w:ascii="Times New Roman"/>
          <w:b w:val="false"/>
          <w:i w:val="false"/>
          <w:color w:val="000000"/>
          <w:sz w:val="28"/>
        </w:rPr>
        <w:t xml:space="preserve">
      На фоне старения населения и роста онкологических заболеваний сохраняется потребность в охвате паллиативной помощью: лишь 42,5 % нуждающихся получают помощь на дому, а инфраструктура хосписов требует модернизации. </w:t>
      </w:r>
    </w:p>
    <w:bookmarkEnd w:id="137"/>
    <w:bookmarkStart w:name="z160" w:id="138"/>
    <w:p>
      <w:pPr>
        <w:spacing w:after="0"/>
        <w:ind w:left="0"/>
        <w:jc w:val="both"/>
      </w:pPr>
      <w:r>
        <w:rPr>
          <w:rFonts w:ascii="Times New Roman"/>
          <w:b w:val="false"/>
          <w:i w:val="false"/>
          <w:color w:val="000000"/>
          <w:sz w:val="28"/>
        </w:rPr>
        <w:t xml:space="preserve">
      </w:t>
      </w:r>
      <w:r>
        <w:rPr>
          <w:rFonts w:ascii="Times New Roman"/>
          <w:b w:val="false"/>
          <w:i/>
          <w:color w:val="000000"/>
          <w:sz w:val="28"/>
        </w:rPr>
        <w:t>Медицинская помощь в уголовно-исполнительной системе</w:t>
      </w:r>
    </w:p>
    <w:bookmarkEnd w:id="138"/>
    <w:bookmarkStart w:name="z161" w:id="139"/>
    <w:p>
      <w:pPr>
        <w:spacing w:after="0"/>
        <w:ind w:left="0"/>
        <w:jc w:val="both"/>
      </w:pPr>
      <w:r>
        <w:rPr>
          <w:rFonts w:ascii="Times New Roman"/>
          <w:b w:val="false"/>
          <w:i w:val="false"/>
          <w:color w:val="000000"/>
          <w:sz w:val="28"/>
        </w:rPr>
        <w:t xml:space="preserve">
      В 2023 году медицинское обеспечение лиц в 79 учреждениях уголовно-исполнительной системы передано в сферу здравоохранения. Помощь оказывают 45 врачебных амбулаторий, 32 медицинских пункта, отделение фтизиопульмонологии на 240 коек (Карагандинская область), отделение психического здоровья на 45 коек и дом ребенка на 50 коек (Алматинская область). </w:t>
      </w:r>
    </w:p>
    <w:bookmarkEnd w:id="139"/>
    <w:bookmarkStart w:name="z162" w:id="140"/>
    <w:p>
      <w:pPr>
        <w:spacing w:after="0"/>
        <w:ind w:left="0"/>
        <w:jc w:val="both"/>
      </w:pPr>
      <w:r>
        <w:rPr>
          <w:rFonts w:ascii="Times New Roman"/>
          <w:b w:val="false"/>
          <w:i w:val="false"/>
          <w:color w:val="000000"/>
          <w:sz w:val="28"/>
        </w:rPr>
        <w:t>
      Обеспечены медицинские осмотры при прибытии/убытии, скрининги, наблюдение, лекарства. Внедрены телеконсультации, телемедицина. Сохраняются проблемы стационарной помощи.</w:t>
      </w:r>
    </w:p>
    <w:bookmarkEnd w:id="140"/>
    <w:bookmarkStart w:name="z163" w:id="141"/>
    <w:p>
      <w:pPr>
        <w:spacing w:after="0"/>
        <w:ind w:left="0"/>
        <w:jc w:val="both"/>
      </w:pPr>
      <w:r>
        <w:rPr>
          <w:rFonts w:ascii="Times New Roman"/>
          <w:b w:val="false"/>
          <w:i w:val="false"/>
          <w:color w:val="000000"/>
          <w:sz w:val="28"/>
        </w:rPr>
        <w:t xml:space="preserve">
      </w:t>
      </w:r>
      <w:r>
        <w:rPr>
          <w:rFonts w:ascii="Times New Roman"/>
          <w:b w:val="false"/>
          <w:i/>
          <w:color w:val="000000"/>
          <w:sz w:val="28"/>
        </w:rPr>
        <w:t>Обеспечение безопасности и качества медицинской помощи</w:t>
      </w:r>
    </w:p>
    <w:bookmarkEnd w:id="141"/>
    <w:bookmarkStart w:name="z164" w:id="142"/>
    <w:p>
      <w:pPr>
        <w:spacing w:after="0"/>
        <w:ind w:left="0"/>
        <w:jc w:val="both"/>
      </w:pPr>
      <w:r>
        <w:rPr>
          <w:rFonts w:ascii="Times New Roman"/>
          <w:b w:val="false"/>
          <w:i w:val="false"/>
          <w:color w:val="000000"/>
          <w:sz w:val="28"/>
        </w:rPr>
        <w:t>
      Обеспечение безопасности и качества медицинской помощи осуществляется внутренней экспертизой, государственным контролем, экспертизой Фонда социального медицинского страхования (далее – ФСМС), независимой экспертизой, лицензированием и аккредитацией.</w:t>
      </w:r>
    </w:p>
    <w:bookmarkEnd w:id="142"/>
    <w:bookmarkStart w:name="z165" w:id="143"/>
    <w:p>
      <w:pPr>
        <w:spacing w:after="0"/>
        <w:ind w:left="0"/>
        <w:jc w:val="both"/>
      </w:pPr>
      <w:r>
        <w:rPr>
          <w:rFonts w:ascii="Times New Roman"/>
          <w:b w:val="false"/>
          <w:i w:val="false"/>
          <w:color w:val="000000"/>
          <w:sz w:val="28"/>
        </w:rPr>
        <w:t>
      В 2024 году выросло количество обращений населения на качество медицинской помощи на 31 % (2023 год – 104175, 2024 год – 136571), в том числе ежегодно регистрируется порядка 7000 жалоб, из них 48 % составляют жалобы на некачественные медицинские услуги.</w:t>
      </w:r>
    </w:p>
    <w:bookmarkEnd w:id="143"/>
    <w:bookmarkStart w:name="z166" w:id="144"/>
    <w:p>
      <w:pPr>
        <w:spacing w:after="0"/>
        <w:ind w:left="0"/>
        <w:jc w:val="both"/>
      </w:pPr>
      <w:r>
        <w:rPr>
          <w:rFonts w:ascii="Times New Roman"/>
          <w:b w:val="false"/>
          <w:i w:val="false"/>
          <w:color w:val="000000"/>
          <w:sz w:val="28"/>
        </w:rPr>
        <w:t>
      Опрос населения в 2024 году показал, что 41 % населения, имевшего необходимость в медицинской помощи, сталкивалось с недоступностью медицинских услуг по различным причинам.</w:t>
      </w:r>
    </w:p>
    <w:bookmarkEnd w:id="144"/>
    <w:bookmarkStart w:name="z167" w:id="145"/>
    <w:p>
      <w:pPr>
        <w:spacing w:after="0"/>
        <w:ind w:left="0"/>
        <w:jc w:val="both"/>
      </w:pPr>
      <w:r>
        <w:rPr>
          <w:rFonts w:ascii="Times New Roman"/>
          <w:b w:val="false"/>
          <w:i w:val="false"/>
          <w:color w:val="000000"/>
          <w:sz w:val="28"/>
        </w:rPr>
        <w:t>
      Доля населения, удовлетворенного качеством медицинских услуг в государственных организациях здравоохранения, составила 41,9 %, доступностью услуг – 47,6 %.</w:t>
      </w:r>
    </w:p>
    <w:bookmarkEnd w:id="145"/>
    <w:bookmarkStart w:name="z168" w:id="146"/>
    <w:p>
      <w:pPr>
        <w:spacing w:after="0"/>
        <w:ind w:left="0"/>
        <w:jc w:val="both"/>
      </w:pPr>
      <w:r>
        <w:rPr>
          <w:rFonts w:ascii="Times New Roman"/>
          <w:b w:val="false"/>
          <w:i w:val="false"/>
          <w:color w:val="000000"/>
          <w:sz w:val="28"/>
        </w:rPr>
        <w:t>
      В 2,3 раза выросло количество административных правонарушений по грубым нарушениям стандартов организации оказания медицинской помощи, и наметилась тенденция к росту нарушения норм лицензирования.</w:t>
      </w:r>
    </w:p>
    <w:bookmarkEnd w:id="146"/>
    <w:bookmarkStart w:name="z169" w:id="147"/>
    <w:p>
      <w:pPr>
        <w:spacing w:after="0"/>
        <w:ind w:left="0"/>
        <w:jc w:val="both"/>
      </w:pPr>
      <w:r>
        <w:rPr>
          <w:rFonts w:ascii="Times New Roman"/>
          <w:b w:val="false"/>
          <w:i w:val="false"/>
          <w:color w:val="000000"/>
          <w:sz w:val="28"/>
        </w:rPr>
        <w:t>
      При этом около 500 клинических протоколов и свыше 20 стандартов требуют актуализации.</w:t>
      </w:r>
    </w:p>
    <w:bookmarkEnd w:id="147"/>
    <w:bookmarkStart w:name="z170" w:id="148"/>
    <w:p>
      <w:pPr>
        <w:spacing w:after="0"/>
        <w:ind w:left="0"/>
        <w:jc w:val="both"/>
      </w:pPr>
      <w:r>
        <w:rPr>
          <w:rFonts w:ascii="Times New Roman"/>
          <w:b w:val="false"/>
          <w:i w:val="false"/>
          <w:color w:val="000000"/>
          <w:sz w:val="28"/>
        </w:rPr>
        <w:t>
      Национальной аккредитацией охвачено 45 % медицинских организаций.</w:t>
      </w:r>
    </w:p>
    <w:bookmarkEnd w:id="148"/>
    <w:bookmarkStart w:name="z171" w:id="149"/>
    <w:p>
      <w:pPr>
        <w:spacing w:after="0"/>
        <w:ind w:left="0"/>
        <w:jc w:val="both"/>
      </w:pPr>
      <w:r>
        <w:rPr>
          <w:rFonts w:ascii="Times New Roman"/>
          <w:b w:val="false"/>
          <w:i w:val="false"/>
          <w:color w:val="000000"/>
          <w:sz w:val="28"/>
        </w:rPr>
        <w:t>
      Причинами недостаточной эффективности системы по управлению качеством оказания медицинской помощи являются фрагментация системы управления качеством медицинской помощи, отсутствие системного видения по повышению качества медицинской помощи.</w:t>
      </w:r>
    </w:p>
    <w:bookmarkEnd w:id="149"/>
    <w:bookmarkStart w:name="z172" w:id="150"/>
    <w:p>
      <w:pPr>
        <w:spacing w:after="0"/>
        <w:ind w:left="0"/>
        <w:jc w:val="both"/>
      </w:pPr>
      <w:r>
        <w:rPr>
          <w:rFonts w:ascii="Times New Roman"/>
          <w:b w:val="false"/>
          <w:i w:val="false"/>
          <w:color w:val="000000"/>
          <w:sz w:val="28"/>
        </w:rPr>
        <w:t xml:space="preserve">
      </w:t>
      </w:r>
      <w:r>
        <w:rPr>
          <w:rFonts w:ascii="Times New Roman"/>
          <w:b w:val="false"/>
          <w:i/>
          <w:color w:val="000000"/>
          <w:sz w:val="28"/>
        </w:rPr>
        <w:t>Санитарно-эпидемиологическая</w:t>
      </w:r>
      <w:r>
        <w:rPr>
          <w:rFonts w:ascii="Times New Roman"/>
          <w:b w:val="false"/>
          <w:i w:val="false"/>
          <w:color w:val="000000"/>
          <w:sz w:val="28"/>
        </w:rPr>
        <w:t xml:space="preserve"> </w:t>
      </w:r>
      <w:r>
        <w:rPr>
          <w:rFonts w:ascii="Times New Roman"/>
          <w:b w:val="false"/>
          <w:i/>
          <w:color w:val="000000"/>
          <w:sz w:val="28"/>
        </w:rPr>
        <w:t xml:space="preserve">служба </w:t>
      </w:r>
      <w:r>
        <w:rPr>
          <w:rFonts w:ascii="Times New Roman"/>
          <w:b w:val="false"/>
          <w:i w:val="false"/>
          <w:color w:val="000000"/>
          <w:sz w:val="28"/>
        </w:rPr>
        <w:t>(далее – СЭС)</w:t>
      </w:r>
    </w:p>
    <w:bookmarkEnd w:id="150"/>
    <w:bookmarkStart w:name="z173" w:id="151"/>
    <w:p>
      <w:pPr>
        <w:spacing w:after="0"/>
        <w:ind w:left="0"/>
        <w:jc w:val="both"/>
      </w:pPr>
      <w:r>
        <w:rPr>
          <w:rFonts w:ascii="Times New Roman"/>
          <w:b w:val="false"/>
          <w:i w:val="false"/>
          <w:color w:val="000000"/>
          <w:sz w:val="28"/>
        </w:rPr>
        <w:t xml:space="preserve">
      За последние 20 лет Казахстан сталкивался с серьезными эпидемиями: грипп А(H1N1) (2009 – 2010 годы), COVID-19 (2020 – 2023 годы), вспышки Крымской-Конго геморрагической лихорадки, кори и сибирской язвы. Анализ выявил 4 устойчивых тренда риска: </w:t>
      </w:r>
    </w:p>
    <w:bookmarkEnd w:id="151"/>
    <w:bookmarkStart w:name="z174" w:id="152"/>
    <w:p>
      <w:pPr>
        <w:spacing w:after="0"/>
        <w:ind w:left="0"/>
        <w:jc w:val="both"/>
      </w:pPr>
      <w:r>
        <w:rPr>
          <w:rFonts w:ascii="Times New Roman"/>
          <w:b w:val="false"/>
          <w:i w:val="false"/>
          <w:color w:val="000000"/>
          <w:sz w:val="28"/>
        </w:rPr>
        <w:t>
      постоянная вероятность повторных пандемических волн: несмотря на наработанные механизмы реагирования, инфраструктура остается фрагментированной и недостаточно устойчивой – она перегружается при резком увеличении числа заболевших;</w:t>
      </w:r>
    </w:p>
    <w:bookmarkEnd w:id="152"/>
    <w:bookmarkStart w:name="z175" w:id="153"/>
    <w:p>
      <w:pPr>
        <w:spacing w:after="0"/>
        <w:ind w:left="0"/>
        <w:jc w:val="both"/>
      </w:pPr>
      <w:r>
        <w:rPr>
          <w:rFonts w:ascii="Times New Roman"/>
          <w:b w:val="false"/>
          <w:i w:val="false"/>
          <w:color w:val="000000"/>
          <w:sz w:val="28"/>
        </w:rPr>
        <w:t>
      рост трансграничного завоза патогенов: увеличение пассажиропотока и грузоперевозок по коридору "Запад - Восток" ускоряет циркуляцию инфекций и усложняет контроль на санитарно-карантинных пунктах;</w:t>
      </w:r>
    </w:p>
    <w:bookmarkEnd w:id="153"/>
    <w:bookmarkStart w:name="z176" w:id="154"/>
    <w:p>
      <w:pPr>
        <w:spacing w:after="0"/>
        <w:ind w:left="0"/>
        <w:jc w:val="both"/>
      </w:pPr>
      <w:r>
        <w:rPr>
          <w:rFonts w:ascii="Times New Roman"/>
          <w:b w:val="false"/>
          <w:i w:val="false"/>
          <w:color w:val="000000"/>
          <w:sz w:val="28"/>
        </w:rPr>
        <w:t>
      климатические изменения (потепление и экстремальные погодные явления) расширяют ареал циркуляции переносчиков (клещи, комары) и усиливают вероятность возникновения новых вспышек, ускоряя распространение патогенов;</w:t>
      </w:r>
    </w:p>
    <w:bookmarkEnd w:id="154"/>
    <w:bookmarkStart w:name="z177" w:id="155"/>
    <w:p>
      <w:pPr>
        <w:spacing w:after="0"/>
        <w:ind w:left="0"/>
        <w:jc w:val="both"/>
      </w:pPr>
      <w:r>
        <w:rPr>
          <w:rFonts w:ascii="Times New Roman"/>
          <w:b w:val="false"/>
          <w:i w:val="false"/>
          <w:color w:val="000000"/>
          <w:sz w:val="28"/>
        </w:rPr>
        <w:t>
      недоверие к вакцинации: в 2023 – 2024 годы при охвате 95,3 % (5 млн человек, включая 1,3 млн детей) число отказов выросло в 6,5 раз (с 8383 до 51726), что привело к 57878 случаям кори и 3110 случаям коклюша.</w:t>
      </w:r>
    </w:p>
    <w:bookmarkEnd w:id="155"/>
    <w:bookmarkStart w:name="z178" w:id="156"/>
    <w:p>
      <w:pPr>
        <w:spacing w:after="0"/>
        <w:ind w:left="0"/>
        <w:jc w:val="both"/>
      </w:pPr>
      <w:r>
        <w:rPr>
          <w:rFonts w:ascii="Times New Roman"/>
          <w:b w:val="false"/>
          <w:i w:val="false"/>
          <w:color w:val="000000"/>
          <w:sz w:val="28"/>
        </w:rPr>
        <w:t>
      По состоянию на начало 2025 года эффективность СЭС ограничена состоянием инфраструктуры: 40 % зданий не соответствует требованиям, 98 % – морально и технически устарело, не адаптировано для предоставления государственных услуг, включая доступность для лиц с особыми потребностями.</w:t>
      </w:r>
    </w:p>
    <w:bookmarkEnd w:id="156"/>
    <w:bookmarkStart w:name="z179" w:id="157"/>
    <w:p>
      <w:pPr>
        <w:spacing w:after="0"/>
        <w:ind w:left="0"/>
        <w:jc w:val="both"/>
      </w:pPr>
      <w:r>
        <w:rPr>
          <w:rFonts w:ascii="Times New Roman"/>
          <w:b w:val="false"/>
          <w:i w:val="false"/>
          <w:color w:val="000000"/>
          <w:sz w:val="28"/>
        </w:rPr>
        <w:t>
      Оснащенность лабораторий составляет 52,8 %, уровень износа оборудования – более 80 %, что снижает качество и скорость исследований, повышает риски заражения персонала.</w:t>
      </w:r>
    </w:p>
    <w:bookmarkEnd w:id="157"/>
    <w:bookmarkStart w:name="z180" w:id="158"/>
    <w:p>
      <w:pPr>
        <w:spacing w:after="0"/>
        <w:ind w:left="0"/>
        <w:jc w:val="both"/>
      </w:pPr>
      <w:r>
        <w:rPr>
          <w:rFonts w:ascii="Times New Roman"/>
          <w:b w:val="false"/>
          <w:i w:val="false"/>
          <w:color w:val="000000"/>
          <w:sz w:val="28"/>
        </w:rPr>
        <w:t>
      Особенно уязвимы противочумные станции: из 583 зданий 385 (66 %) нуждается в сносе или капремонте, средний срок эксплуатации составляет более 60 лет. Лаборатории не соответствуют требованиям физической безопасности.</w:t>
      </w:r>
    </w:p>
    <w:bookmarkEnd w:id="158"/>
    <w:bookmarkStart w:name="z181" w:id="159"/>
    <w:p>
      <w:pPr>
        <w:spacing w:after="0"/>
        <w:ind w:left="0"/>
        <w:jc w:val="both"/>
      </w:pPr>
      <w:r>
        <w:rPr>
          <w:rFonts w:ascii="Times New Roman"/>
          <w:b w:val="false"/>
          <w:i w:val="false"/>
          <w:color w:val="000000"/>
          <w:sz w:val="28"/>
        </w:rPr>
        <w:t>
      Недоукомплектованность специализированным транспортом снижает оперативность выезда и полноту охвата очагов инфекции, охват мониторингом, своевременность выявления источника, факторов и путей передачи инфекции.</w:t>
      </w:r>
    </w:p>
    <w:bookmarkEnd w:id="159"/>
    <w:bookmarkStart w:name="z182" w:id="160"/>
    <w:p>
      <w:pPr>
        <w:spacing w:after="0"/>
        <w:ind w:left="0"/>
        <w:jc w:val="both"/>
      </w:pPr>
      <w:r>
        <w:rPr>
          <w:rFonts w:ascii="Times New Roman"/>
          <w:b w:val="false"/>
          <w:i w:val="false"/>
          <w:color w:val="000000"/>
          <w:sz w:val="28"/>
        </w:rPr>
        <w:t>
      Реформы привели к неустойчивой кадровой политике: разрыв в зарплате специалистов СЭС с врачами государственных и частных медицинских организаций в 2-4 раза (врач – до 300 тысяч тенге, ведущий специалист СЭС – 195,5 тысяч тенге, специалист СЭС в частном секторе – 350-800 тысяч тенге), отсутствует социальный пакет, средний возраст кадров составляет 41 год.</w:t>
      </w:r>
    </w:p>
    <w:bookmarkEnd w:id="160"/>
    <w:bookmarkStart w:name="z183" w:id="161"/>
    <w:p>
      <w:pPr>
        <w:spacing w:after="0"/>
        <w:ind w:left="0"/>
        <w:jc w:val="both"/>
      </w:pPr>
      <w:r>
        <w:rPr>
          <w:rFonts w:ascii="Times New Roman"/>
          <w:b w:val="false"/>
          <w:i w:val="false"/>
          <w:color w:val="000000"/>
          <w:sz w:val="28"/>
        </w:rPr>
        <w:t>
      Ежегодный дефицит профильных специалистов составляет более 700 человек или 16,7 % от общей численности, профессионального состава более 80 %.</w:t>
      </w:r>
    </w:p>
    <w:bookmarkEnd w:id="161"/>
    <w:bookmarkStart w:name="z184" w:id="162"/>
    <w:p>
      <w:pPr>
        <w:spacing w:after="0"/>
        <w:ind w:left="0"/>
        <w:jc w:val="both"/>
      </w:pPr>
      <w:r>
        <w:rPr>
          <w:rFonts w:ascii="Times New Roman"/>
          <w:b w:val="false"/>
          <w:i w:val="false"/>
          <w:color w:val="000000"/>
          <w:sz w:val="28"/>
        </w:rPr>
        <w:t xml:space="preserve">
      </w:t>
      </w:r>
      <w:r>
        <w:rPr>
          <w:rFonts w:ascii="Times New Roman"/>
          <w:b w:val="false"/>
          <w:i/>
          <w:color w:val="000000"/>
          <w:sz w:val="28"/>
        </w:rPr>
        <w:t>Антимикробная резистентность (</w:t>
      </w:r>
      <w:r>
        <w:rPr>
          <w:rFonts w:ascii="Times New Roman"/>
          <w:b w:val="false"/>
          <w:i w:val="false"/>
          <w:color w:val="000000"/>
          <w:sz w:val="28"/>
        </w:rPr>
        <w:t xml:space="preserve">далее – </w:t>
      </w:r>
      <w:r>
        <w:rPr>
          <w:rFonts w:ascii="Times New Roman"/>
          <w:b w:val="false"/>
          <w:i/>
          <w:color w:val="000000"/>
          <w:sz w:val="28"/>
        </w:rPr>
        <w:t xml:space="preserve">АМР) </w:t>
      </w:r>
    </w:p>
    <w:bookmarkEnd w:id="162"/>
    <w:bookmarkStart w:name="z185" w:id="163"/>
    <w:p>
      <w:pPr>
        <w:spacing w:after="0"/>
        <w:ind w:left="0"/>
        <w:jc w:val="both"/>
      </w:pPr>
      <w:r>
        <w:rPr>
          <w:rFonts w:ascii="Times New Roman"/>
          <w:b w:val="false"/>
          <w:i w:val="false"/>
          <w:color w:val="000000"/>
          <w:sz w:val="28"/>
        </w:rPr>
        <w:t>
      АМР и инфекции, связанные с оказанием медицинской помощи (далее – ИСМП), признаны глобальной угрозой: в 2021 году от них умерло 1,14 млн человек, а также способствовали еще 4,71 млн смертей. АМР входит в топ-10 глобальных рисков, распространение ускоряется.</w:t>
      </w:r>
    </w:p>
    <w:bookmarkEnd w:id="163"/>
    <w:bookmarkStart w:name="z186" w:id="164"/>
    <w:p>
      <w:pPr>
        <w:spacing w:after="0"/>
        <w:ind w:left="0"/>
        <w:jc w:val="both"/>
      </w:pPr>
      <w:r>
        <w:rPr>
          <w:rFonts w:ascii="Times New Roman"/>
          <w:b w:val="false"/>
          <w:i w:val="false"/>
          <w:color w:val="000000"/>
          <w:sz w:val="28"/>
        </w:rPr>
        <w:t>
      За 3 года устойчивость бактерий E.coli и Klebsiella pneumoniae к цефалоспоринам III поколения выросла на 20 %. В 67 % случаев назначения антибиотиков отсутствует обоснование, в 85 % случаев периоперационная антибиотикопрофилактика длится более суток.</w:t>
      </w:r>
    </w:p>
    <w:bookmarkEnd w:id="164"/>
    <w:bookmarkStart w:name="z187" w:id="165"/>
    <w:p>
      <w:pPr>
        <w:spacing w:after="0"/>
        <w:ind w:left="0"/>
        <w:jc w:val="both"/>
      </w:pPr>
      <w:r>
        <w:rPr>
          <w:rFonts w:ascii="Times New Roman"/>
          <w:b w:val="false"/>
          <w:i w:val="false"/>
          <w:color w:val="000000"/>
          <w:sz w:val="28"/>
        </w:rPr>
        <w:t xml:space="preserve">
      В 2024 году зарегистрировано 346 случаев ИСМП в 794 стационарах (0,12 на 1000 пациентов). Распространенность ИСМП составила 3 %, в отделениях риска – 9,1 %. </w:t>
      </w:r>
    </w:p>
    <w:bookmarkEnd w:id="165"/>
    <w:bookmarkStart w:name="z188" w:id="166"/>
    <w:p>
      <w:pPr>
        <w:spacing w:after="0"/>
        <w:ind w:left="0"/>
        <w:jc w:val="both"/>
      </w:pPr>
      <w:r>
        <w:rPr>
          <w:rFonts w:ascii="Times New Roman"/>
          <w:b w:val="false"/>
          <w:i w:val="false"/>
          <w:color w:val="000000"/>
          <w:sz w:val="28"/>
        </w:rPr>
        <w:t xml:space="preserve">
      </w:t>
      </w:r>
      <w:r>
        <w:rPr>
          <w:rFonts w:ascii="Times New Roman"/>
          <w:b w:val="false"/>
          <w:i/>
          <w:color w:val="000000"/>
          <w:sz w:val="28"/>
        </w:rPr>
        <w:t>Факторы среды обитания, влияющие на здоровье</w:t>
      </w:r>
    </w:p>
    <w:bookmarkEnd w:id="166"/>
    <w:bookmarkStart w:name="z189" w:id="167"/>
    <w:p>
      <w:pPr>
        <w:spacing w:after="0"/>
        <w:ind w:left="0"/>
        <w:jc w:val="both"/>
      </w:pPr>
      <w:r>
        <w:rPr>
          <w:rFonts w:ascii="Times New Roman"/>
          <w:b w:val="false"/>
          <w:i w:val="false"/>
          <w:color w:val="000000"/>
          <w:sz w:val="28"/>
        </w:rPr>
        <w:t xml:space="preserve">
      В 2024 году проведено 685 427 исследований атмосферного воздуха, из них 1,6 % (11 061) выше предельно допустимой концентрации (в 2020 году – 3,7 %). Загрязненность воздуха рабочей зоны парами и газами 1-2 класса опасности выросла в 1,9 раза (с 1,0 % в 2020 до 1,9 % в 2024), пылью и аэрозолями – в 1,3 раза (с 3,8 % до 4,8 %). </w:t>
      </w:r>
    </w:p>
    <w:bookmarkEnd w:id="167"/>
    <w:bookmarkStart w:name="z190" w:id="168"/>
    <w:p>
      <w:pPr>
        <w:spacing w:after="0"/>
        <w:ind w:left="0"/>
        <w:jc w:val="both"/>
      </w:pPr>
      <w:r>
        <w:rPr>
          <w:rFonts w:ascii="Times New Roman"/>
          <w:b w:val="false"/>
          <w:i w:val="false"/>
          <w:color w:val="000000"/>
          <w:sz w:val="28"/>
        </w:rPr>
        <w:t>
      Превышение предельно допустимого уровня вибрации – в 2,5 раза (с 1,1 % до 2,8 %).</w:t>
      </w:r>
    </w:p>
    <w:bookmarkEnd w:id="168"/>
    <w:bookmarkStart w:name="z191" w:id="169"/>
    <w:p>
      <w:pPr>
        <w:spacing w:after="0"/>
        <w:ind w:left="0"/>
        <w:jc w:val="both"/>
      </w:pPr>
      <w:r>
        <w:rPr>
          <w:rFonts w:ascii="Times New Roman"/>
          <w:b w:val="false"/>
          <w:i w:val="false"/>
          <w:color w:val="000000"/>
          <w:sz w:val="28"/>
        </w:rPr>
        <w:t>
      Число случаев профессиональных заболеваний выросло в 2 раза (с 393 до 748), профессиональных отравлений – в 8 раз (с 6 до 51).</w:t>
      </w:r>
    </w:p>
    <w:bookmarkEnd w:id="169"/>
    <w:bookmarkStart w:name="z192" w:id="170"/>
    <w:p>
      <w:pPr>
        <w:spacing w:after="0"/>
        <w:ind w:left="0"/>
        <w:jc w:val="both"/>
      </w:pPr>
      <w:r>
        <w:rPr>
          <w:rFonts w:ascii="Times New Roman"/>
          <w:b w:val="false"/>
          <w:i w:val="false"/>
          <w:color w:val="000000"/>
          <w:sz w:val="28"/>
        </w:rPr>
        <w:t>
      Качество питьевой воды улучшается: в 2024 году микробиологические отклонения – 1,75 % (в 2020 – 3,8 %), санитарно-химические – 4,3 % (в 2020 – 5,8 %).</w:t>
      </w:r>
    </w:p>
    <w:bookmarkEnd w:id="170"/>
    <w:bookmarkStart w:name="z193" w:id="171"/>
    <w:p>
      <w:pPr>
        <w:spacing w:after="0"/>
        <w:ind w:left="0"/>
        <w:jc w:val="both"/>
      </w:pPr>
      <w:r>
        <w:rPr>
          <w:rFonts w:ascii="Times New Roman"/>
          <w:b w:val="false"/>
          <w:i w:val="false"/>
          <w:color w:val="000000"/>
          <w:sz w:val="28"/>
        </w:rPr>
        <w:t xml:space="preserve">
      Отмечен рост случаев групповых пищевых отравлений на объектах образования и воспитания (в 2024 году – 5 случаев, 2020 году – 3 случая), что указывает на недостаточную эффективность государственного контроля за объектами пребывания детей (питание, образование, воспитание, оздоровление). </w:t>
      </w:r>
    </w:p>
    <w:bookmarkEnd w:id="171"/>
    <w:bookmarkStart w:name="z194" w:id="172"/>
    <w:p>
      <w:pPr>
        <w:spacing w:after="0"/>
        <w:ind w:left="0"/>
        <w:jc w:val="both"/>
      </w:pPr>
      <w:r>
        <w:rPr>
          <w:rFonts w:ascii="Times New Roman"/>
          <w:b w:val="false"/>
          <w:i w:val="false"/>
          <w:color w:val="000000"/>
          <w:sz w:val="28"/>
        </w:rPr>
        <w:t>
      В 2024 году зарегистрировано 18 групповых случаев пищевого отравления (в 2020 году – 11 случаев), связанных с объектами надзора с числом пострадавших 731 (в 2020 году – 242), из них дети – 582 (в 2020 году –123). Из общего количества отравлений 61 % приходятся на долю объектов общественного питания, 28 % на объекты образования и 11 % на объекты торговли.</w:t>
      </w:r>
    </w:p>
    <w:bookmarkEnd w:id="172"/>
    <w:bookmarkStart w:name="z195" w:id="173"/>
    <w:p>
      <w:pPr>
        <w:spacing w:after="0"/>
        <w:ind w:left="0"/>
        <w:jc w:val="both"/>
      </w:pPr>
      <w:r>
        <w:rPr>
          <w:rFonts w:ascii="Times New Roman"/>
          <w:b w:val="false"/>
          <w:i w:val="false"/>
          <w:color w:val="000000"/>
          <w:sz w:val="28"/>
        </w:rPr>
        <w:t>
      В 2024 году приняты меры по усилению контроля в сфере санитарно-эпидемиологического благополучия населения:</w:t>
      </w:r>
    </w:p>
    <w:bookmarkEnd w:id="173"/>
    <w:bookmarkStart w:name="z196" w:id="174"/>
    <w:p>
      <w:pPr>
        <w:spacing w:after="0"/>
        <w:ind w:left="0"/>
        <w:jc w:val="both"/>
      </w:pPr>
      <w:r>
        <w:rPr>
          <w:rFonts w:ascii="Times New Roman"/>
          <w:b w:val="false"/>
          <w:i w:val="false"/>
          <w:color w:val="000000"/>
          <w:sz w:val="28"/>
        </w:rPr>
        <w:t>
      введены меры оперативного реагирования (приостановление деятельности, отстранение от работы);</w:t>
      </w:r>
    </w:p>
    <w:bookmarkEnd w:id="174"/>
    <w:bookmarkStart w:name="z197" w:id="175"/>
    <w:p>
      <w:pPr>
        <w:spacing w:after="0"/>
        <w:ind w:left="0"/>
        <w:jc w:val="both"/>
      </w:pPr>
      <w:r>
        <w:rPr>
          <w:rFonts w:ascii="Times New Roman"/>
          <w:b w:val="false"/>
          <w:i w:val="false"/>
          <w:color w:val="000000"/>
          <w:sz w:val="28"/>
        </w:rPr>
        <w:t>
      расширены виды профессионального контроля без посещения субъекта;</w:t>
      </w:r>
    </w:p>
    <w:bookmarkEnd w:id="175"/>
    <w:bookmarkStart w:name="z198" w:id="176"/>
    <w:p>
      <w:pPr>
        <w:spacing w:after="0"/>
        <w:ind w:left="0"/>
        <w:jc w:val="both"/>
      </w:pPr>
      <w:r>
        <w:rPr>
          <w:rFonts w:ascii="Times New Roman"/>
          <w:b w:val="false"/>
          <w:i w:val="false"/>
          <w:color w:val="000000"/>
          <w:sz w:val="28"/>
        </w:rPr>
        <w:t>
      внедрено расследование по экстренным случаям;</w:t>
      </w:r>
    </w:p>
    <w:bookmarkEnd w:id="176"/>
    <w:bookmarkStart w:name="z199" w:id="177"/>
    <w:p>
      <w:pPr>
        <w:spacing w:after="0"/>
        <w:ind w:left="0"/>
        <w:jc w:val="both"/>
      </w:pPr>
      <w:r>
        <w:rPr>
          <w:rFonts w:ascii="Times New Roman"/>
          <w:b w:val="false"/>
          <w:i w:val="false"/>
          <w:color w:val="000000"/>
          <w:sz w:val="28"/>
        </w:rPr>
        <w:t>
      пересмотрена система оценки рисков с акцентом на недобросовестных субъектов.</w:t>
      </w:r>
    </w:p>
    <w:bookmarkEnd w:id="177"/>
    <w:bookmarkStart w:name="z200" w:id="17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Кадровые ресурсы здравоохранения </w:t>
      </w:r>
    </w:p>
    <w:bookmarkEnd w:id="178"/>
    <w:bookmarkStart w:name="z201" w:id="179"/>
    <w:p>
      <w:pPr>
        <w:spacing w:after="0"/>
        <w:ind w:left="0"/>
        <w:jc w:val="both"/>
      </w:pPr>
      <w:r>
        <w:rPr>
          <w:rFonts w:ascii="Times New Roman"/>
          <w:b w:val="false"/>
          <w:i w:val="false"/>
          <w:color w:val="000000"/>
          <w:sz w:val="28"/>
        </w:rPr>
        <w:t>
      В стране функционируют 8 медицинских организациях высшего и (или) послевузовского образования (далее – ОВПО), 7 медицинских факультетов, 17 научно-исследовательских институтов и научных центров, 94 организации технического и профессионального, послесреднего образования.</w:t>
      </w:r>
    </w:p>
    <w:bookmarkEnd w:id="179"/>
    <w:bookmarkStart w:name="z202" w:id="180"/>
    <w:p>
      <w:pPr>
        <w:spacing w:after="0"/>
        <w:ind w:left="0"/>
        <w:jc w:val="both"/>
      </w:pPr>
      <w:r>
        <w:rPr>
          <w:rFonts w:ascii="Times New Roman"/>
          <w:b w:val="false"/>
          <w:i w:val="false"/>
          <w:color w:val="000000"/>
          <w:sz w:val="28"/>
        </w:rPr>
        <w:t>
      Обеспеченность врачами выросла с 40,9 (2020 год) до 41,1 (2024 год) на 10 тысяч населения, СМР снизилась с 98,4 до 94,5, соответственно.</w:t>
      </w:r>
    </w:p>
    <w:bookmarkEnd w:id="180"/>
    <w:bookmarkStart w:name="z203" w:id="181"/>
    <w:p>
      <w:pPr>
        <w:spacing w:after="0"/>
        <w:ind w:left="0"/>
        <w:jc w:val="both"/>
      </w:pPr>
      <w:r>
        <w:rPr>
          <w:rFonts w:ascii="Times New Roman"/>
          <w:b w:val="false"/>
          <w:i w:val="false"/>
          <w:color w:val="000000"/>
          <w:sz w:val="28"/>
        </w:rPr>
        <w:t>
      В 2024 году в сельской местности обеспеченность врачами составила 19,3 (в 2020 году – 17,3), СМР – 74,7 (в 2020 году – 70). Сохраняется дисбаланс между городом и селом.</w:t>
      </w:r>
    </w:p>
    <w:bookmarkEnd w:id="181"/>
    <w:bookmarkStart w:name="z204" w:id="182"/>
    <w:p>
      <w:pPr>
        <w:spacing w:after="0"/>
        <w:ind w:left="0"/>
        <w:jc w:val="both"/>
      </w:pPr>
      <w:r>
        <w:rPr>
          <w:rFonts w:ascii="Times New Roman"/>
          <w:b w:val="false"/>
          <w:i w:val="false"/>
          <w:color w:val="000000"/>
          <w:sz w:val="28"/>
        </w:rPr>
        <w:t>
      В 2024 году дефицит врачей в государственном секторе по незанятым должностям составил 3986 штатных единиц, что на 38 % меньше по сравнению с 2020 годом (6415 штатных единиц). В городах дефицит сократился на 42 % (с 5258,75 до 3054 штатных единиц), в сельской местности – на 19 % (с 1155,25 до 932 штатных единиц).</w:t>
      </w:r>
    </w:p>
    <w:bookmarkEnd w:id="182"/>
    <w:bookmarkStart w:name="z205" w:id="183"/>
    <w:p>
      <w:pPr>
        <w:spacing w:after="0"/>
        <w:ind w:left="0"/>
        <w:jc w:val="both"/>
      </w:pPr>
      <w:r>
        <w:rPr>
          <w:rFonts w:ascii="Times New Roman"/>
          <w:b w:val="false"/>
          <w:i w:val="false"/>
          <w:color w:val="000000"/>
          <w:sz w:val="28"/>
        </w:rPr>
        <w:t>
      Дефицит среднего медицинского персонала также снизился на 44 %: с 7605,5 штатных единиц в 2020 году до 4230,75 в 2024 году.</w:t>
      </w:r>
    </w:p>
    <w:bookmarkEnd w:id="183"/>
    <w:bookmarkStart w:name="z206" w:id="184"/>
    <w:p>
      <w:pPr>
        <w:spacing w:after="0"/>
        <w:ind w:left="0"/>
        <w:jc w:val="both"/>
      </w:pPr>
      <w:r>
        <w:rPr>
          <w:rFonts w:ascii="Times New Roman"/>
          <w:b w:val="false"/>
          <w:i w:val="false"/>
          <w:color w:val="000000"/>
          <w:sz w:val="28"/>
        </w:rPr>
        <w:t>
      Существующий дефицит кадров обусловлен рядом факторов: низкая зарплата в государственном секторе (врачи – 592,3 тысяч тенге, СМР – 292,8 тысяч тенге), старение персонала (средний возраст – 43 года), высокая текучесть (общая – более 8 %, в ПМСП – 21 %), перегрузка (коэффициент совместительства: врачи – 1,5, СМР – 1,1), миграция (более 420 медработников ежегодно), трудности закрепления (более 50 % освобождается от отработки, 20 % переходит в частный сектор), отказ от сельской отработки (около 10 % выпускников в год).</w:t>
      </w:r>
    </w:p>
    <w:bookmarkEnd w:id="184"/>
    <w:p>
      <w:pPr>
        <w:spacing w:after="0"/>
        <w:ind w:left="0"/>
        <w:jc w:val="both"/>
      </w:pPr>
      <w:bookmarkStart w:name="z207" w:id="185"/>
      <w:r>
        <w:rPr>
          <w:rFonts w:ascii="Times New Roman"/>
          <w:b w:val="false"/>
          <w:i w:val="false"/>
          <w:color w:val="000000"/>
          <w:sz w:val="28"/>
        </w:rPr>
        <w:t xml:space="preserve">
      В апреле 2024 года принят Закон Республики Казахстан "О внесении изменений и дополнений в некоторые законодательные акты Республики Казахстан по вопросам здравоохранения", предусматривающий повышение статуса медицинского работника, расширение социального пакета и страхование профессиональной ответственности. Введены выплаты для остродефицитных специалистов в сельской местности – свыше 8,5 млн тенге (в размере </w:t>
      </w:r>
    </w:p>
    <w:bookmarkEnd w:id="185"/>
    <w:p>
      <w:pPr>
        <w:spacing w:after="0"/>
        <w:ind w:left="0"/>
        <w:jc w:val="both"/>
      </w:pPr>
      <w:r>
        <w:rPr>
          <w:rFonts w:ascii="Times New Roman"/>
          <w:b w:val="false"/>
          <w:i w:val="false"/>
          <w:color w:val="000000"/>
          <w:sz w:val="28"/>
        </w:rPr>
        <w:t>100 минимальных заработных плат).</w:t>
      </w:r>
    </w:p>
    <w:bookmarkStart w:name="z208" w:id="186"/>
    <w:p>
      <w:pPr>
        <w:spacing w:after="0"/>
        <w:ind w:left="0"/>
        <w:jc w:val="both"/>
      </w:pPr>
      <w:r>
        <w:rPr>
          <w:rFonts w:ascii="Times New Roman"/>
          <w:b w:val="false"/>
          <w:i w:val="false"/>
          <w:color w:val="000000"/>
          <w:sz w:val="28"/>
        </w:rPr>
        <w:t>
      В 2023 году возобновлена подготовка врачей гигиенистов-эпидемиологов по программе "Медико-профилактическое дело". В 2024 году состоялся первый после длительного перерыва выпуск врачей-педиатров.</w:t>
      </w:r>
    </w:p>
    <w:bookmarkEnd w:id="186"/>
    <w:bookmarkStart w:name="z209" w:id="187"/>
    <w:p>
      <w:pPr>
        <w:spacing w:after="0"/>
        <w:ind w:left="0"/>
        <w:jc w:val="both"/>
      </w:pPr>
      <w:r>
        <w:rPr>
          <w:rFonts w:ascii="Times New Roman"/>
          <w:b w:val="false"/>
          <w:i w:val="false"/>
          <w:color w:val="000000"/>
          <w:sz w:val="28"/>
        </w:rPr>
        <w:t>
      Реализован переход к компетентностному подходу в обучении в резидентуре, ориентированному на практические требования здравоохранения.</w:t>
      </w:r>
    </w:p>
    <w:bookmarkEnd w:id="187"/>
    <w:bookmarkStart w:name="z210" w:id="188"/>
    <w:p>
      <w:pPr>
        <w:spacing w:after="0"/>
        <w:ind w:left="0"/>
        <w:jc w:val="both"/>
      </w:pPr>
      <w:r>
        <w:rPr>
          <w:rFonts w:ascii="Times New Roman"/>
          <w:b w:val="false"/>
          <w:i w:val="false"/>
          <w:color w:val="000000"/>
          <w:sz w:val="28"/>
        </w:rPr>
        <w:t>
      2 ОВПО имеют университетские больницы и клиники для практической подготовки студентов.</w:t>
      </w:r>
    </w:p>
    <w:bookmarkEnd w:id="188"/>
    <w:bookmarkStart w:name="z211" w:id="189"/>
    <w:p>
      <w:pPr>
        <w:spacing w:after="0"/>
        <w:ind w:left="0"/>
        <w:jc w:val="both"/>
      </w:pPr>
      <w:r>
        <w:rPr>
          <w:rFonts w:ascii="Times New Roman"/>
          <w:b w:val="false"/>
          <w:i w:val="false"/>
          <w:color w:val="000000"/>
          <w:sz w:val="28"/>
        </w:rPr>
        <w:t>
      С 2019 по 2022 годы увеличено количество грантов на бакалавриат, в магистратуру, докторантуру и резидентуру. Размер стипендии на 62 % выше, чем по другим направлениям. До 70 баллов повышен порог единого национального тестирования на поступление в медицинские и фармацевтические ОВПО. Минимальный балл по государственному заказу – не менее 100.</w:t>
      </w:r>
    </w:p>
    <w:bookmarkEnd w:id="189"/>
    <w:bookmarkStart w:name="z212" w:id="190"/>
    <w:p>
      <w:pPr>
        <w:spacing w:after="0"/>
        <w:ind w:left="0"/>
        <w:jc w:val="both"/>
      </w:pPr>
      <w:r>
        <w:rPr>
          <w:rFonts w:ascii="Times New Roman"/>
          <w:b w:val="false"/>
          <w:i w:val="false"/>
          <w:color w:val="000000"/>
          <w:sz w:val="28"/>
        </w:rPr>
        <w:t>
      Сохраняются дефицит преподавательского состава, недостаточность инфраструктуры и условий ("образовательная среда") для клинической подготовки медицинских кадров, включая дефицит клинических баз и (или) недостаточный доступ преподавателей и обучающихся к клинической практике, острая нехватка специалистов на стыке медицины, ИТ и биотехнологий, необходимых для цифровизации, научно-исследовательских, опытно-конструкторских работ (далее – НИОКР) и фармацевтической индустрии, а также рост случаев физической и психологической агрессии со стороны пациентов и их окружения в отношении медицинских работников, что подрывает безопасность, мотивацию и устойчивость системы здравоохранения.</w:t>
      </w:r>
    </w:p>
    <w:bookmarkEnd w:id="190"/>
    <w:bookmarkStart w:name="z213" w:id="19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Новая модель сестринской службы </w:t>
      </w:r>
    </w:p>
    <w:bookmarkEnd w:id="191"/>
    <w:bookmarkStart w:name="z214" w:id="192"/>
    <w:p>
      <w:pPr>
        <w:spacing w:after="0"/>
        <w:ind w:left="0"/>
        <w:jc w:val="both"/>
      </w:pPr>
      <w:r>
        <w:rPr>
          <w:rFonts w:ascii="Times New Roman"/>
          <w:b w:val="false"/>
          <w:i w:val="false"/>
          <w:color w:val="000000"/>
          <w:sz w:val="28"/>
        </w:rPr>
        <w:t>
      Усилилась роль медицинской сестры, как равноправного партнера врача: она планирует сестринский процесс и принимает решения в рамках компетенции. Планируется расширение функций медицинской сестры за счет передачи части врачебных функций.</w:t>
      </w:r>
    </w:p>
    <w:bookmarkEnd w:id="192"/>
    <w:bookmarkStart w:name="z215" w:id="193"/>
    <w:p>
      <w:pPr>
        <w:spacing w:after="0"/>
        <w:ind w:left="0"/>
        <w:jc w:val="both"/>
      </w:pPr>
      <w:r>
        <w:rPr>
          <w:rFonts w:ascii="Times New Roman"/>
          <w:b w:val="false"/>
          <w:i w:val="false"/>
          <w:color w:val="000000"/>
          <w:sz w:val="28"/>
        </w:rPr>
        <w:t>
      Разработаны новая система подготовки и модель управления сестринской службой. Внедрена многоуровневая подготовка от младшей медицинской сестры до PhD. Реализованы интегрированные программы прикладного и академического бакалавриата, магистратуры (в т.ч. двухдипломной казахско-финской) и PhD, ускоренные программы для работающих специалистов.</w:t>
      </w:r>
    </w:p>
    <w:bookmarkEnd w:id="193"/>
    <w:bookmarkStart w:name="z216" w:id="194"/>
    <w:p>
      <w:pPr>
        <w:spacing w:after="0"/>
        <w:ind w:left="0"/>
        <w:jc w:val="both"/>
      </w:pPr>
      <w:r>
        <w:rPr>
          <w:rFonts w:ascii="Times New Roman"/>
          <w:b w:val="false"/>
          <w:i w:val="false"/>
          <w:color w:val="000000"/>
          <w:sz w:val="28"/>
        </w:rPr>
        <w:t>
      Внедрены программы сертификационных курсов, повышения квалификации и неформального образования (с учетом новых профессиональных стандартов и отраслевой рамки квалификаций). Всего разработано 90 программ повышения квалификации.</w:t>
      </w:r>
    </w:p>
    <w:bookmarkEnd w:id="194"/>
    <w:bookmarkStart w:name="z217" w:id="195"/>
    <w:p>
      <w:pPr>
        <w:spacing w:after="0"/>
        <w:ind w:left="0"/>
        <w:jc w:val="both"/>
      </w:pPr>
      <w:r>
        <w:rPr>
          <w:rFonts w:ascii="Times New Roman"/>
          <w:b w:val="false"/>
          <w:i w:val="false"/>
          <w:color w:val="000000"/>
          <w:sz w:val="28"/>
        </w:rPr>
        <w:t xml:space="preserve">
      В 2022 году утвержден государственный общеобязательный стандарт образования по кредитно-модульной технологии обучения. Внедрены должности "медицинская сестра расширенной практики" и "заместитель директора по сестринскому делу", а также термины "сестринский диагноз", "сестринское вмешательство", "результат сестринского ухода" и "сестринская документация" на законодательном уровне. Обновлена организационная структура, внесены изменения в штатное расписание, разработаны клинические руководства, стандарты операционных процедур и формы документации. В 2024 году выпуск прикладных бакалавров по специальности "Сестринское дело" составил 13705 человек. </w:t>
      </w:r>
    </w:p>
    <w:bookmarkEnd w:id="195"/>
    <w:bookmarkStart w:name="z218" w:id="196"/>
    <w:p>
      <w:pPr>
        <w:spacing w:after="0"/>
        <w:ind w:left="0"/>
        <w:jc w:val="both"/>
      </w:pPr>
      <w:r>
        <w:rPr>
          <w:rFonts w:ascii="Times New Roman"/>
          <w:b w:val="false"/>
          <w:i w:val="false"/>
          <w:color w:val="000000"/>
          <w:sz w:val="28"/>
        </w:rPr>
        <w:t>
      Основными проблемами службы сестринского дела являются хронический дефицит медицинских сестер (несмотря на большие объемы подготовки сестринских кадров), низкая удовлетворенность работодателей качеством подготовки кадров, отсутствие системы контроля за внедрением и развитием института наставничества, недостаточное финансирование обучения, недостаточная практическая подготовка выпускников медицинских колледжей, отсутствие собственных клинических баз, низкий уровень автономной сестринской практики (несмотря на большой объем подготовки прикладных и академических бакалавров, медицинские сестры действуют преимущественно как ассистенты), недостаточная эффективность системы непрерывного профессионального развития и научной активности медицинских сестер, слабая роль медицинских сестер в межпрофессиональных командах.</w:t>
      </w:r>
    </w:p>
    <w:bookmarkEnd w:id="196"/>
    <w:bookmarkStart w:name="z219" w:id="197"/>
    <w:p>
      <w:pPr>
        <w:spacing w:after="0"/>
        <w:ind w:left="0"/>
        <w:jc w:val="both"/>
      </w:pPr>
      <w:r>
        <w:rPr>
          <w:rFonts w:ascii="Times New Roman"/>
          <w:b w:val="false"/>
          <w:i w:val="false"/>
          <w:color w:val="000000"/>
          <w:sz w:val="28"/>
        </w:rPr>
        <w:t xml:space="preserve">
      </w:t>
      </w:r>
      <w:r>
        <w:rPr>
          <w:rFonts w:ascii="Times New Roman"/>
          <w:b w:val="false"/>
          <w:i/>
          <w:color w:val="000000"/>
          <w:sz w:val="28"/>
        </w:rPr>
        <w:t>Медицинская</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фармацевтическая</w:t>
      </w:r>
      <w:r>
        <w:rPr>
          <w:rFonts w:ascii="Times New Roman"/>
          <w:b w:val="false"/>
          <w:i w:val="false"/>
          <w:color w:val="000000"/>
          <w:sz w:val="28"/>
        </w:rPr>
        <w:t xml:space="preserve"> </w:t>
      </w:r>
      <w:r>
        <w:rPr>
          <w:rFonts w:ascii="Times New Roman"/>
          <w:b w:val="false"/>
          <w:i/>
          <w:color w:val="000000"/>
          <w:sz w:val="28"/>
        </w:rPr>
        <w:t>наука</w:t>
      </w:r>
      <w:r>
        <w:rPr>
          <w:rFonts w:ascii="Times New Roman"/>
          <w:b w:val="false"/>
          <w:i w:val="false"/>
          <w:color w:val="000000"/>
          <w:sz w:val="28"/>
        </w:rPr>
        <w:t xml:space="preserve"> </w:t>
      </w:r>
    </w:p>
    <w:bookmarkEnd w:id="197"/>
    <w:bookmarkStart w:name="z220" w:id="198"/>
    <w:p>
      <w:pPr>
        <w:spacing w:after="0"/>
        <w:ind w:left="0"/>
        <w:jc w:val="both"/>
      </w:pPr>
      <w:r>
        <w:rPr>
          <w:rFonts w:ascii="Times New Roman"/>
          <w:b w:val="false"/>
          <w:i w:val="false"/>
          <w:color w:val="000000"/>
          <w:sz w:val="28"/>
        </w:rPr>
        <w:t>
      Инфраструктура научной деятельности в системе здравоохранения представлена 8 медицинскими ОВПО, 21 научной организацией и 3 лабораториями коллективного пользования.</w:t>
      </w:r>
    </w:p>
    <w:bookmarkEnd w:id="198"/>
    <w:bookmarkStart w:name="z221" w:id="199"/>
    <w:p>
      <w:pPr>
        <w:spacing w:after="0"/>
        <w:ind w:left="0"/>
        <w:jc w:val="both"/>
      </w:pPr>
      <w:r>
        <w:rPr>
          <w:rFonts w:ascii="Times New Roman"/>
          <w:b w:val="false"/>
          <w:i w:val="false"/>
          <w:color w:val="000000"/>
          <w:sz w:val="28"/>
        </w:rPr>
        <w:t>
      С 2021 года Национальный научный центр развития здравоохранения имени С. Каирбековой (далее – ННЦРЗ) выполняет функции отраслевого центра технологических компетенций "Здравоохранение 4.0", направленные на внедрение и локализацию передовых медицинских технологий. В 2022 году на базе ННЦРЗ создан центр развития клинических исследований для поддержки международных и локальных клинических исследований и развития методологии поиска доказательств.</w:t>
      </w:r>
    </w:p>
    <w:bookmarkEnd w:id="199"/>
    <w:bookmarkStart w:name="z222" w:id="200"/>
    <w:p>
      <w:pPr>
        <w:spacing w:after="0"/>
        <w:ind w:left="0"/>
        <w:jc w:val="both"/>
      </w:pPr>
      <w:r>
        <w:rPr>
          <w:rFonts w:ascii="Times New Roman"/>
          <w:b w:val="false"/>
          <w:i w:val="false"/>
          <w:color w:val="000000"/>
          <w:sz w:val="28"/>
        </w:rPr>
        <w:t xml:space="preserve">
      На базе Казахского национального медицинского университета имени С.Д. Асфендиярова действует научно-технологический парк для поддержки и продвижения результатов исследований. </w:t>
      </w:r>
    </w:p>
    <w:bookmarkEnd w:id="200"/>
    <w:bookmarkStart w:name="z223" w:id="201"/>
    <w:p>
      <w:pPr>
        <w:spacing w:after="0"/>
        <w:ind w:left="0"/>
        <w:jc w:val="both"/>
      </w:pPr>
      <w:r>
        <w:rPr>
          <w:rFonts w:ascii="Times New Roman"/>
          <w:b w:val="false"/>
          <w:i w:val="false"/>
          <w:color w:val="000000"/>
          <w:sz w:val="28"/>
        </w:rPr>
        <w:t>
      Кадровый потенциал научной деятельности в области здравоохранения составляет 12080 штатных единиц научных работников, профессорско-преподавательского состава, клинического персонала научных организаций и университетских клиник. На долю кадров с ученой степенью приходится 25 %, в том числе в медицинских ОВПО – 48,3 %, в научных организациях – 20 %.</w:t>
      </w:r>
    </w:p>
    <w:bookmarkEnd w:id="201"/>
    <w:bookmarkStart w:name="z224" w:id="202"/>
    <w:p>
      <w:pPr>
        <w:spacing w:after="0"/>
        <w:ind w:left="0"/>
        <w:jc w:val="both"/>
      </w:pPr>
      <w:r>
        <w:rPr>
          <w:rFonts w:ascii="Times New Roman"/>
          <w:b w:val="false"/>
          <w:i w:val="false"/>
          <w:color w:val="000000"/>
          <w:sz w:val="28"/>
        </w:rPr>
        <w:t xml:space="preserve">
      Финансирование медицинской науки в 2024 году составило более 14,4 млрд тенге, в том числе из средств республиканского бюджета – 11 млрд тенге, от зарубежных грантодателей – 575,5 млн тенге. </w:t>
      </w:r>
    </w:p>
    <w:bookmarkEnd w:id="202"/>
    <w:bookmarkStart w:name="z225" w:id="203"/>
    <w:p>
      <w:pPr>
        <w:spacing w:after="0"/>
        <w:ind w:left="0"/>
        <w:jc w:val="both"/>
      </w:pPr>
      <w:r>
        <w:rPr>
          <w:rFonts w:ascii="Times New Roman"/>
          <w:b w:val="false"/>
          <w:i w:val="false"/>
          <w:color w:val="000000"/>
          <w:sz w:val="28"/>
        </w:rPr>
        <w:t>
      В 2024 году реализовано 49 программно-целевых, 173 грантовых, 88 проектов от местных организаций и 36 от зарубежных грантодателей. При этом расходы на научные исследования в области здравоохранения в общем объеме внутреннего валового продукта (далее – ВВП) в 2024 году составили 0,008 % (США государственные расходы – 0,2 % ВВП, частный сектор – до 0,3 %; в странах Европы – 0,05 % и 0,1 %, соответственно).</w:t>
      </w:r>
    </w:p>
    <w:bookmarkEnd w:id="203"/>
    <w:bookmarkStart w:name="z226" w:id="204"/>
    <w:p>
      <w:pPr>
        <w:spacing w:after="0"/>
        <w:ind w:left="0"/>
        <w:jc w:val="both"/>
      </w:pPr>
      <w:r>
        <w:rPr>
          <w:rFonts w:ascii="Times New Roman"/>
          <w:b w:val="false"/>
          <w:i w:val="false"/>
          <w:color w:val="000000"/>
          <w:sz w:val="28"/>
        </w:rPr>
        <w:t>
      Доля доходов от научной и инновационной деятельности в общем бюджете организаций медицинского образования и науки составила 11,89 % в 2024 году.</w:t>
      </w:r>
    </w:p>
    <w:bookmarkEnd w:id="204"/>
    <w:bookmarkStart w:name="z227" w:id="205"/>
    <w:p>
      <w:pPr>
        <w:spacing w:after="0"/>
        <w:ind w:left="0"/>
        <w:jc w:val="both"/>
      </w:pPr>
      <w:r>
        <w:rPr>
          <w:rFonts w:ascii="Times New Roman"/>
          <w:b w:val="false"/>
          <w:i w:val="false"/>
          <w:color w:val="000000"/>
          <w:sz w:val="28"/>
        </w:rPr>
        <w:t>
      В 2024 году количество клинических исследований составило 0,3 на 1 млн населения (США – 10,9, Франция – 8,3, Китай – 1,8, Россия – 0,34).</w:t>
      </w:r>
    </w:p>
    <w:bookmarkEnd w:id="205"/>
    <w:bookmarkStart w:name="z228" w:id="206"/>
    <w:p>
      <w:pPr>
        <w:spacing w:after="0"/>
        <w:ind w:left="0"/>
        <w:jc w:val="both"/>
      </w:pPr>
      <w:r>
        <w:rPr>
          <w:rFonts w:ascii="Times New Roman"/>
          <w:b w:val="false"/>
          <w:i w:val="false"/>
          <w:color w:val="000000"/>
          <w:sz w:val="28"/>
        </w:rPr>
        <w:t xml:space="preserve">
      Публикации казахстанских ученых в международных рецензируемых изданиях в Scopus по медицине выросли с 616 (85-е место в мире) в 2020 году до 1189 (75-е место) в 2024 году, а количество их цитирований с 616 (84-е место) в 2020 году до 1189 (72-е место). </w:t>
      </w:r>
    </w:p>
    <w:bookmarkEnd w:id="206"/>
    <w:bookmarkStart w:name="z229" w:id="207"/>
    <w:p>
      <w:pPr>
        <w:spacing w:after="0"/>
        <w:ind w:left="0"/>
        <w:jc w:val="both"/>
      </w:pPr>
      <w:r>
        <w:rPr>
          <w:rFonts w:ascii="Times New Roman"/>
          <w:b w:val="false"/>
          <w:i w:val="false"/>
          <w:color w:val="000000"/>
          <w:sz w:val="28"/>
        </w:rPr>
        <w:t>
      В 2024 году начата разработка национальной информационной системы по биомедицинским исследованиям для формирования научной информационной площадки.</w:t>
      </w:r>
    </w:p>
    <w:bookmarkEnd w:id="207"/>
    <w:bookmarkStart w:name="z230" w:id="208"/>
    <w:p>
      <w:pPr>
        <w:spacing w:after="0"/>
        <w:ind w:left="0"/>
        <w:jc w:val="both"/>
      </w:pPr>
      <w:r>
        <w:rPr>
          <w:rFonts w:ascii="Times New Roman"/>
          <w:b w:val="false"/>
          <w:i w:val="false"/>
          <w:color w:val="000000"/>
          <w:sz w:val="28"/>
        </w:rPr>
        <w:t xml:space="preserve">
      Ведется работа по сертификации и ресертификации 17 этических комиссий. </w:t>
      </w:r>
    </w:p>
    <w:bookmarkEnd w:id="208"/>
    <w:bookmarkStart w:name="z231" w:id="209"/>
    <w:p>
      <w:pPr>
        <w:spacing w:after="0"/>
        <w:ind w:left="0"/>
        <w:jc w:val="both"/>
      </w:pPr>
      <w:r>
        <w:rPr>
          <w:rFonts w:ascii="Times New Roman"/>
          <w:b w:val="false"/>
          <w:i w:val="false"/>
          <w:color w:val="000000"/>
          <w:sz w:val="28"/>
        </w:rPr>
        <w:t>
      Основными проблемами, сдерживающими развитие медицинской и фармацевтической науки, являются низкий уровень финансирования исследований, недостаточная инфраструктура для проведения высококачественных научных исследований, низкий уровень публикационной активности и востребованности публикаций, низкий уровень и (или) отсутствие исследований по отдельным научным направлениям (стоматология, сестринское дело и другое), непривлекательность страны для спонсоров международных клинических исследований, в том числе отсутствие налоговых и административных стимулов, низкая вовлеченность профессорского-преподавательского состава медицинских ОВПО и персонала научных организаций в исследовательские проекты, "утечка мозгов", недостаточное восполнение сферы медицинской науки молодыми специалистами, отсутствие устойчивых кадровых траекторий в науке, слабая международная вовлеченность в научных проектах, низкий уровень патентования результатов исследований и системы трансферта технологий, низкая коммерциализация результатов научных исследований, отсутствие системной поддержки трансляционных исследований, включая инфраструктуру и кадры, низкая культура использования научных данных при разработке клинических протоколов, стандартов и политики в здравоохранении.</w:t>
      </w:r>
    </w:p>
    <w:bookmarkEnd w:id="209"/>
    <w:bookmarkStart w:name="z232" w:id="210"/>
    <w:p>
      <w:pPr>
        <w:spacing w:after="0"/>
        <w:ind w:left="0"/>
        <w:jc w:val="both"/>
      </w:pPr>
      <w:r>
        <w:rPr>
          <w:rFonts w:ascii="Times New Roman"/>
          <w:b w:val="false"/>
          <w:i w:val="false"/>
          <w:color w:val="000000"/>
          <w:sz w:val="28"/>
        </w:rPr>
        <w:t xml:space="preserve">
      </w:t>
      </w:r>
      <w:r>
        <w:rPr>
          <w:rFonts w:ascii="Times New Roman"/>
          <w:b w:val="false"/>
          <w:i/>
          <w:color w:val="000000"/>
          <w:sz w:val="28"/>
        </w:rPr>
        <w:t>Лекарственное</w:t>
      </w:r>
      <w:r>
        <w:rPr>
          <w:rFonts w:ascii="Times New Roman"/>
          <w:b w:val="false"/>
          <w:i w:val="false"/>
          <w:color w:val="000000"/>
          <w:sz w:val="28"/>
        </w:rPr>
        <w:t xml:space="preserve"> </w:t>
      </w:r>
      <w:r>
        <w:rPr>
          <w:rFonts w:ascii="Times New Roman"/>
          <w:b w:val="false"/>
          <w:i/>
          <w:color w:val="000000"/>
          <w:sz w:val="28"/>
        </w:rPr>
        <w:t>обеспечение</w:t>
      </w:r>
      <w:r>
        <w:rPr>
          <w:rFonts w:ascii="Times New Roman"/>
          <w:b w:val="false"/>
          <w:i w:val="false"/>
          <w:color w:val="000000"/>
          <w:sz w:val="28"/>
        </w:rPr>
        <w:t xml:space="preserve"> </w:t>
      </w:r>
    </w:p>
    <w:bookmarkEnd w:id="210"/>
    <w:bookmarkStart w:name="z233" w:id="211"/>
    <w:p>
      <w:pPr>
        <w:spacing w:after="0"/>
        <w:ind w:left="0"/>
        <w:jc w:val="both"/>
      </w:pPr>
      <w:r>
        <w:rPr>
          <w:rFonts w:ascii="Times New Roman"/>
          <w:b w:val="false"/>
          <w:i w:val="false"/>
          <w:color w:val="000000"/>
          <w:sz w:val="28"/>
        </w:rPr>
        <w:t>
      Лекарственное обеспечение осуществляется преимущественно через централизованный закуп единым дистрибьютором лекарственных средств для стационарного лечения и в рамках амбулаторного лекарственного обеспечения.</w:t>
      </w:r>
    </w:p>
    <w:bookmarkEnd w:id="211"/>
    <w:bookmarkStart w:name="z234" w:id="212"/>
    <w:p>
      <w:pPr>
        <w:spacing w:after="0"/>
        <w:ind w:left="0"/>
        <w:jc w:val="both"/>
      </w:pPr>
      <w:r>
        <w:rPr>
          <w:rFonts w:ascii="Times New Roman"/>
          <w:b w:val="false"/>
          <w:i w:val="false"/>
          <w:color w:val="000000"/>
          <w:sz w:val="28"/>
        </w:rPr>
        <w:t>
      В 2024 году доля отечественной продукции от всех закупленных лекарственных средств (далее – ЛС) и медицинских изделий (далее – МИ) составила 30 %.</w:t>
      </w:r>
    </w:p>
    <w:bookmarkEnd w:id="212"/>
    <w:bookmarkStart w:name="z235" w:id="213"/>
    <w:p>
      <w:pPr>
        <w:spacing w:after="0"/>
        <w:ind w:left="0"/>
        <w:jc w:val="both"/>
      </w:pPr>
      <w:r>
        <w:rPr>
          <w:rFonts w:ascii="Times New Roman"/>
          <w:b w:val="false"/>
          <w:i w:val="false"/>
          <w:color w:val="000000"/>
          <w:sz w:val="28"/>
        </w:rPr>
        <w:t xml:space="preserve">
      В 2024 году действовало 90 долгосрочных договоров с 34 казахстанскими производителями на 2487 наименований (509 ЛС и 1978 МИ). </w:t>
      </w:r>
    </w:p>
    <w:bookmarkEnd w:id="213"/>
    <w:bookmarkStart w:name="z236" w:id="214"/>
    <w:p>
      <w:pPr>
        <w:spacing w:after="0"/>
        <w:ind w:left="0"/>
        <w:jc w:val="both"/>
      </w:pPr>
      <w:r>
        <w:rPr>
          <w:rFonts w:ascii="Times New Roman"/>
          <w:b w:val="false"/>
          <w:i w:val="false"/>
          <w:color w:val="000000"/>
          <w:sz w:val="28"/>
        </w:rPr>
        <w:t>
      84,9 % ЛС и МИ продолжают поставляться из-за рубежа – преимущественно из Германии, Китая, Бельгии, Швейцарии, Франции, Ирландии, Италии, США и Индии.</w:t>
      </w:r>
    </w:p>
    <w:bookmarkEnd w:id="214"/>
    <w:bookmarkStart w:name="z237" w:id="215"/>
    <w:p>
      <w:pPr>
        <w:spacing w:after="0"/>
        <w:ind w:left="0"/>
        <w:jc w:val="both"/>
      </w:pPr>
      <w:r>
        <w:rPr>
          <w:rFonts w:ascii="Times New Roman"/>
          <w:b w:val="false"/>
          <w:i w:val="false"/>
          <w:color w:val="000000"/>
          <w:sz w:val="28"/>
        </w:rPr>
        <w:t>
      Действуют регулирование цен на все ЛС и электронный учет выдачи бесплатных препаратов.</w:t>
      </w:r>
    </w:p>
    <w:bookmarkEnd w:id="215"/>
    <w:bookmarkStart w:name="z238" w:id="216"/>
    <w:p>
      <w:pPr>
        <w:spacing w:after="0"/>
        <w:ind w:left="0"/>
        <w:jc w:val="both"/>
      </w:pPr>
      <w:r>
        <w:rPr>
          <w:rFonts w:ascii="Times New Roman"/>
          <w:b w:val="false"/>
          <w:i w:val="false"/>
          <w:color w:val="000000"/>
          <w:sz w:val="28"/>
        </w:rPr>
        <w:t xml:space="preserve">
      Отпуск АЛО осуществляется через аптечные организации, в отдаленных районах – через ПМСП, 974 аптечных и 11 передвижных аптечных пунктов. </w:t>
      </w:r>
    </w:p>
    <w:bookmarkEnd w:id="216"/>
    <w:bookmarkStart w:name="z239" w:id="217"/>
    <w:p>
      <w:pPr>
        <w:spacing w:after="0"/>
        <w:ind w:left="0"/>
        <w:jc w:val="both"/>
      </w:pPr>
      <w:r>
        <w:rPr>
          <w:rFonts w:ascii="Times New Roman"/>
          <w:b w:val="false"/>
          <w:i w:val="false"/>
          <w:color w:val="000000"/>
          <w:sz w:val="28"/>
        </w:rPr>
        <w:t>
      Начато внедрение автоматизированной информационной системы лекарственного обеспечения, позволяющей в реальном времени отслеживать выписку рецептов и фактическое получение препаратов, гарантированных государством.</w:t>
      </w:r>
    </w:p>
    <w:bookmarkEnd w:id="217"/>
    <w:bookmarkStart w:name="z240" w:id="218"/>
    <w:p>
      <w:pPr>
        <w:spacing w:after="0"/>
        <w:ind w:left="0"/>
        <w:jc w:val="both"/>
      </w:pPr>
      <w:r>
        <w:rPr>
          <w:rFonts w:ascii="Times New Roman"/>
          <w:b w:val="false"/>
          <w:i w:val="false"/>
          <w:color w:val="000000"/>
          <w:sz w:val="28"/>
        </w:rPr>
        <w:t>
      На стационарном уровне поэтапно внедряются отделения клинической фармакологии и госпитальной фармации. В 2024 году открыто 78 отделений госпитальной фармации.</w:t>
      </w:r>
    </w:p>
    <w:bookmarkEnd w:id="218"/>
    <w:bookmarkStart w:name="z241" w:id="219"/>
    <w:p>
      <w:pPr>
        <w:spacing w:after="0"/>
        <w:ind w:left="0"/>
        <w:jc w:val="both"/>
      </w:pPr>
      <w:r>
        <w:rPr>
          <w:rFonts w:ascii="Times New Roman"/>
          <w:b w:val="false"/>
          <w:i w:val="false"/>
          <w:color w:val="000000"/>
          <w:sz w:val="28"/>
        </w:rPr>
        <w:t xml:space="preserve">
      </w:t>
      </w:r>
      <w:r>
        <w:rPr>
          <w:rFonts w:ascii="Times New Roman"/>
          <w:b w:val="false"/>
          <w:i/>
          <w:color w:val="000000"/>
          <w:sz w:val="28"/>
        </w:rPr>
        <w:t>Производство фармацевтических продуктов</w:t>
      </w:r>
    </w:p>
    <w:bookmarkEnd w:id="219"/>
    <w:bookmarkStart w:name="z242" w:id="220"/>
    <w:p>
      <w:pPr>
        <w:spacing w:after="0"/>
        <w:ind w:left="0"/>
        <w:jc w:val="both"/>
      </w:pPr>
      <w:r>
        <w:rPr>
          <w:rFonts w:ascii="Times New Roman"/>
          <w:b w:val="false"/>
          <w:i w:val="false"/>
          <w:color w:val="000000"/>
          <w:sz w:val="28"/>
        </w:rPr>
        <w:t xml:space="preserve">
      За 4 года прямые инвестиции в производство основных фармацевтических продуктов выросли в 1,3 раза: с 69,7 млн долларов США (2020 год) до 91,3 млн долларов США (2024 год). </w:t>
      </w:r>
    </w:p>
    <w:bookmarkEnd w:id="220"/>
    <w:bookmarkStart w:name="z243" w:id="221"/>
    <w:p>
      <w:pPr>
        <w:spacing w:after="0"/>
        <w:ind w:left="0"/>
        <w:jc w:val="both"/>
      </w:pPr>
      <w:r>
        <w:rPr>
          <w:rFonts w:ascii="Times New Roman"/>
          <w:b w:val="false"/>
          <w:i w:val="false"/>
          <w:color w:val="000000"/>
          <w:sz w:val="28"/>
        </w:rPr>
        <w:t xml:space="preserve">
      Объем производства фармацевтических продукции увеличился с 141,9 млрд тенге (2020 год) до 171,6 млрд тенге (2024 год), рост составил 20,9 %. </w:t>
      </w:r>
    </w:p>
    <w:bookmarkEnd w:id="221"/>
    <w:bookmarkStart w:name="z244" w:id="222"/>
    <w:p>
      <w:pPr>
        <w:spacing w:after="0"/>
        <w:ind w:left="0"/>
        <w:jc w:val="both"/>
      </w:pPr>
      <w:r>
        <w:rPr>
          <w:rFonts w:ascii="Times New Roman"/>
          <w:b w:val="false"/>
          <w:i w:val="false"/>
          <w:color w:val="000000"/>
          <w:sz w:val="28"/>
        </w:rPr>
        <w:t>
      Доля отечественного производства на рынке в 2024 году составила 15,1 % и представлена в основном генериками.</w:t>
      </w:r>
    </w:p>
    <w:bookmarkEnd w:id="222"/>
    <w:bookmarkStart w:name="z245" w:id="223"/>
    <w:p>
      <w:pPr>
        <w:spacing w:after="0"/>
        <w:ind w:left="0"/>
        <w:jc w:val="both"/>
      </w:pPr>
      <w:r>
        <w:rPr>
          <w:rFonts w:ascii="Times New Roman"/>
          <w:b w:val="false"/>
          <w:i w:val="false"/>
          <w:color w:val="000000"/>
          <w:sz w:val="28"/>
        </w:rPr>
        <w:t>
      В стране зарегистрировано 6991 наименование ЛС, из них отечественные – 15,3 % (1068), зарубежные – 84,7 % (5923); зарегистрировано 13274 наименования МИ, из них отечественные – 15,4 % (2051), зарубежные – 84,6 % (11223).</w:t>
      </w:r>
    </w:p>
    <w:bookmarkEnd w:id="223"/>
    <w:bookmarkStart w:name="z246" w:id="224"/>
    <w:p>
      <w:pPr>
        <w:spacing w:after="0"/>
        <w:ind w:left="0"/>
        <w:jc w:val="both"/>
      </w:pPr>
      <w:r>
        <w:rPr>
          <w:rFonts w:ascii="Times New Roman"/>
          <w:b w:val="false"/>
          <w:i w:val="false"/>
          <w:color w:val="000000"/>
          <w:sz w:val="28"/>
        </w:rPr>
        <w:t>
      Основные меры по поддержке и развитию фармацевтической промышленности: либерализация законодательства, обращение ЛС и МИ в рамках ЕАЭС, государственная поддержка, стимулирование НИОКР, привлечение инвестиций, кадровое обеспечение, маркировка, прослеживаемость и расширение мощностей отечественных производителей.</w:t>
      </w:r>
    </w:p>
    <w:bookmarkEnd w:id="224"/>
    <w:bookmarkStart w:name="z247" w:id="225"/>
    <w:p>
      <w:pPr>
        <w:spacing w:after="0"/>
        <w:ind w:left="0"/>
        <w:jc w:val="both"/>
      </w:pPr>
      <w:r>
        <w:rPr>
          <w:rFonts w:ascii="Times New Roman"/>
          <w:b w:val="false"/>
          <w:i w:val="false"/>
          <w:color w:val="000000"/>
          <w:sz w:val="28"/>
        </w:rPr>
        <w:t>
      Национальный холдинг "QazBioPharm", созданный в 2021 году, объединяет 8 организаций, работающих в сфере развития и совершенствования инфраструктуры биофармацевтического рынка.</w:t>
      </w:r>
    </w:p>
    <w:bookmarkEnd w:id="225"/>
    <w:bookmarkStart w:name="z248" w:id="226"/>
    <w:p>
      <w:pPr>
        <w:spacing w:after="0"/>
        <w:ind w:left="0"/>
        <w:jc w:val="both"/>
      </w:pPr>
      <w:r>
        <w:rPr>
          <w:rFonts w:ascii="Times New Roman"/>
          <w:b w:val="false"/>
          <w:i w:val="false"/>
          <w:color w:val="000000"/>
          <w:sz w:val="28"/>
        </w:rPr>
        <w:t>
      Развивается сотрудничество с зарубежными фармацевтическими компаниями, включая Big Pharma, по привлечению инвестиций, трансферту технологий, контрактному производству ЛС и МИ с акцентом на локализацию и выпуск оригинальных препаратов.</w:t>
      </w:r>
    </w:p>
    <w:bookmarkEnd w:id="226"/>
    <w:bookmarkStart w:name="z249" w:id="227"/>
    <w:p>
      <w:pPr>
        <w:spacing w:after="0"/>
        <w:ind w:left="0"/>
        <w:jc w:val="both"/>
      </w:pPr>
      <w:r>
        <w:rPr>
          <w:rFonts w:ascii="Times New Roman"/>
          <w:b w:val="false"/>
          <w:i w:val="false"/>
          <w:color w:val="000000"/>
          <w:sz w:val="28"/>
        </w:rPr>
        <w:t xml:space="preserve">
      Для пресечения деятельности "лжепроизводителей" ведется работа по наполнению реестра казахстанских товаропроизводителей. </w:t>
      </w:r>
    </w:p>
    <w:bookmarkEnd w:id="227"/>
    <w:bookmarkStart w:name="z250" w:id="228"/>
    <w:p>
      <w:pPr>
        <w:spacing w:after="0"/>
        <w:ind w:left="0"/>
        <w:jc w:val="both"/>
      </w:pPr>
      <w:r>
        <w:rPr>
          <w:rFonts w:ascii="Times New Roman"/>
          <w:b w:val="false"/>
          <w:i w:val="false"/>
          <w:color w:val="000000"/>
          <w:sz w:val="28"/>
        </w:rPr>
        <w:t>
       Основными проблемами лекарственного обеспечения населения являются низкий уровень автоматизации планирования и закупа, а также цифрового учета ЛС и МИ, низкая инвестиционная привлекательность казахстанской фармацевтической промышленности, недостаточная локализация производства, недостаточность лабораторий для проведения клинических и доклинических исследований, недостаточное межведомственное взаимодействие, сопряженное с развитием смежных отраслей экономики.</w:t>
      </w:r>
    </w:p>
    <w:bookmarkEnd w:id="228"/>
    <w:bookmarkStart w:name="z251" w:id="229"/>
    <w:p>
      <w:pPr>
        <w:spacing w:after="0"/>
        <w:ind w:left="0"/>
        <w:jc w:val="both"/>
      </w:pPr>
      <w:r>
        <w:rPr>
          <w:rFonts w:ascii="Times New Roman"/>
          <w:b w:val="false"/>
          <w:i w:val="false"/>
          <w:color w:val="000000"/>
          <w:sz w:val="28"/>
        </w:rPr>
        <w:t xml:space="preserve">
      </w:t>
      </w:r>
      <w:r>
        <w:rPr>
          <w:rFonts w:ascii="Times New Roman"/>
          <w:b w:val="false"/>
          <w:i/>
          <w:color w:val="000000"/>
          <w:sz w:val="28"/>
        </w:rPr>
        <w:t>Цифровизация системы здравоохранения</w:t>
      </w:r>
    </w:p>
    <w:bookmarkEnd w:id="229"/>
    <w:bookmarkStart w:name="z252" w:id="230"/>
    <w:p>
      <w:pPr>
        <w:spacing w:after="0"/>
        <w:ind w:left="0"/>
        <w:jc w:val="both"/>
      </w:pPr>
      <w:r>
        <w:rPr>
          <w:rFonts w:ascii="Times New Roman"/>
          <w:b w:val="false"/>
          <w:i w:val="false"/>
          <w:color w:val="000000"/>
          <w:sz w:val="28"/>
        </w:rPr>
        <w:t>
      Продолжается работа по созданию единой цифровой инфраструктуры.</w:t>
      </w:r>
    </w:p>
    <w:bookmarkEnd w:id="230"/>
    <w:bookmarkStart w:name="z253" w:id="231"/>
    <w:p>
      <w:pPr>
        <w:spacing w:after="0"/>
        <w:ind w:left="0"/>
        <w:jc w:val="both"/>
      </w:pPr>
      <w:r>
        <w:rPr>
          <w:rFonts w:ascii="Times New Roman"/>
          <w:b w:val="false"/>
          <w:i w:val="false"/>
          <w:color w:val="000000"/>
          <w:sz w:val="28"/>
        </w:rPr>
        <w:t>
      Функционируют 18 государственных информационных систем Министерства здравоохранения, а также более 20 медицинских информационных систем на рынке.</w:t>
      </w:r>
    </w:p>
    <w:bookmarkEnd w:id="231"/>
    <w:bookmarkStart w:name="z254" w:id="232"/>
    <w:p>
      <w:pPr>
        <w:spacing w:after="0"/>
        <w:ind w:left="0"/>
        <w:jc w:val="both"/>
      </w:pPr>
      <w:r>
        <w:rPr>
          <w:rFonts w:ascii="Times New Roman"/>
          <w:b w:val="false"/>
          <w:i w:val="false"/>
          <w:color w:val="000000"/>
          <w:sz w:val="28"/>
        </w:rPr>
        <w:t xml:space="preserve">
      Электронной системой охвачено 422 тысячи медицинских работников и более 20 млн граждан. Ежегодно системы обрабатывают данные свыше 400 млн медицинских услуг от почти 2 тысяч организаций. </w:t>
      </w:r>
    </w:p>
    <w:bookmarkEnd w:id="232"/>
    <w:bookmarkStart w:name="z255" w:id="233"/>
    <w:p>
      <w:pPr>
        <w:spacing w:after="0"/>
        <w:ind w:left="0"/>
        <w:jc w:val="both"/>
      </w:pPr>
      <w:r>
        <w:rPr>
          <w:rFonts w:ascii="Times New Roman"/>
          <w:b w:val="false"/>
          <w:i w:val="false"/>
          <w:color w:val="000000"/>
          <w:sz w:val="28"/>
        </w:rPr>
        <w:t>
      В 2024 году медицинскими организациями страны оказано 3,2 млн дистанционных медицинских услуг, из них сельскому населению 1,5 млн услуг.</w:t>
      </w:r>
    </w:p>
    <w:bookmarkEnd w:id="233"/>
    <w:bookmarkStart w:name="z256" w:id="234"/>
    <w:p>
      <w:pPr>
        <w:spacing w:after="0"/>
        <w:ind w:left="0"/>
        <w:jc w:val="both"/>
      </w:pPr>
      <w:r>
        <w:rPr>
          <w:rFonts w:ascii="Times New Roman"/>
          <w:b w:val="false"/>
          <w:i w:val="false"/>
          <w:color w:val="000000"/>
          <w:sz w:val="28"/>
        </w:rPr>
        <w:t>
      Посредством сервиса "Социальный кошелек" пациенты, используя QR-код, получили 7,1 млн лекарственных средств. В настоящее время этот проект масштабирован во все государственные медицинские организации.</w:t>
      </w:r>
    </w:p>
    <w:bookmarkEnd w:id="234"/>
    <w:bookmarkStart w:name="z257" w:id="235"/>
    <w:p>
      <w:pPr>
        <w:spacing w:after="0"/>
        <w:ind w:left="0"/>
        <w:jc w:val="both"/>
      </w:pPr>
      <w:r>
        <w:rPr>
          <w:rFonts w:ascii="Times New Roman"/>
          <w:b w:val="false"/>
          <w:i w:val="false"/>
          <w:color w:val="000000"/>
          <w:sz w:val="28"/>
        </w:rPr>
        <w:t>
      8 видов медицинских справок переводится с бумажного носителя в электронный формат, включая медицинские книжки и больничные листы.</w:t>
      </w:r>
    </w:p>
    <w:bookmarkEnd w:id="235"/>
    <w:bookmarkStart w:name="z258" w:id="236"/>
    <w:p>
      <w:pPr>
        <w:spacing w:after="0"/>
        <w:ind w:left="0"/>
        <w:jc w:val="both"/>
      </w:pPr>
      <w:r>
        <w:rPr>
          <w:rFonts w:ascii="Times New Roman"/>
          <w:b w:val="false"/>
          <w:i w:val="false"/>
          <w:color w:val="000000"/>
          <w:sz w:val="28"/>
        </w:rPr>
        <w:t>
      Сохраняются недостаточная доступность цифровых сервисов в медицинских организациях в отдаленных сельских местностях, низкий уровень интеграции информационных систем, низкая цифровая грамотность медицинского персонала, медленное развитие телемедицины и дистанционных форм оказания медицинских услуг, недостаточное применение искусственного интеллекта и предиктивной аналитики, низкая цифровая вовлеченность пациентов.</w:t>
      </w:r>
    </w:p>
    <w:bookmarkEnd w:id="236"/>
    <w:bookmarkStart w:name="z259" w:id="237"/>
    <w:p>
      <w:pPr>
        <w:spacing w:after="0"/>
        <w:ind w:left="0"/>
        <w:jc w:val="both"/>
      </w:pPr>
      <w:r>
        <w:rPr>
          <w:rFonts w:ascii="Times New Roman"/>
          <w:b w:val="false"/>
          <w:i w:val="false"/>
          <w:color w:val="000000"/>
          <w:sz w:val="28"/>
        </w:rPr>
        <w:t xml:space="preserve">
      </w:t>
      </w:r>
      <w:r>
        <w:rPr>
          <w:rFonts w:ascii="Times New Roman"/>
          <w:b w:val="false"/>
          <w:i/>
          <w:color w:val="000000"/>
          <w:sz w:val="28"/>
        </w:rPr>
        <w:t>Система финансирования медицинской помощи</w:t>
      </w:r>
    </w:p>
    <w:bookmarkEnd w:id="237"/>
    <w:bookmarkStart w:name="z260" w:id="238"/>
    <w:p>
      <w:pPr>
        <w:spacing w:after="0"/>
        <w:ind w:left="0"/>
        <w:jc w:val="both"/>
      </w:pPr>
      <w:r>
        <w:rPr>
          <w:rFonts w:ascii="Times New Roman"/>
          <w:b w:val="false"/>
          <w:i w:val="false"/>
          <w:color w:val="000000"/>
          <w:sz w:val="28"/>
        </w:rPr>
        <w:t xml:space="preserve">
      По итогам 2024 года доля расходов на здравоохранение составила 4,7 % ВВП. Доля "карманных расходов" – 26,8 % от текущих расходов (в 2019 году – 33,8 %). Все население страны охвачено гарантированным объемом бесплатной медицинской помощи (далее – ГОБМП) и 86,7 % (17,5 млн человек на 1 января 2025 года) системой ОСМС, не охвачено свыше 3,7 млн человек. Основным администратором медицинских услуг в рамках двух схем является Фонд социального медицинского страхования с 20 региональными филиалами. </w:t>
      </w:r>
    </w:p>
    <w:bookmarkEnd w:id="238"/>
    <w:bookmarkStart w:name="z261" w:id="239"/>
    <w:p>
      <w:pPr>
        <w:spacing w:after="0"/>
        <w:ind w:left="0"/>
        <w:jc w:val="both"/>
      </w:pPr>
      <w:r>
        <w:rPr>
          <w:rFonts w:ascii="Times New Roman"/>
          <w:b w:val="false"/>
          <w:i w:val="false"/>
          <w:color w:val="000000"/>
          <w:sz w:val="28"/>
        </w:rPr>
        <w:t>
      В 2024 году объем финансирования составил: ГОБМП – 1620 млрд тенге, ОСМС – 1228 млрд тенге. За 5 лет объем финансирования вырос в номинальном выражении в 2,9 раза.</w:t>
      </w:r>
    </w:p>
    <w:bookmarkEnd w:id="239"/>
    <w:bookmarkStart w:name="z262" w:id="240"/>
    <w:p>
      <w:pPr>
        <w:spacing w:after="0"/>
        <w:ind w:left="0"/>
        <w:jc w:val="both"/>
      </w:pPr>
      <w:r>
        <w:rPr>
          <w:rFonts w:ascii="Times New Roman"/>
          <w:b w:val="false"/>
          <w:i w:val="false"/>
          <w:color w:val="000000"/>
          <w:sz w:val="28"/>
        </w:rPr>
        <w:t>
      На оказание ПМСП направлено 578,5 млрд тенге. В стационарозамещающих условиях оказана специализированная медицинская помощь по 774 тысяч случаев на сумму 81,7 млрд тенге. Высокотехнологичная медицинская помощь предоставлена более чем 21,6 тысяч пациентам на сумму 90,2 млрд тенге.</w:t>
      </w:r>
    </w:p>
    <w:bookmarkEnd w:id="240"/>
    <w:bookmarkStart w:name="z263" w:id="241"/>
    <w:p>
      <w:pPr>
        <w:spacing w:after="0"/>
        <w:ind w:left="0"/>
        <w:jc w:val="both"/>
      </w:pPr>
      <w:r>
        <w:rPr>
          <w:rFonts w:ascii="Times New Roman"/>
          <w:b w:val="false"/>
          <w:i w:val="false"/>
          <w:color w:val="000000"/>
          <w:sz w:val="28"/>
        </w:rPr>
        <w:t>
      Объем медицинской реабилитации составил около 9,4 млн услуг на сумму 76,5 млрд тенге. В круглосуточном стационаре пролечено более 422,6 тысяч пациентов (240 млрд тенге), в дневном стационаре - 861,9 тысяч случаев (87,5 млрд тенге).</w:t>
      </w:r>
    </w:p>
    <w:bookmarkEnd w:id="241"/>
    <w:bookmarkStart w:name="z264" w:id="242"/>
    <w:p>
      <w:pPr>
        <w:spacing w:after="0"/>
        <w:ind w:left="0"/>
        <w:jc w:val="both"/>
      </w:pPr>
      <w:r>
        <w:rPr>
          <w:rFonts w:ascii="Times New Roman"/>
          <w:b w:val="false"/>
          <w:i w:val="false"/>
          <w:color w:val="000000"/>
          <w:sz w:val="28"/>
        </w:rPr>
        <w:t>
      Учет взносов ОСМС от граждан и работодателей осуществляется в системе "Е-Сақтандыру". В 2024 году в систему ОСМС поступило 1 253,2 млрд тенге: 23,1 % (289,3 млрд тенге) – взносы государства за льготников, 42,3 % (529,9 млрд тенге) – отчисления работодателей, 27,7 % (346,7 млрд тенге) – взносы работников, 6,7 % (84,0 млрд тенге) – индивидуальные предприниматели, гражданско-правовой договор и другие.</w:t>
      </w:r>
    </w:p>
    <w:bookmarkEnd w:id="242"/>
    <w:bookmarkStart w:name="z265" w:id="243"/>
    <w:p>
      <w:pPr>
        <w:spacing w:after="0"/>
        <w:ind w:left="0"/>
        <w:jc w:val="both"/>
      </w:pPr>
      <w:r>
        <w:rPr>
          <w:rFonts w:ascii="Times New Roman"/>
          <w:b w:val="false"/>
          <w:i w:val="false"/>
          <w:color w:val="000000"/>
          <w:sz w:val="28"/>
        </w:rPr>
        <w:t>
      Основными проблемами системы финансирования медицинской помощи являются недофинансирование системы здравоохранения, высокий уровень частных расходов на здравоохранение, недостаточный уровень цифровизации бизнес-процессов, не полный охват системой ОСМС населения и недоступность медицинских услуг для незастрахованной части населения.</w:t>
      </w:r>
    </w:p>
    <w:bookmarkEnd w:id="243"/>
    <w:bookmarkStart w:name="z266" w:id="244"/>
    <w:p>
      <w:pPr>
        <w:spacing w:after="0"/>
        <w:ind w:left="0"/>
        <w:jc w:val="both"/>
      </w:pPr>
      <w:r>
        <w:rPr>
          <w:rFonts w:ascii="Times New Roman"/>
          <w:b w:val="false"/>
          <w:i w:val="false"/>
          <w:color w:val="000000"/>
          <w:sz w:val="28"/>
        </w:rPr>
        <w:t>
      Выявлены хищения и нарушения в системе финансирования ФСМС, такие как приписки и фальсификация данных о медицинских услугах.</w:t>
      </w:r>
    </w:p>
    <w:bookmarkEnd w:id="244"/>
    <w:bookmarkStart w:name="z267" w:id="245"/>
    <w:p>
      <w:pPr>
        <w:spacing w:after="0"/>
        <w:ind w:left="0"/>
        <w:jc w:val="left"/>
      </w:pPr>
      <w:r>
        <w:rPr>
          <w:rFonts w:ascii="Times New Roman"/>
          <w:b/>
          <w:i w:val="false"/>
          <w:color w:val="000000"/>
        </w:rPr>
        <w:t xml:space="preserve"> Раздел 3. Обзор международного опыта</w:t>
      </w:r>
    </w:p>
    <w:bookmarkEnd w:id="245"/>
    <w:bookmarkStart w:name="z268" w:id="246"/>
    <w:p>
      <w:pPr>
        <w:spacing w:after="0"/>
        <w:ind w:left="0"/>
        <w:jc w:val="both"/>
      </w:pPr>
      <w:r>
        <w:rPr>
          <w:rFonts w:ascii="Times New Roman"/>
          <w:b w:val="false"/>
          <w:i w:val="false"/>
          <w:color w:val="000000"/>
          <w:sz w:val="28"/>
        </w:rPr>
        <w:t>
      Во всем мире системы здравоохранения стремятся к улучшению здоровья населения, руководствуясь рекомендациями авторитетных международных источников – ВОЗ, ОЭСР, Всемирного банка и других.</w:t>
      </w:r>
    </w:p>
    <w:bookmarkEnd w:id="246"/>
    <w:bookmarkStart w:name="z269" w:id="247"/>
    <w:p>
      <w:pPr>
        <w:spacing w:after="0"/>
        <w:ind w:left="0"/>
        <w:jc w:val="both"/>
      </w:pPr>
      <w:r>
        <w:rPr>
          <w:rFonts w:ascii="Times New Roman"/>
          <w:b w:val="false"/>
          <w:i w:val="false"/>
          <w:color w:val="000000"/>
          <w:sz w:val="28"/>
        </w:rPr>
        <w:t xml:space="preserve">
      На сегодняшний день неинфекционные заболевания (далее – НИЗ) являются основной причиной смертности и инвалидизации во всем мире, создавая значительное бремя для систем здравоохранения и социально-экономического развития стран. </w:t>
      </w:r>
    </w:p>
    <w:bookmarkEnd w:id="247"/>
    <w:bookmarkStart w:name="z270" w:id="248"/>
    <w:p>
      <w:pPr>
        <w:spacing w:after="0"/>
        <w:ind w:left="0"/>
        <w:jc w:val="both"/>
      </w:pPr>
      <w:r>
        <w:rPr>
          <w:rFonts w:ascii="Times New Roman"/>
          <w:b w:val="false"/>
          <w:i w:val="false"/>
          <w:color w:val="000000"/>
          <w:sz w:val="28"/>
        </w:rPr>
        <w:t xml:space="preserve">
      Глобальные стратегические документы, такие как глобальный план действий ВОЗ по профилактике НИЗ и борьбе с ними (далее – глобальный план по НИЗ) и руководство по лучшим практикам в общественном здравоохранении ОЭСР свидетельствуют о наличии международного консенсуса относительно основных групп НИЗ (сердечно-сосудистые заболевания, рак, диабет и хронические респираторные заболевания) и ключевых факторов риска (употребление табака, чрезмерное употребление алкоголя, недостаточная физическая активность и нерациональное питание). </w:t>
      </w:r>
    </w:p>
    <w:bookmarkEnd w:id="248"/>
    <w:bookmarkStart w:name="z271" w:id="249"/>
    <w:p>
      <w:pPr>
        <w:spacing w:after="0"/>
        <w:ind w:left="0"/>
        <w:jc w:val="both"/>
      </w:pPr>
      <w:r>
        <w:rPr>
          <w:rFonts w:ascii="Times New Roman"/>
          <w:b w:val="false"/>
          <w:i w:val="false"/>
          <w:color w:val="000000"/>
          <w:sz w:val="28"/>
        </w:rPr>
        <w:t>
      Опыт передовых стран демонстрирует, что успешная борьба с НИЗ требует мультисекторального подхода, активного вовлечения населения и внедрения инновационных методов профилактики, диагностики и лечения. Международная практика осуществляет переход от фрагментарного информирования к комплексным программам, направленным на формирование культуры здоровья как неотъемлемой части повседневной жизни и общественной среды. В Великобритании инициатива "Change4Life" и ее кампании "Be Food Smart" направлена на продвижение здорового образа жизни среди детей и их семей. Эта инициатива направлена на снижение потребления сахара, повышение осведомленности о составе продуктов питания, формирование устойчивых пищевых привычек и поддержку физической активности. Программа Финляндии "Neuvokas perhe" (мудрая семья) включает вопросы образа жизни, поддержки родителей и детей в формировании здоровых привычек в сфере питания, физической активности, сна, отдыха, эмоционального благополучия и взаимодействия в семье. Сингапур внедрил обязательную маркировку пищевой ценности "Nutri-Grade" для напитков, запрет на трансжиры, ограничения на рекламу сахаросодержащих напитков для детей и "Программу здорового питания в школах". Стратегия Гонконга "На пути к 2025 году" включает повышение грамотности в вопросах здоровья, расширение возможностей делать здоровый выбор и создание благоприятной для здоровья среды. Инициативы включают авторитетную и удобную для восприятия информацию, практические советы, материалы, онлайн ресурсы и инструменты.</w:t>
      </w:r>
    </w:p>
    <w:bookmarkEnd w:id="249"/>
    <w:bookmarkStart w:name="z272" w:id="250"/>
    <w:p>
      <w:pPr>
        <w:spacing w:after="0"/>
        <w:ind w:left="0"/>
        <w:jc w:val="both"/>
      </w:pPr>
      <w:r>
        <w:rPr>
          <w:rFonts w:ascii="Times New Roman"/>
          <w:b w:val="false"/>
          <w:i w:val="false"/>
          <w:color w:val="000000"/>
          <w:sz w:val="28"/>
        </w:rPr>
        <w:t>
      Наблюдается расширение практики интеграции профилактики НИЗ в программы сексуального и репродуктивного здоровья (далее – СРЗ), ВИЧ/СПИДа и охраны материнства и детства, особенно для молодежи. В Индии программа "Rashtriya Kishor Swasthya Karyakram" для подростков включает скрининги и информацию по питанию и психическому здоровью наряду с услугами СРЗ. Молдавские МЦЗ предоставляют услуги СРЗ вместе с консультациями по вопросам злоупотребления психоактивными веществами, питания и психического здоровья. Глобальные и национальные стратегии охраны здоровья женщин (Канада, Австралия, Великобритания, Новая Зеландия, страны Северной Европы, Нидерланды) учитывают взаимосвязь репродуктивного здоровья, НИЗ и просвещения по вопросам образа жизни. Современная практика демонстрирует отход от узкоспециализированных программ к холистическому подходу. Это позволяет эффективно охватить целевые группы населения (например, подростки, женщины) в рамках существующих маршрутов оказания услуг.</w:t>
      </w:r>
    </w:p>
    <w:bookmarkEnd w:id="250"/>
    <w:bookmarkStart w:name="z273" w:id="251"/>
    <w:p>
      <w:pPr>
        <w:spacing w:after="0"/>
        <w:ind w:left="0"/>
        <w:jc w:val="both"/>
      </w:pPr>
      <w:r>
        <w:rPr>
          <w:rFonts w:ascii="Times New Roman"/>
          <w:b w:val="false"/>
          <w:i w:val="false"/>
          <w:color w:val="000000"/>
          <w:sz w:val="28"/>
        </w:rPr>
        <w:t xml:space="preserve">
      В целом концепция формирования культуры здоровья эволюционировала от простого информирования к комплексному формированию культуры здоровья и расширению здоровых возможностей человека через предоставление практических навыков и инструментов, а также через системные изменения, делающие саму систему здравоохранения понятной и доступной. </w:t>
      </w:r>
    </w:p>
    <w:bookmarkEnd w:id="251"/>
    <w:bookmarkStart w:name="z274" w:id="252"/>
    <w:p>
      <w:pPr>
        <w:spacing w:after="0"/>
        <w:ind w:left="0"/>
        <w:jc w:val="both"/>
      </w:pPr>
      <w:r>
        <w:rPr>
          <w:rFonts w:ascii="Times New Roman"/>
          <w:b w:val="false"/>
          <w:i w:val="false"/>
          <w:color w:val="000000"/>
          <w:sz w:val="28"/>
        </w:rPr>
        <w:t xml:space="preserve">
      Современные перинатальные технологии, применяемые в международной практике, охватывают широкий спектр инноваций, направленных на улучшение исходов для матери и ребенка. К ним относятся продвинутые методы фетального мониторинга (например, кардиотокография с компьютерным анализом, допплерометрия), неинвазивная пренатальная диагностика хромосомных аномалий плода, современные методы обезболивания в родах, технологии для выхаживания глубоко недоношенных новорожденных (включая современные инкубаторы с сервоконтролем, щадящие режимы искусственной вентиляции легких, раннее применение сурфактантной терапии), а также использование симуляционных технологий для обучения медицинского персонала действиям в экстренных акушерских ситуациях. Соответственно, улучшение инфраструктуры родовспомогательных организаций предполагает не только строительство и ремонт зданий, но и их оснащение современным диагностическим и лечебным оборудованием, создание комфортных и безопасных условий пребывания для матери и ребенка (например, индивидуальные родильные залы, палаты совместного пребывания), а также внедрение строгих систем инфекционного контроля и управления качеством медицинской помощи. </w:t>
      </w:r>
    </w:p>
    <w:bookmarkEnd w:id="252"/>
    <w:bookmarkStart w:name="z275" w:id="253"/>
    <w:p>
      <w:pPr>
        <w:spacing w:after="0"/>
        <w:ind w:left="0"/>
        <w:jc w:val="both"/>
      </w:pPr>
      <w:r>
        <w:rPr>
          <w:rFonts w:ascii="Times New Roman"/>
          <w:b w:val="false"/>
          <w:i w:val="false"/>
          <w:color w:val="000000"/>
          <w:sz w:val="28"/>
        </w:rPr>
        <w:t>
      Обеспечение санитарно-эпидемиологического благополучия является основой общественного здоровья, особенно в контексте предотвращения вспышек инфекционных заболеваний и реагирования на них. Цифровизация коренным образом трансформирует эпидемиологический надзор, позволяя осуществлять сбор данных в режиме реального времени, проводить более точный анализ и обеспечивать быстрое реагирование на угрозы. Ключевую роль в этом процессе играют глобальные инициативы, задающие единые подходы. Рамочная программа ВОЗ "Интегрированный эпиднадзор за болезнями и ответные меры" (далее – IDSR) определяет стратегию и цели эпиднадзора, а руководящие принципы ВОЗ SMART Guidelines предоставляют технический стандарт для ее корректной цифровой реализации. В свою очередь инициатива центра по контролю и профилактике заболеваний Соединенных Штатов Америки по модернизации данных служит примером практической реализации этих принципов на национальном уровне, с акцентом на стандартизацию, интероперабельность и поток данных в реальном времени. Также примером является Сьерра-Леоне, где в рамках IDSR была развернута электронная система эпиднадзора за случаями заболеваний.</w:t>
      </w:r>
    </w:p>
    <w:bookmarkEnd w:id="253"/>
    <w:bookmarkStart w:name="z276" w:id="254"/>
    <w:p>
      <w:pPr>
        <w:spacing w:after="0"/>
        <w:ind w:left="0"/>
        <w:jc w:val="both"/>
      </w:pPr>
      <w:r>
        <w:rPr>
          <w:rFonts w:ascii="Times New Roman"/>
          <w:b w:val="false"/>
          <w:i w:val="false"/>
          <w:color w:val="000000"/>
          <w:sz w:val="28"/>
        </w:rPr>
        <w:t>
      Развитие фармацевтического производства и доступность лекарств – ключевые задачи устойчивой системы здравоохранения. Опыт Индии и Бразилии демонстрирует различные, но эффективные подходы к стимулированию местного фармацевтического производства. В Индии разрешены 100 % прямые иностранные инвестиции (далее – ПИИ) по автоматическому маршруту для новых ("greenfield") фармацевтических проектов и до 74 % ПИИ автоматически для существующих ("brownfield") проектов. Бразилия использует модель, основанную на партнерстве для продуктивного развития. Ключевым инструментом выступает государство, как крупнейший закупщик, гарантируя частным (в том числе международным) компаниям долгосрочные контракты на поставку стратегически важных лекарств для национальной системы здравоохранения. Главные условия – передача технологии производства местным государственным лабораториям, т.е. стимулирование локализации и трансферта технологий.</w:t>
      </w:r>
    </w:p>
    <w:bookmarkEnd w:id="254"/>
    <w:bookmarkStart w:name="z277" w:id="255"/>
    <w:p>
      <w:pPr>
        <w:spacing w:after="0"/>
        <w:ind w:left="0"/>
        <w:jc w:val="both"/>
      </w:pPr>
      <w:r>
        <w:rPr>
          <w:rFonts w:ascii="Times New Roman"/>
          <w:b w:val="false"/>
          <w:i w:val="false"/>
          <w:color w:val="000000"/>
          <w:sz w:val="28"/>
        </w:rPr>
        <w:t>
      Сотрудничество с глобальными фармацевтическими корпорациями может принимать различные формы, которые включают лицензионные соглашения на производство препаратов, создание совместных предприятий, контрактное производство продукции для глобальных компаний на местных мощностях, участие отечественных исследовательских центров и клиник в международных клинических исследованиях, а также трансферта технологий и обучение персонала. Общие подходы в международной практике включают долгосрочную приверженность национальной стратегии четким целям и механизмам поддержки, предоставление финансовых и нефинансовых стимулов для локализации производства, трансферта технологий и проведения научно-исследовательских работ.</w:t>
      </w:r>
    </w:p>
    <w:bookmarkEnd w:id="255"/>
    <w:bookmarkStart w:name="z278" w:id="256"/>
    <w:p>
      <w:pPr>
        <w:spacing w:after="0"/>
        <w:ind w:left="0"/>
        <w:jc w:val="both"/>
      </w:pPr>
      <w:r>
        <w:rPr>
          <w:rFonts w:ascii="Times New Roman"/>
          <w:b w:val="false"/>
          <w:i w:val="false"/>
          <w:color w:val="000000"/>
          <w:sz w:val="28"/>
        </w:rPr>
        <w:t>
      Успех систем финансирования здравоохранения в достижении всеобщего охвата услугами здравоохранения определяется не преобладающим источником финансирования, а наличием сильных и эффективных механизмов управления финансовыми потоками, стратегических подходов к закупке услуг и четко определенных пакетов медицинской помощи. Соответственно, усилия должны быть направлены на адаптацию наиболее эффективных элементов различных систем с акцентом на усиление роли и социальной ответственности Фонда социального медицинского страхования, как стратегического закупщика, и обеспечение эффективного управления средствами.</w:t>
      </w:r>
    </w:p>
    <w:bookmarkEnd w:id="256"/>
    <w:bookmarkStart w:name="z279" w:id="257"/>
    <w:p>
      <w:pPr>
        <w:spacing w:after="0"/>
        <w:ind w:left="0"/>
        <w:jc w:val="both"/>
      </w:pPr>
      <w:r>
        <w:rPr>
          <w:rFonts w:ascii="Times New Roman"/>
          <w:b w:val="false"/>
          <w:i w:val="false"/>
          <w:color w:val="000000"/>
          <w:sz w:val="28"/>
        </w:rPr>
        <w:t xml:space="preserve">
      Международный опыт свидетельствует, что достижение высокого качества медицинской помощи требует комплексных усилий по подготовке и непрерывному развитию медицинских кадров, повышению их статуса, а также активному внедрению цифровых технологий для оптимизации процессов и улучшения результатов лечения. Качество медицинской помощи является многогранным понятием, охватывающим безопасность, эффективность, своевременность, ориентированность на пациента, справедливость и результативность медицинской помощи. </w:t>
      </w:r>
    </w:p>
    <w:bookmarkEnd w:id="257"/>
    <w:bookmarkStart w:name="z280" w:id="258"/>
    <w:p>
      <w:pPr>
        <w:spacing w:after="0"/>
        <w:ind w:left="0"/>
        <w:jc w:val="both"/>
      </w:pPr>
      <w:r>
        <w:rPr>
          <w:rFonts w:ascii="Times New Roman"/>
          <w:b w:val="false"/>
          <w:i w:val="false"/>
          <w:color w:val="000000"/>
          <w:sz w:val="28"/>
        </w:rPr>
        <w:t xml:space="preserve">
      Глобальная стратегия ВОЗ "Кадровые ресурсы здравоохранения: стратегия на период до 2030 года" нацелена на улучшение доступности, приемлемость, охват и качество кадровых ресурсов здравоохранения через адекватные инвестиции и реализацию эффективной политики. Важнейшим инструментом для этого являются национальные информационные системы по кадровым ресурсам здравоохранения, включая регистры медицинских работников (далее – РМР) и национальные счета кадровых ресурсов здравоохранения, которые обеспечивают точный учет и создают доказательную базу для принятия управленческих решений. ВОЗ рекомендует создание РМР для укрепления систем здравоохранения. </w:t>
      </w:r>
    </w:p>
    <w:bookmarkEnd w:id="258"/>
    <w:bookmarkStart w:name="z281" w:id="259"/>
    <w:p>
      <w:pPr>
        <w:spacing w:after="0"/>
        <w:ind w:left="0"/>
        <w:jc w:val="both"/>
      </w:pPr>
      <w:r>
        <w:rPr>
          <w:rFonts w:ascii="Times New Roman"/>
          <w:b w:val="false"/>
          <w:i w:val="false"/>
          <w:color w:val="000000"/>
          <w:sz w:val="28"/>
        </w:rPr>
        <w:t>
      Многие страны ОЭСР, включая Канаду, Швецию, Великобританию, Австралию и Нидерланды, внедрили многоуровневые модели кадрового управления, ориентированные на устойчивость, цифровую трансформацию и межпрофессиональное взаимодействие. Использование цифровых инструментов и предиктивной аналитики (например, Workforce Projection Models в Канаде и Health Workforce Estimator ВОЗ) позволяет своевременно прогнозировать дефицит специалистов и адаптировать образовательные квоты.</w:t>
      </w:r>
    </w:p>
    <w:bookmarkEnd w:id="259"/>
    <w:bookmarkStart w:name="z282" w:id="260"/>
    <w:p>
      <w:pPr>
        <w:spacing w:after="0"/>
        <w:ind w:left="0"/>
        <w:jc w:val="both"/>
      </w:pPr>
      <w:r>
        <w:rPr>
          <w:rFonts w:ascii="Times New Roman"/>
          <w:b w:val="false"/>
          <w:i w:val="false"/>
          <w:color w:val="000000"/>
          <w:sz w:val="28"/>
        </w:rPr>
        <w:t>
      В международной практике наблюдается значительный сдвиг от традиционных, дисциплинарно-ориентированных учебных программ в медицине к интегрированным моделям и компетентностно-ориентированному медицинскому образованию. Целями являются улучшение сохранения знаний, развитие клинических навыков и способности применять знания в реальных условиях. Для структурирования реформ используются различные концептуальные рамки, такие как "Интеграционная лестница" Хардена, модели интеграции Фогарти, рамки компетенций CanMEDS и глобальные стандарты непрерывного профессионального развития (далее – НПР) WONCA/WFME. В Канаде университет МакМастера стал пионером проблемно-ориентированного обучения и интегрированных программ. Королевский колледж врачей и хирургов Канады ввел диплом "Клиницист-педагог". В Нидерландах Лейденская медицинская школа интегрирует научную подготовку и практические занятия с "реальными пациентами". Австралия также активно переходит к компетентностным моделям. Для решения проблем дефицита и дисбаланса кадров, особенно в сельских и отдаленных районах, страны применяют разнообразные финансовые (повышенные оклады, надбавки, жилье, компенсация кредитов, стипендии с отработкой) и нефинансовые (карьерный рост, НПР, улучшение условий труда, признание) стимулирующие меры.</w:t>
      </w:r>
    </w:p>
    <w:bookmarkEnd w:id="260"/>
    <w:bookmarkStart w:name="z283" w:id="261"/>
    <w:p>
      <w:pPr>
        <w:spacing w:after="0"/>
        <w:ind w:left="0"/>
        <w:jc w:val="both"/>
      </w:pPr>
      <w:r>
        <w:rPr>
          <w:rFonts w:ascii="Times New Roman"/>
          <w:b w:val="false"/>
          <w:i w:val="false"/>
          <w:color w:val="000000"/>
          <w:sz w:val="28"/>
        </w:rPr>
        <w:t>
      В Великобритании (через Health Education England), Австралии и Ирландии внедрены национальные платформы непрерывного образования, доступные в цифровом формате и привязанные к индивидуальным траекториям развития. В целях обеспечения безопасности медицинских работников многие страны внедряют системные подходы к предотвращению насилия в сфере здравоохранения. В США, Канаде, Австралии, Великобритании и странах Европейского союза существуют национальные стратегии и законы, направленные на защиту персонала от физического и психологического насилия. Например, в Великобритании действует стандарт Национальной службы здравоохранения по предотвращению и снижению насилия (NHS Violence Prevention and Reduction Standard), предусматривающий мониторинг инцидентов, обязательное обучение персонала методам деэскалации конфликтов, а также сотрудничество с правоохранительными органами. В Канаде и Австралии реализуются мультидисциплинарные подходы к управлению рисками в больницах, включая использование тревожных кнопок, камер видеонаблюдения, охрану и юридическую поддержку сотрудников. ВОЗ в своих рекомендациях подчеркивает важность создания безопасной рабочей среды, внедрения политики нулевой терпимости к насилию, разработки стандартов реагирования и внедрения культуры поддержки пострадавших работников.</w:t>
      </w:r>
    </w:p>
    <w:bookmarkEnd w:id="261"/>
    <w:bookmarkStart w:name="z284" w:id="262"/>
    <w:p>
      <w:pPr>
        <w:spacing w:after="0"/>
        <w:ind w:left="0"/>
        <w:jc w:val="both"/>
      </w:pPr>
      <w:r>
        <w:rPr>
          <w:rFonts w:ascii="Times New Roman"/>
          <w:b w:val="false"/>
          <w:i w:val="false"/>
          <w:color w:val="000000"/>
          <w:sz w:val="28"/>
        </w:rPr>
        <w:t xml:space="preserve">
      Таиланд успешно применяет как финансовые стимулы (значительно более высокий доход для сельских врачей), так и нефинансовые (возможность работать в родной провинции, предоставление жилья), а также реализует целевые программы подготовки сельских врачей с высокими показателями удержания. Австралия имеет опыт программ "возврата за службу" (стипендии с обязательством отработки) и специальных "сельских путей обучения" для врачей. Канада применяла политики возврата за службу для врачей-иммигрантов и программы повышения квалификации для сельских врачей. Руанда и Индонезия продемонстрировали эффективность нефинансовых стимулов, таких как улучшение условий труда и карьерный рост. В Японии предоставляют полное финансирование обучения в обмен на длительную службу в родной префектуре, включая сельскую местность, с высокими показателями удержания выпускников. В США действуют программы погашения образовательных кредитов для медицинских работников, работающих в недостаточно обслуживаемых районах. </w:t>
      </w:r>
    </w:p>
    <w:bookmarkEnd w:id="262"/>
    <w:bookmarkStart w:name="z285" w:id="263"/>
    <w:p>
      <w:pPr>
        <w:spacing w:after="0"/>
        <w:ind w:left="0"/>
        <w:jc w:val="both"/>
      </w:pPr>
      <w:r>
        <w:rPr>
          <w:rFonts w:ascii="Times New Roman"/>
          <w:b w:val="false"/>
          <w:i w:val="false"/>
          <w:color w:val="000000"/>
          <w:sz w:val="28"/>
        </w:rPr>
        <w:t xml:space="preserve">
      Анализ международного опыта показывает, что устойчивое улучшение кадрового обеспечения сельской местности достигается за счет комплексных "пакетов" мер, одновременно воздействующих на множество мотивирующих факторов. Изолированные меры, будь то только финансовые стимулы или только обязательная отработка, имеют ограниченный долгосрочный успех. </w:t>
      </w:r>
    </w:p>
    <w:bookmarkEnd w:id="263"/>
    <w:bookmarkStart w:name="z286" w:id="264"/>
    <w:p>
      <w:pPr>
        <w:spacing w:after="0"/>
        <w:ind w:left="0"/>
        <w:jc w:val="both"/>
      </w:pPr>
      <w:r>
        <w:rPr>
          <w:rFonts w:ascii="Times New Roman"/>
          <w:b w:val="false"/>
          <w:i w:val="false"/>
          <w:color w:val="000000"/>
          <w:sz w:val="28"/>
        </w:rPr>
        <w:t>
      Ведущие страны рассматривают развитие медицинской и фармацевтической науки как ключевой инструмент устойчивого и инновационного здравоохранения. Через укрепление трансляционных исследований, создание академических медицинских центров, поддержку международной коллаборации и цифровых научных платформ (EOSC, NIH Commons, NFDI) формируются целостные экосистемы научных исследований и разработки, где научные данные, клиническая практика и цифровые технологии работают на благо здоровья населения. Примеры Сингапура, США, Германии, Великобритании показывают, что инвестиции в науку возвращаются через качество медицинской помощи, развитие кадров и повышение международной конкурентоспособности. Международные практики акцентируют внимание на использовании доказательной базы при формировании кадровых решений (evidence-informed HRH policy), включая регулярные обзоры, сценарные прогнозы и участие профессиональных ассоциаций.</w:t>
      </w:r>
    </w:p>
    <w:bookmarkEnd w:id="264"/>
    <w:bookmarkStart w:name="z287" w:id="265"/>
    <w:p>
      <w:pPr>
        <w:spacing w:after="0"/>
        <w:ind w:left="0"/>
        <w:jc w:val="both"/>
      </w:pPr>
      <w:r>
        <w:rPr>
          <w:rFonts w:ascii="Times New Roman"/>
          <w:b w:val="false"/>
          <w:i w:val="false"/>
          <w:color w:val="000000"/>
          <w:sz w:val="28"/>
        </w:rPr>
        <w:t xml:space="preserve">
      Академические медицинские центры во всем мире рассматриваются как ключевые узлы биомедицинских исследований и трансляции научных открытий в клиническую практику. Государственная политика и целевое финансирование играют критическую роль в этом процессе, как показывает опыт США (закон Бэя-Доула, стимулирующий патентование), Германии (национальная стратегия в области генной и клеточной терапии с конкретным финансированием инфраструктуры и исследований, национальная инфраструктура исследовательских данных) и Сингапура (стратегические государственные инвестиции в биомедицинские науки через национальный медицинский исследовательский совет). В Великобритании академические сети здравоохранения связывают организации национальной службы здравоохранения, научные круги и промышленность для распространения инноваций. В Южной Корее Министерство здравоохранения и социального обеспечения поддерживает трансляционные исследования. </w:t>
      </w:r>
    </w:p>
    <w:bookmarkEnd w:id="265"/>
    <w:bookmarkStart w:name="z288" w:id="266"/>
    <w:p>
      <w:pPr>
        <w:spacing w:after="0"/>
        <w:ind w:left="0"/>
        <w:jc w:val="both"/>
      </w:pPr>
      <w:r>
        <w:rPr>
          <w:rFonts w:ascii="Times New Roman"/>
          <w:b w:val="false"/>
          <w:i w:val="false"/>
          <w:color w:val="000000"/>
          <w:sz w:val="28"/>
        </w:rPr>
        <w:t>
      Опыт передовых стран показывает, что превращение университетов в инновационные центры требует создания целой экосистемы. Это включает не только прямое финансирование исследований, но и развитие инфраструктуры для трансляции научных разработок в практику, формирование поддерживающей государственной политики (например, в области интеллектуальной собственности и лицензирования) и создание эффективных механизмов сотрудничества с промышленностью. Для Республики Казахстан, планирующей развивать медицинскую науку и повышать инновационный потенциал медицинских ОВПО, важно создать целостную систему, поддерживающую весь инновационный цикл – от фундаментальных исследований до внедрения разработок в клиническую практику и их последующей коммерциализации.</w:t>
      </w:r>
    </w:p>
    <w:bookmarkEnd w:id="266"/>
    <w:bookmarkStart w:name="z289" w:id="267"/>
    <w:p>
      <w:pPr>
        <w:spacing w:after="0"/>
        <w:ind w:left="0"/>
        <w:jc w:val="both"/>
      </w:pPr>
      <w:r>
        <w:rPr>
          <w:rFonts w:ascii="Times New Roman"/>
          <w:b w:val="false"/>
          <w:i w:val="false"/>
          <w:color w:val="000000"/>
          <w:sz w:val="28"/>
        </w:rPr>
        <w:t xml:space="preserve">
      Успешные национальные системы электронного здравоохранения, такие как в Эстонии (децентрализованный уровень обмена данными X-Road, национальная ЭМК, безопасность данных с использованием блокчейн), Финляндии (службы Kanta, портал для граждан MyKanta, открытые API) и Сингапуре (национальная электронная медицинская карта (NEHR) как центральное хранилище по принципу "Один пациент – одна медкарта"), основаны на надежной, безопасной и интероперабельной базовой инфраструктуре, управляемой четкими национальными стратегиями и стандартами. Швеция и Канада также развивают национальные подходы к обмену медицинскими данными и обеспечению интероперабельности. </w:t>
      </w:r>
    </w:p>
    <w:bookmarkEnd w:id="267"/>
    <w:bookmarkStart w:name="z290" w:id="268"/>
    <w:p>
      <w:pPr>
        <w:spacing w:after="0"/>
        <w:ind w:left="0"/>
        <w:jc w:val="both"/>
      </w:pPr>
      <w:r>
        <w:rPr>
          <w:rFonts w:ascii="Times New Roman"/>
          <w:b w:val="false"/>
          <w:i w:val="false"/>
          <w:color w:val="000000"/>
          <w:sz w:val="28"/>
        </w:rPr>
        <w:t xml:space="preserve">
      Искусственный интеллект (далее – ИИ) все активнее исследуется в ПМСП для поддержки диагностики, рекомендаций по лечению и повышения административной эффективности. ВОП Дании определили условия для внедрения ИИ, начиная с простых задач и обеспечивая контроль со стороны врача. ОЭСР подчеркивает потенциал ИИ в профилактике и лечении, предлагая этические принципы его использования. Основными проблемами являются качество и репрезентативность данных для обучения ИИ, риск усиления неравенства из-за смещений в данных, а также этические вопросы прозрачности и подотчетности. </w:t>
      </w:r>
    </w:p>
    <w:bookmarkEnd w:id="268"/>
    <w:bookmarkStart w:name="z291" w:id="269"/>
    <w:p>
      <w:pPr>
        <w:spacing w:after="0"/>
        <w:ind w:left="0"/>
        <w:jc w:val="both"/>
      </w:pPr>
      <w:r>
        <w:rPr>
          <w:rFonts w:ascii="Times New Roman"/>
          <w:b w:val="false"/>
          <w:i w:val="false"/>
          <w:color w:val="000000"/>
          <w:sz w:val="28"/>
        </w:rPr>
        <w:t xml:space="preserve">
      Опыт передовых стран в области электронного здравоохранения показывает, что техническая интероперабельность систем должна сочетаться с сильным государственным управлением, четкими правовыми рамками (особенно в части защиты данных) и целенаправленными мерами по формированию доверия у пользователей – как граждан, так и медицинских работников. Для Республики Казахстан при создании национальных электронных паспортов здоровья и интеграции информационных систем ключевыми факторами успеха станут обеспечение бесшовного и безопасного обмена данными, гарантированная защита конфиденциальности персональной медицинской информации, активная работа по вовлечению и информированию населения и медицинского сообщества. </w:t>
      </w:r>
    </w:p>
    <w:bookmarkEnd w:id="269"/>
    <w:bookmarkStart w:name="z292" w:id="270"/>
    <w:p>
      <w:pPr>
        <w:spacing w:after="0"/>
        <w:ind w:left="0"/>
        <w:jc w:val="both"/>
      </w:pPr>
      <w:r>
        <w:rPr>
          <w:rFonts w:ascii="Times New Roman"/>
          <w:b w:val="false"/>
          <w:i w:val="false"/>
          <w:color w:val="000000"/>
          <w:sz w:val="28"/>
        </w:rPr>
        <w:t>
      Касательно внедрения ИИ в ПМСП: международный опыт подсказывает осторожный, эволюционный подход. Начинать следует с пилотных проектов, ориентированных на решение конкретных, четко определенных задач, где польза очевидна, а риски минимальны (например, системы поддержки принятия врачебных решений по стандартным протоколам, анализ больших данных для выявления групп риска).</w:t>
      </w:r>
    </w:p>
    <w:bookmarkEnd w:id="270"/>
    <w:bookmarkStart w:name="z293" w:id="271"/>
    <w:p>
      <w:pPr>
        <w:spacing w:after="0"/>
        <w:ind w:left="0"/>
        <w:jc w:val="both"/>
      </w:pPr>
      <w:r>
        <w:rPr>
          <w:rFonts w:ascii="Times New Roman"/>
          <w:b w:val="false"/>
          <w:i w:val="false"/>
          <w:color w:val="000000"/>
          <w:sz w:val="28"/>
        </w:rPr>
        <w:t>
      Успешная модернизация инфраструктуры здравоохранения требует надежных систем управления и финансирования. Принципы ОЭСР по эффективным государственным инвестициям подчеркивают необходимость увязки инвестиций со стратегией развития, мобилизации местных знаний, обеспечения координации и оценки альтернатив. Шесть критериев оценки ОЭСР (актуальность, согласованность, результативность, эффективность, воздействие, устойчивость) предоставляют комплексную основу для отбора и оценки проектов. Рекомендации Всемирного банка включают стратегическое планирование, вовлечение заинтересованных сторон и поэтапные инвестиции. Практические примеры управления проектами из Великобритании, Канады, Сингапура и стран Северной Европы иллюстрируют решение проблем соблюдения сроков, управления затратами и контроля качества.</w:t>
      </w:r>
    </w:p>
    <w:bookmarkEnd w:id="271"/>
    <w:bookmarkStart w:name="z294" w:id="272"/>
    <w:p>
      <w:pPr>
        <w:spacing w:after="0"/>
        <w:ind w:left="0"/>
        <w:jc w:val="both"/>
      </w:pPr>
      <w:r>
        <w:rPr>
          <w:rFonts w:ascii="Times New Roman"/>
          <w:b w:val="false"/>
          <w:i w:val="false"/>
          <w:color w:val="000000"/>
          <w:sz w:val="28"/>
        </w:rPr>
        <w:t>
      Инвестиции Республики Казахстан в строительство и модернизацию медицинских объектов должны сопровождаться соразмерными инвестициями в укрепление институтов и кадрового потенциала, ответственных за планирование, закупки, управление и оценку этих проектов.</w:t>
      </w:r>
    </w:p>
    <w:bookmarkEnd w:id="272"/>
    <w:bookmarkStart w:name="z295" w:id="273"/>
    <w:p>
      <w:pPr>
        <w:spacing w:after="0"/>
        <w:ind w:left="0"/>
        <w:jc w:val="both"/>
      </w:pPr>
      <w:r>
        <w:rPr>
          <w:rFonts w:ascii="Times New Roman"/>
          <w:b w:val="false"/>
          <w:i w:val="false"/>
          <w:color w:val="000000"/>
          <w:sz w:val="28"/>
        </w:rPr>
        <w:t>
      Государственно-частное партнерство (далее – ГЧП) рассматривается как потенциальный механизм финансирования и реализации проектов в области медицинской инфраструктуры. Ключевыми факторами успеха ГЧП в здравоохранении являются наличие надежных партнеров, согласованность ценностей, четкое распределение рисков, прочная нормативно-правовая база, сильный потенциал государственных органов для ведения переговоров и управления контрактами, а также прозрачный мониторинг и оценка. Международные примеры ГЧП включают опыт ГЧП в больничном секторе, испанскую модель Альсира, индийские и австралийские модели ГЧП в инфраструктуре и услугах.</w:t>
      </w:r>
    </w:p>
    <w:bookmarkEnd w:id="273"/>
    <w:bookmarkStart w:name="z296" w:id="274"/>
    <w:p>
      <w:pPr>
        <w:spacing w:after="0"/>
        <w:ind w:left="0"/>
        <w:jc w:val="both"/>
      </w:pPr>
      <w:r>
        <w:rPr>
          <w:rFonts w:ascii="Times New Roman"/>
          <w:b w:val="false"/>
          <w:i w:val="false"/>
          <w:color w:val="000000"/>
          <w:sz w:val="28"/>
        </w:rPr>
        <w:t xml:space="preserve">
      Концепция устойчивости системы здравоохранения, активно продвигаемая ОЭСР и ВОЗ, определяется как способность системы проактивно предвидеть, абсорбировать, восстанавливаться после шоков (пандемии, изменение климата, конфликты) и адаптироваться к ним, а также к повседневным стрессовым факторам (изменение потребностей населения, нехватка ресурсов). </w:t>
      </w:r>
    </w:p>
    <w:bookmarkEnd w:id="274"/>
    <w:bookmarkStart w:name="z297" w:id="275"/>
    <w:p>
      <w:pPr>
        <w:spacing w:after="0"/>
        <w:ind w:left="0"/>
        <w:jc w:val="both"/>
      </w:pPr>
      <w:r>
        <w:rPr>
          <w:rFonts w:ascii="Times New Roman"/>
          <w:b w:val="false"/>
          <w:i w:val="false"/>
          <w:color w:val="000000"/>
          <w:sz w:val="28"/>
        </w:rPr>
        <w:t>
      Пандемия COVID-19 наглядно продемонстрировала недостаточную подготовленность многих систем здравоохранения, сделав укрепление их устойчивости ключевым приоритетом. Международные рекомендации включают проактивные инвестиции и обеспечение достаточного финансирования (ОЭСР оценивает необходимые инвестиции в 1,4 % ВВП), укрепление кадрового потенциала, повышение доверия к институтам здравоохранения, межсекторальное сотрудничество, интегрированный подход к укреплению систем и обучение на опыте прошлых кризисов. Фрагментация управления и недостаточная координация между государственным и частным секторами являются значительными барьерами.</w:t>
      </w:r>
    </w:p>
    <w:bookmarkEnd w:id="275"/>
    <w:bookmarkStart w:name="z298" w:id="276"/>
    <w:p>
      <w:pPr>
        <w:spacing w:after="0"/>
        <w:ind w:left="0"/>
        <w:jc w:val="both"/>
      </w:pPr>
      <w:r>
        <w:rPr>
          <w:rFonts w:ascii="Times New Roman"/>
          <w:b w:val="false"/>
          <w:i w:val="false"/>
          <w:color w:val="000000"/>
          <w:sz w:val="28"/>
        </w:rPr>
        <w:t>
       Опыт Германии (проактивная стратегия, ранняя диагностика), Южной Кореи (агрессивное тестирование и отслеживание), Швейцарии (сильное государственное управление и гибкость) демонстрирует успешные подходы к реагированию на кризис COVID-19. В то же время опыт Италии (высокая смертность из-за старения населения и перегрузки системы) и США (проблемы с масштабируемостью ресурсов и координацией) указывает на существующие уязвимости. Опыт пандемии COVID-19 в Казахстане подчеркивает, что устойчивость требует не только способности реагировать на уже случившийся кризис, но и проактивных инвестиций в превентивные меры, укрепление ПМСП, кадровый потенциал и инфраструктуру общественного здравоохранения. Это также подразумевает создание адаптивных механизмов управления, способных гибко перераспределять ресурсы и координировать действия различных секторов в условиях неопределенности.</w:t>
      </w:r>
    </w:p>
    <w:bookmarkEnd w:id="276"/>
    <w:bookmarkStart w:name="z299" w:id="277"/>
    <w:p>
      <w:pPr>
        <w:spacing w:after="0"/>
        <w:ind w:left="0"/>
        <w:jc w:val="both"/>
      </w:pPr>
      <w:r>
        <w:rPr>
          <w:rFonts w:ascii="Times New Roman"/>
          <w:b w:val="false"/>
          <w:i w:val="false"/>
          <w:color w:val="000000"/>
          <w:sz w:val="28"/>
        </w:rPr>
        <w:t xml:space="preserve">
      Страны-лидеры в медицинском туризме, такие как Таиланд, Малайзия, Сингапур и Индия, разработали комплексные стратегии, включающие государственную поддержку, развитие инфраструктуры, международную аккредитацию, маркетинг и упрощение визового режима. Положительные аспекты медицинского туризма включают приток инвестиций, создание рабочих мест, трансферт технологий. Однако существуют и риски: неравенство в доступе для местного населения из-за отвлечения ресурсов, "утечка мозгов", рост стоимости медицинских услуг для местных жителей, чрезмерная специализация системы и этические вопросы. </w:t>
      </w:r>
    </w:p>
    <w:bookmarkEnd w:id="277"/>
    <w:bookmarkStart w:name="z300" w:id="278"/>
    <w:p>
      <w:pPr>
        <w:spacing w:after="0"/>
        <w:ind w:left="0"/>
        <w:jc w:val="both"/>
      </w:pPr>
      <w:r>
        <w:rPr>
          <w:rFonts w:ascii="Times New Roman"/>
          <w:b w:val="false"/>
          <w:i w:val="false"/>
          <w:color w:val="000000"/>
          <w:sz w:val="28"/>
        </w:rPr>
        <w:t xml:space="preserve">
      Для Республики Казахстан при рассмотрении перспектив развития медицинского туризма критически важно с самого начала закладывать в стратегию механизмы, обеспечивающие, что это развитие будет способствовать укреплению всей системы здравоохранения страны, а не только отдельных коммерчески ориентированных сегментов, и не приведет к ухудшению доступности и качества медицинской помощи для граждан Республики Казахстан. </w:t>
      </w:r>
    </w:p>
    <w:bookmarkEnd w:id="278"/>
    <w:bookmarkStart w:name="z301" w:id="279"/>
    <w:p>
      <w:pPr>
        <w:spacing w:after="0"/>
        <w:ind w:left="0"/>
        <w:jc w:val="both"/>
      </w:pPr>
      <w:r>
        <w:rPr>
          <w:rFonts w:ascii="Times New Roman"/>
          <w:b w:val="false"/>
          <w:i w:val="false"/>
          <w:color w:val="000000"/>
          <w:sz w:val="28"/>
        </w:rPr>
        <w:t>
      В ряде стран с развитой системой здравоохранения управление качеством выведено на стратегический уровень и включает институциональные, правовые и клинико-организационные компоненты. Страны с лучшими результатами в сфере здравоохранения внедрили постоянную обратную связь по клиническим исходам, цифровые инструменты оценки, финансовые стимулы за качество, сформировали национальные институты качества (например, NICE в Великобритании, IQWiG в Германии).</w:t>
      </w:r>
    </w:p>
    <w:bookmarkEnd w:id="279"/>
    <w:bookmarkStart w:name="z302" w:id="280"/>
    <w:p>
      <w:pPr>
        <w:spacing w:after="0"/>
        <w:ind w:left="0"/>
        <w:jc w:val="both"/>
      </w:pPr>
      <w:r>
        <w:rPr>
          <w:rFonts w:ascii="Times New Roman"/>
          <w:b w:val="false"/>
          <w:i w:val="false"/>
          <w:color w:val="000000"/>
          <w:sz w:val="28"/>
        </w:rPr>
        <w:t>
      Анализ международного опыта по ключевым приоритетам развития здравоохранения демонстрирует широкий спектр апробированных стратегий и моделей, которые могут быть адаптированы к условиям Республики Казахстан. Успешные системы здравоохранения характеризуются комплексным подходом, сочетающим профилактическую направленность, эффективное финансирование, высокое качество медицинских услуг, обеспечиваемое квалифицированными кадрами и современными технологиями, а также равный доступ для всего населения. Ключевыми уроками являются важность стратегического планирования, основанного на данных, устойчивых инвестиций, сильного государственного управления, межсекторального взаимодействия и постоянной адаптации к меняющимся вызовам и потребностям общества.</w:t>
      </w:r>
    </w:p>
    <w:bookmarkEnd w:id="280"/>
    <w:bookmarkStart w:name="z303" w:id="281"/>
    <w:p>
      <w:pPr>
        <w:spacing w:after="0"/>
        <w:ind w:left="0"/>
        <w:jc w:val="left"/>
      </w:pPr>
      <w:r>
        <w:rPr>
          <w:rFonts w:ascii="Times New Roman"/>
          <w:b/>
          <w:i w:val="false"/>
          <w:color w:val="000000"/>
        </w:rPr>
        <w:t xml:space="preserve"> Раздел 4. Видение развития сферы здравоохранения</w:t>
      </w:r>
    </w:p>
    <w:bookmarkEnd w:id="281"/>
    <w:bookmarkStart w:name="z304" w:id="282"/>
    <w:p>
      <w:pPr>
        <w:spacing w:after="0"/>
        <w:ind w:left="0"/>
        <w:jc w:val="both"/>
      </w:pPr>
      <w:r>
        <w:rPr>
          <w:rFonts w:ascii="Times New Roman"/>
          <w:b w:val="false"/>
          <w:i w:val="false"/>
          <w:color w:val="000000"/>
          <w:sz w:val="28"/>
        </w:rPr>
        <w:t>
      На основе проблемных вопросов, выявленных при анализе текущей ситуации системы здравоохранения и международного опыта, определено следующее: видение развития сферы здравоохранения страны, достижению которого будут способствовать результаты реализации данной Концепции.</w:t>
      </w:r>
    </w:p>
    <w:bookmarkEnd w:id="282"/>
    <w:bookmarkStart w:name="z305" w:id="283"/>
    <w:p>
      <w:pPr>
        <w:spacing w:after="0"/>
        <w:ind w:left="0"/>
        <w:jc w:val="both"/>
      </w:pPr>
      <w:r>
        <w:rPr>
          <w:rFonts w:ascii="Times New Roman"/>
          <w:b w:val="false"/>
          <w:i w:val="false"/>
          <w:color w:val="000000"/>
          <w:sz w:val="28"/>
        </w:rPr>
        <w:t>
      Устойчивая и эффективная система здравоохранения, обеспечивающая оптимальный баланс между доступностью, качеством и рациональным использованием ресурсов, в рамках которой обеспечиваются интегрированное управление здоровьем, системная устойчивость и адаптация к вызовам, интегрированные услуги здравоохранения, ориентированные на человека, обеспечивающие всеобщий охват, справедливый доступ к качественным медицинским услугам для всех граждан, цифровое здравоохранение нового поколения, основанное на использовании интероперабельных систем и устройств, больших данных, результативное и справедливое финансирование, развитие человеческого капитала здравоохранения, инновационная и ориентированная на трансляцию медицинская наука, технологическая модернизация и устойчивое производство через обновление инфраструктуры и развитие отечественного производства.</w:t>
      </w:r>
    </w:p>
    <w:bookmarkEnd w:id="283"/>
    <w:bookmarkStart w:name="z306" w:id="284"/>
    <w:p>
      <w:pPr>
        <w:spacing w:after="0"/>
        <w:ind w:left="0"/>
        <w:jc w:val="both"/>
      </w:pPr>
      <w:r>
        <w:rPr>
          <w:rFonts w:ascii="Times New Roman"/>
          <w:b w:val="false"/>
          <w:i w:val="false"/>
          <w:color w:val="000000"/>
          <w:sz w:val="28"/>
        </w:rPr>
        <w:t>
      Реализация видения будет осуществляться по следующим направлениям:</w:t>
      </w:r>
    </w:p>
    <w:bookmarkEnd w:id="284"/>
    <w:bookmarkStart w:name="z307" w:id="285"/>
    <w:p>
      <w:pPr>
        <w:spacing w:after="0"/>
        <w:ind w:left="0"/>
        <w:jc w:val="both"/>
      </w:pPr>
      <w:r>
        <w:rPr>
          <w:rFonts w:ascii="Times New Roman"/>
          <w:b w:val="false"/>
          <w:i w:val="false"/>
          <w:color w:val="000000"/>
          <w:sz w:val="28"/>
        </w:rPr>
        <w:t>
      1) переход к единой интегрированной системе формирования культуры здоровья;</w:t>
      </w:r>
    </w:p>
    <w:bookmarkEnd w:id="285"/>
    <w:bookmarkStart w:name="z308" w:id="286"/>
    <w:p>
      <w:pPr>
        <w:spacing w:after="0"/>
        <w:ind w:left="0"/>
        <w:jc w:val="both"/>
      </w:pPr>
      <w:r>
        <w:rPr>
          <w:rFonts w:ascii="Times New Roman"/>
          <w:b w:val="false"/>
          <w:i w:val="false"/>
          <w:color w:val="000000"/>
          <w:sz w:val="28"/>
        </w:rPr>
        <w:t>
      2) первичная медико-санитарная помощь нового поколения;</w:t>
      </w:r>
    </w:p>
    <w:bookmarkEnd w:id="286"/>
    <w:bookmarkStart w:name="z309" w:id="287"/>
    <w:p>
      <w:pPr>
        <w:spacing w:after="0"/>
        <w:ind w:left="0"/>
        <w:jc w:val="both"/>
      </w:pPr>
      <w:r>
        <w:rPr>
          <w:rFonts w:ascii="Times New Roman"/>
          <w:b w:val="false"/>
          <w:i w:val="false"/>
          <w:color w:val="000000"/>
          <w:sz w:val="28"/>
        </w:rPr>
        <w:t>
      3) человекоориентированная и доступная медицинская помощь;</w:t>
      </w:r>
    </w:p>
    <w:bookmarkEnd w:id="287"/>
    <w:bookmarkStart w:name="z310" w:id="288"/>
    <w:p>
      <w:pPr>
        <w:spacing w:after="0"/>
        <w:ind w:left="0"/>
        <w:jc w:val="both"/>
      </w:pPr>
      <w:r>
        <w:rPr>
          <w:rFonts w:ascii="Times New Roman"/>
          <w:b w:val="false"/>
          <w:i w:val="false"/>
          <w:color w:val="000000"/>
          <w:sz w:val="28"/>
        </w:rPr>
        <w:t>
      4) семейное благополучие – новый стратегический ориентир;</w:t>
      </w:r>
    </w:p>
    <w:bookmarkEnd w:id="288"/>
    <w:bookmarkStart w:name="z311" w:id="289"/>
    <w:p>
      <w:pPr>
        <w:spacing w:after="0"/>
        <w:ind w:left="0"/>
        <w:jc w:val="both"/>
      </w:pPr>
      <w:r>
        <w:rPr>
          <w:rFonts w:ascii="Times New Roman"/>
          <w:b w:val="false"/>
          <w:i w:val="false"/>
          <w:color w:val="000000"/>
          <w:sz w:val="28"/>
        </w:rPr>
        <w:t>
      5) устойчивость и безопасность системы здравоохранения;</w:t>
      </w:r>
    </w:p>
    <w:bookmarkEnd w:id="289"/>
    <w:bookmarkStart w:name="z312" w:id="290"/>
    <w:p>
      <w:pPr>
        <w:spacing w:after="0"/>
        <w:ind w:left="0"/>
        <w:jc w:val="both"/>
      </w:pPr>
      <w:r>
        <w:rPr>
          <w:rFonts w:ascii="Times New Roman"/>
          <w:b w:val="false"/>
          <w:i w:val="false"/>
          <w:color w:val="000000"/>
          <w:sz w:val="28"/>
        </w:rPr>
        <w:t>
      6) развитие персонализированной и высокотехнологичной медицины;</w:t>
      </w:r>
    </w:p>
    <w:bookmarkEnd w:id="290"/>
    <w:bookmarkStart w:name="z313" w:id="291"/>
    <w:p>
      <w:pPr>
        <w:spacing w:after="0"/>
        <w:ind w:left="0"/>
        <w:jc w:val="both"/>
      </w:pPr>
      <w:r>
        <w:rPr>
          <w:rFonts w:ascii="Times New Roman"/>
          <w:b w:val="false"/>
          <w:i w:val="false"/>
          <w:color w:val="000000"/>
          <w:sz w:val="28"/>
        </w:rPr>
        <w:t>
      7) технологическое развитие фармацевтической и медицинской промышленности, устойчивое лекарственное обеспечение;</w:t>
      </w:r>
    </w:p>
    <w:bookmarkEnd w:id="291"/>
    <w:bookmarkStart w:name="z314" w:id="292"/>
    <w:p>
      <w:pPr>
        <w:spacing w:after="0"/>
        <w:ind w:left="0"/>
        <w:jc w:val="both"/>
      </w:pPr>
      <w:r>
        <w:rPr>
          <w:rFonts w:ascii="Times New Roman"/>
          <w:b w:val="false"/>
          <w:i w:val="false"/>
          <w:color w:val="000000"/>
          <w:sz w:val="28"/>
        </w:rPr>
        <w:t>
      8) трансформация системы кадрового обеспечения и развитие науки как основа устойчивого и эффективного здравоохранения;</w:t>
      </w:r>
    </w:p>
    <w:bookmarkEnd w:id="292"/>
    <w:bookmarkStart w:name="z315" w:id="293"/>
    <w:p>
      <w:pPr>
        <w:spacing w:after="0"/>
        <w:ind w:left="0"/>
        <w:jc w:val="both"/>
      </w:pPr>
      <w:r>
        <w:rPr>
          <w:rFonts w:ascii="Times New Roman"/>
          <w:b w:val="false"/>
          <w:i w:val="false"/>
          <w:color w:val="000000"/>
          <w:sz w:val="28"/>
        </w:rPr>
        <w:t>
      9) прогрессивная модель устойчивого финансирования здравоохранения.</w:t>
      </w:r>
    </w:p>
    <w:bookmarkEnd w:id="293"/>
    <w:bookmarkStart w:name="z316" w:id="294"/>
    <w:p>
      <w:pPr>
        <w:spacing w:after="0"/>
        <w:ind w:left="0"/>
        <w:jc w:val="left"/>
      </w:pPr>
      <w:r>
        <w:rPr>
          <w:rFonts w:ascii="Times New Roman"/>
          <w:b/>
          <w:i w:val="false"/>
          <w:color w:val="000000"/>
        </w:rPr>
        <w:t xml:space="preserve"> Раздел 5. Основные принципы и подходы развития по направлениям</w:t>
      </w:r>
    </w:p>
    <w:bookmarkEnd w:id="294"/>
    <w:bookmarkStart w:name="z317" w:id="295"/>
    <w:p>
      <w:pPr>
        <w:spacing w:after="0"/>
        <w:ind w:left="0"/>
        <w:jc w:val="both"/>
      </w:pPr>
      <w:r>
        <w:rPr>
          <w:rFonts w:ascii="Times New Roman"/>
          <w:b w:val="false"/>
          <w:i w:val="false"/>
          <w:color w:val="000000"/>
          <w:sz w:val="28"/>
        </w:rPr>
        <w:t xml:space="preserve">
      </w:t>
      </w:r>
      <w:r>
        <w:rPr>
          <w:rFonts w:ascii="Times New Roman"/>
          <w:b w:val="false"/>
          <w:i/>
          <w:color w:val="000000"/>
          <w:sz w:val="28"/>
        </w:rPr>
        <w:t>Основные принципы развития отрасли:</w:t>
      </w:r>
    </w:p>
    <w:bookmarkEnd w:id="295"/>
    <w:bookmarkStart w:name="z318" w:id="296"/>
    <w:p>
      <w:pPr>
        <w:spacing w:after="0"/>
        <w:ind w:left="0"/>
        <w:jc w:val="both"/>
      </w:pPr>
      <w:r>
        <w:rPr>
          <w:rFonts w:ascii="Times New Roman"/>
          <w:b w:val="false"/>
          <w:i w:val="false"/>
          <w:color w:val="000000"/>
          <w:sz w:val="28"/>
        </w:rPr>
        <w:t>
      1) сохранение и укрепление здоровья на протяжении всей жизни;</w:t>
      </w:r>
    </w:p>
    <w:bookmarkEnd w:id="296"/>
    <w:bookmarkStart w:name="z319" w:id="297"/>
    <w:p>
      <w:pPr>
        <w:spacing w:after="0"/>
        <w:ind w:left="0"/>
        <w:jc w:val="both"/>
      </w:pPr>
      <w:r>
        <w:rPr>
          <w:rFonts w:ascii="Times New Roman"/>
          <w:b w:val="false"/>
          <w:i w:val="false"/>
          <w:color w:val="000000"/>
          <w:sz w:val="28"/>
        </w:rPr>
        <w:t>
      2) обеспечение равного и своевременного доступа к эффективной и качественной медицинской помощи;</w:t>
      </w:r>
    </w:p>
    <w:bookmarkEnd w:id="297"/>
    <w:bookmarkStart w:name="z320" w:id="298"/>
    <w:p>
      <w:pPr>
        <w:spacing w:after="0"/>
        <w:ind w:left="0"/>
        <w:jc w:val="both"/>
      </w:pPr>
      <w:r>
        <w:rPr>
          <w:rFonts w:ascii="Times New Roman"/>
          <w:b w:val="false"/>
          <w:i w:val="false"/>
          <w:color w:val="000000"/>
          <w:sz w:val="28"/>
        </w:rPr>
        <w:t>
      3) активное участие и учет потребностей пациента в процессе оказания медицинской помощи;</w:t>
      </w:r>
    </w:p>
    <w:bookmarkEnd w:id="298"/>
    <w:bookmarkStart w:name="z321" w:id="299"/>
    <w:p>
      <w:pPr>
        <w:spacing w:after="0"/>
        <w:ind w:left="0"/>
        <w:jc w:val="both"/>
      </w:pPr>
      <w:r>
        <w:rPr>
          <w:rFonts w:ascii="Times New Roman"/>
          <w:b w:val="false"/>
          <w:i w:val="false"/>
          <w:color w:val="000000"/>
          <w:sz w:val="28"/>
        </w:rPr>
        <w:t>
      4) развитие человеческого капитала как ключевого ресурса системы здравоохранения;</w:t>
      </w:r>
    </w:p>
    <w:bookmarkEnd w:id="299"/>
    <w:bookmarkStart w:name="z322" w:id="300"/>
    <w:p>
      <w:pPr>
        <w:spacing w:after="0"/>
        <w:ind w:left="0"/>
        <w:jc w:val="both"/>
      </w:pPr>
      <w:r>
        <w:rPr>
          <w:rFonts w:ascii="Times New Roman"/>
          <w:b w:val="false"/>
          <w:i w:val="false"/>
          <w:color w:val="000000"/>
          <w:sz w:val="28"/>
        </w:rPr>
        <w:t>
      5) стимулирование технологической модернизации, развития медицинской и фармацевтической науки, генерации новых знаний и внедрения клинических и организационных инноваций;</w:t>
      </w:r>
    </w:p>
    <w:bookmarkEnd w:id="300"/>
    <w:bookmarkStart w:name="z323" w:id="301"/>
    <w:p>
      <w:pPr>
        <w:spacing w:after="0"/>
        <w:ind w:left="0"/>
        <w:jc w:val="both"/>
      </w:pPr>
      <w:r>
        <w:rPr>
          <w:rFonts w:ascii="Times New Roman"/>
          <w:b w:val="false"/>
          <w:i w:val="false"/>
          <w:color w:val="000000"/>
          <w:sz w:val="28"/>
        </w:rPr>
        <w:t>
      6) рациональное и эффективное управление ресурсами и капиталом системы здравоохранения;</w:t>
      </w:r>
    </w:p>
    <w:bookmarkEnd w:id="301"/>
    <w:bookmarkStart w:name="z324" w:id="302"/>
    <w:p>
      <w:pPr>
        <w:spacing w:after="0"/>
        <w:ind w:left="0"/>
        <w:jc w:val="both"/>
      </w:pPr>
      <w:r>
        <w:rPr>
          <w:rFonts w:ascii="Times New Roman"/>
          <w:b w:val="false"/>
          <w:i w:val="false"/>
          <w:color w:val="000000"/>
          <w:sz w:val="28"/>
        </w:rPr>
        <w:t>
      7) прозрачность процессов управления и финансирования системы здравоохранения, а также подотчетности всех участников;</w:t>
      </w:r>
    </w:p>
    <w:bookmarkEnd w:id="302"/>
    <w:bookmarkStart w:name="z325" w:id="303"/>
    <w:p>
      <w:pPr>
        <w:spacing w:after="0"/>
        <w:ind w:left="0"/>
        <w:jc w:val="both"/>
      </w:pPr>
      <w:r>
        <w:rPr>
          <w:rFonts w:ascii="Times New Roman"/>
          <w:b w:val="false"/>
          <w:i w:val="false"/>
          <w:color w:val="000000"/>
          <w:sz w:val="28"/>
        </w:rPr>
        <w:t>
      8) обеспечение готовности и эффективного реагирования на кризисы в области общественного здоровья и изменение климата;</w:t>
      </w:r>
    </w:p>
    <w:bookmarkEnd w:id="303"/>
    <w:bookmarkStart w:name="z326" w:id="304"/>
    <w:p>
      <w:pPr>
        <w:spacing w:after="0"/>
        <w:ind w:left="0"/>
        <w:jc w:val="both"/>
      </w:pPr>
      <w:r>
        <w:rPr>
          <w:rFonts w:ascii="Times New Roman"/>
          <w:b w:val="false"/>
          <w:i w:val="false"/>
          <w:color w:val="000000"/>
          <w:sz w:val="28"/>
        </w:rPr>
        <w:t>
      9) принятие клинических, управленческих и финансовых решений на основе фактических данных.</w:t>
      </w:r>
    </w:p>
    <w:bookmarkEnd w:id="304"/>
    <w:bookmarkStart w:name="z327" w:id="305"/>
    <w:p>
      <w:pPr>
        <w:spacing w:after="0"/>
        <w:ind w:left="0"/>
        <w:jc w:val="both"/>
      </w:pPr>
      <w:r>
        <w:rPr>
          <w:rFonts w:ascii="Times New Roman"/>
          <w:b w:val="false"/>
          <w:i w:val="false"/>
          <w:color w:val="000000"/>
          <w:sz w:val="28"/>
        </w:rPr>
        <w:t xml:space="preserve">
      </w:t>
      </w:r>
      <w:r>
        <w:rPr>
          <w:rFonts w:ascii="Times New Roman"/>
          <w:b/>
          <w:i w:val="false"/>
          <w:color w:val="000000"/>
          <w:sz w:val="28"/>
        </w:rPr>
        <w:t>Направление 1. Переход к единой интегрированной системе формирования культуры здоровья</w:t>
      </w:r>
      <w:r>
        <w:rPr>
          <w:rFonts w:ascii="Times New Roman"/>
          <w:b/>
          <w:i w:val="false"/>
          <w:color w:val="000000"/>
          <w:sz w:val="28"/>
        </w:rPr>
        <w:t>:</w:t>
      </w:r>
    </w:p>
    <w:bookmarkEnd w:id="305"/>
    <w:bookmarkStart w:name="z328" w:id="306"/>
    <w:p>
      <w:pPr>
        <w:spacing w:after="0"/>
        <w:ind w:left="0"/>
        <w:jc w:val="both"/>
      </w:pPr>
      <w:r>
        <w:rPr>
          <w:rFonts w:ascii="Times New Roman"/>
          <w:b w:val="false"/>
          <w:i w:val="false"/>
          <w:color w:val="000000"/>
          <w:sz w:val="28"/>
        </w:rPr>
        <w:t>
      консолидация разрозненных инициатив ЗОЖ в рамках единой, научно обоснованной системы формирования культуры здоровья и профилактики с охватом всех этапов жизни;</w:t>
      </w:r>
    </w:p>
    <w:bookmarkEnd w:id="306"/>
    <w:bookmarkStart w:name="z329" w:id="307"/>
    <w:p>
      <w:pPr>
        <w:spacing w:after="0"/>
        <w:ind w:left="0"/>
        <w:jc w:val="both"/>
      </w:pPr>
      <w:r>
        <w:rPr>
          <w:rFonts w:ascii="Times New Roman"/>
          <w:b w:val="false"/>
          <w:i w:val="false"/>
          <w:color w:val="000000"/>
          <w:sz w:val="28"/>
        </w:rPr>
        <w:t>
      интеграция культуры здоровья в политику всех секторов, связанных со здоровьем человека, включая образование, труд, медиа и окружающую человека среду;</w:t>
      </w:r>
    </w:p>
    <w:bookmarkEnd w:id="307"/>
    <w:bookmarkStart w:name="z330" w:id="308"/>
    <w:p>
      <w:pPr>
        <w:spacing w:after="0"/>
        <w:ind w:left="0"/>
        <w:jc w:val="both"/>
      </w:pPr>
      <w:r>
        <w:rPr>
          <w:rFonts w:ascii="Times New Roman"/>
          <w:b w:val="false"/>
          <w:i w:val="false"/>
          <w:color w:val="000000"/>
          <w:sz w:val="28"/>
        </w:rPr>
        <w:t>
      реализация научно обоснованных инициатив по ограничению воздействия поведенческих факторов риска на здоровье населения.</w:t>
      </w:r>
    </w:p>
    <w:bookmarkEnd w:id="308"/>
    <w:bookmarkStart w:name="z331" w:id="309"/>
    <w:p>
      <w:pPr>
        <w:spacing w:after="0"/>
        <w:ind w:left="0"/>
        <w:jc w:val="both"/>
      </w:pPr>
      <w:r>
        <w:rPr>
          <w:rFonts w:ascii="Times New Roman"/>
          <w:b w:val="false"/>
          <w:i w:val="false"/>
          <w:color w:val="000000"/>
          <w:sz w:val="28"/>
        </w:rPr>
        <w:t>
      Развитие по данному направлению нацелено на формирование "культуры здоровья" – совокупности разделяемых в обществе ценностей, знаний, убеждений и форм поведения, формирующих отношение людей к здоровью и здоровому образу жизни, определяющих повседневные действия по его сохранению и укреплению, а также отражающие степень приоритетности здоровья как индивидуального и общественного блага.</w:t>
      </w:r>
    </w:p>
    <w:bookmarkEnd w:id="309"/>
    <w:bookmarkStart w:name="z332" w:id="310"/>
    <w:p>
      <w:pPr>
        <w:spacing w:after="0"/>
        <w:ind w:left="0"/>
        <w:jc w:val="both"/>
      </w:pPr>
      <w:r>
        <w:rPr>
          <w:rFonts w:ascii="Times New Roman"/>
          <w:b w:val="false"/>
          <w:i w:val="false"/>
          <w:color w:val="000000"/>
          <w:sz w:val="28"/>
        </w:rPr>
        <w:t xml:space="preserve">
      </w:t>
      </w:r>
      <w:r>
        <w:rPr>
          <w:rFonts w:ascii="Times New Roman"/>
          <w:b w:val="false"/>
          <w:i/>
          <w:color w:val="000000"/>
          <w:sz w:val="28"/>
        </w:rPr>
        <w:t>Консолидация разрозненных инициатив ЗОЖ в рамках единой, научно обоснованной системы формирования культуры здоровья и профилактики с охватом всех этапов жизни</w:t>
      </w:r>
    </w:p>
    <w:bookmarkEnd w:id="310"/>
    <w:bookmarkStart w:name="z333" w:id="311"/>
    <w:p>
      <w:pPr>
        <w:spacing w:after="0"/>
        <w:ind w:left="0"/>
        <w:jc w:val="both"/>
      </w:pPr>
      <w:r>
        <w:rPr>
          <w:rFonts w:ascii="Times New Roman"/>
          <w:b w:val="false"/>
          <w:i w:val="false"/>
          <w:color w:val="000000"/>
          <w:sz w:val="28"/>
        </w:rPr>
        <w:t>
      Будет создан национальный координатор по формированию культуры здоровья.</w:t>
      </w:r>
    </w:p>
    <w:bookmarkEnd w:id="311"/>
    <w:bookmarkStart w:name="z334" w:id="312"/>
    <w:p>
      <w:pPr>
        <w:spacing w:after="0"/>
        <w:ind w:left="0"/>
        <w:jc w:val="both"/>
      </w:pPr>
      <w:r>
        <w:rPr>
          <w:rFonts w:ascii="Times New Roman"/>
          <w:b w:val="false"/>
          <w:i w:val="false"/>
          <w:color w:val="000000"/>
          <w:sz w:val="28"/>
        </w:rPr>
        <w:t>
      Будет реализована единая система формирования культуры здоровья через проведение массовой национальной информационной кампании "Саламатты шаңырақ"; охват факторов риска для здоровья, с акцентом на НИЗ (здоровое питание и физическая активность, вред избыточного потребления сахара, соли, нездоровых продуктов и пассивного образа жизни, стимулирование выбора воды); использование цифровых платформ, социальных сетей и мобильных приложений для продвижения здорового поведения.</w:t>
      </w:r>
    </w:p>
    <w:bookmarkEnd w:id="312"/>
    <w:bookmarkStart w:name="z335" w:id="313"/>
    <w:p>
      <w:pPr>
        <w:spacing w:after="0"/>
        <w:ind w:left="0"/>
        <w:jc w:val="both"/>
      </w:pPr>
      <w:r>
        <w:rPr>
          <w:rFonts w:ascii="Times New Roman"/>
          <w:b w:val="false"/>
          <w:i w:val="false"/>
          <w:color w:val="000000"/>
          <w:sz w:val="28"/>
        </w:rPr>
        <w:t>
      Будут организованы адресные коммуникации с населением через ПМСП, МЦЗ, организации здравоохранения, работодателей, местные и межсекторальные инициативы, блогеров и медийных личностей; целенаправленное продвижение культуры здоровья в организациях образования.</w:t>
      </w:r>
    </w:p>
    <w:bookmarkEnd w:id="313"/>
    <w:bookmarkStart w:name="z336" w:id="314"/>
    <w:p>
      <w:pPr>
        <w:spacing w:after="0"/>
        <w:ind w:left="0"/>
        <w:jc w:val="both"/>
      </w:pPr>
      <w:r>
        <w:rPr>
          <w:rFonts w:ascii="Times New Roman"/>
          <w:b w:val="false"/>
          <w:i w:val="false"/>
          <w:color w:val="000000"/>
          <w:sz w:val="28"/>
        </w:rPr>
        <w:t xml:space="preserve">
      </w:t>
      </w:r>
      <w:r>
        <w:rPr>
          <w:rFonts w:ascii="Times New Roman"/>
          <w:b w:val="false"/>
          <w:i/>
          <w:color w:val="000000"/>
          <w:sz w:val="28"/>
        </w:rPr>
        <w:t>Внедрение системы комплексной единой отч</w:t>
      </w:r>
      <w:r>
        <w:rPr>
          <w:rFonts w:ascii="Times New Roman"/>
          <w:b w:val="false"/>
          <w:i/>
          <w:color w:val="000000"/>
          <w:sz w:val="28"/>
        </w:rPr>
        <w:t>е</w:t>
      </w:r>
      <w:r>
        <w:rPr>
          <w:rFonts w:ascii="Times New Roman"/>
          <w:b w:val="false"/>
          <w:i/>
          <w:color w:val="000000"/>
          <w:sz w:val="28"/>
        </w:rPr>
        <w:t>тности о здоровье населения, факторах риска и доступности услуг здравоохранения "</w:t>
      </w:r>
      <w:r>
        <w:rPr>
          <w:rFonts w:ascii="Times New Roman"/>
          <w:b w:val="false"/>
          <w:i/>
          <w:color w:val="000000"/>
          <w:sz w:val="28"/>
        </w:rPr>
        <w:t>Ұлт</w:t>
      </w:r>
      <w:r>
        <w:rPr>
          <w:rFonts w:ascii="Times New Roman"/>
          <w:b w:val="false"/>
          <w:i w:val="false"/>
          <w:color w:val="000000"/>
          <w:sz w:val="28"/>
        </w:rPr>
        <w:t xml:space="preserve"> </w:t>
      </w:r>
      <w:r>
        <w:rPr>
          <w:rFonts w:ascii="Times New Roman"/>
          <w:b w:val="false"/>
          <w:i/>
          <w:color w:val="000000"/>
          <w:sz w:val="28"/>
        </w:rPr>
        <w:t>денсаулығы</w:t>
      </w:r>
      <w:r>
        <w:rPr>
          <w:rFonts w:ascii="Times New Roman"/>
          <w:b w:val="false"/>
          <w:i/>
          <w:color w:val="000000"/>
          <w:sz w:val="28"/>
        </w:rPr>
        <w:t>"</w:t>
      </w:r>
    </w:p>
    <w:bookmarkEnd w:id="314"/>
    <w:bookmarkStart w:name="z337" w:id="315"/>
    <w:p>
      <w:pPr>
        <w:spacing w:after="0"/>
        <w:ind w:left="0"/>
        <w:jc w:val="both"/>
      </w:pPr>
      <w:r>
        <w:rPr>
          <w:rFonts w:ascii="Times New Roman"/>
          <w:b w:val="false"/>
          <w:i w:val="false"/>
          <w:color w:val="000000"/>
          <w:sz w:val="28"/>
        </w:rPr>
        <w:t>
      Будет подготовлен ежегодный информационно-аналитический отчет "Ұлт денсаулығы", включающий эпидемиологический надзор за неинфекционными заболеваниями; актуальные данные о состоянии здоровья населения, заболеваемости, распространенности заболеваний и оценке бремени болезней; углубленные исследования по международно-признанной методологии (таких как STEPS, MICS, COSI, HBSC, GATS, GYTS и др.) с охватом основных факторов риска НИЗ.</w:t>
      </w:r>
    </w:p>
    <w:bookmarkEnd w:id="315"/>
    <w:bookmarkStart w:name="z338" w:id="316"/>
    <w:p>
      <w:pPr>
        <w:spacing w:after="0"/>
        <w:ind w:left="0"/>
        <w:jc w:val="both"/>
      </w:pPr>
      <w:r>
        <w:rPr>
          <w:rFonts w:ascii="Times New Roman"/>
          <w:b w:val="false"/>
          <w:i w:val="false"/>
          <w:color w:val="000000"/>
          <w:sz w:val="28"/>
        </w:rPr>
        <w:t xml:space="preserve">
      </w:t>
      </w:r>
      <w:r>
        <w:rPr>
          <w:rFonts w:ascii="Times New Roman"/>
          <w:b w:val="false"/>
          <w:i/>
          <w:color w:val="000000"/>
          <w:sz w:val="28"/>
        </w:rPr>
        <w:t>Интеграция культуры здоровья в политику всех секторов, связанных со здоровьем человека, включая образование, труд и окружающую среду</w:t>
      </w:r>
    </w:p>
    <w:bookmarkEnd w:id="316"/>
    <w:bookmarkStart w:name="z339" w:id="317"/>
    <w:p>
      <w:pPr>
        <w:spacing w:after="0"/>
        <w:ind w:left="0"/>
        <w:jc w:val="both"/>
      </w:pPr>
      <w:r>
        <w:rPr>
          <w:rFonts w:ascii="Times New Roman"/>
          <w:b w:val="false"/>
          <w:i w:val="false"/>
          <w:color w:val="000000"/>
          <w:sz w:val="28"/>
        </w:rPr>
        <w:t>
      При принятии решений во всех секторах государственной политики будет обеспечиваться приверженность принципам ВОЗ "Здоровье во всех политиках".</w:t>
      </w:r>
    </w:p>
    <w:bookmarkEnd w:id="317"/>
    <w:bookmarkStart w:name="z340" w:id="318"/>
    <w:p>
      <w:pPr>
        <w:spacing w:after="0"/>
        <w:ind w:left="0"/>
        <w:jc w:val="both"/>
      </w:pPr>
      <w:r>
        <w:rPr>
          <w:rFonts w:ascii="Times New Roman"/>
          <w:b w:val="false"/>
          <w:i w:val="false"/>
          <w:color w:val="000000"/>
          <w:sz w:val="28"/>
        </w:rPr>
        <w:t>
      Будет продолжена интеграция принципов здорового образа жизни в систему образования.</w:t>
      </w:r>
    </w:p>
    <w:bookmarkEnd w:id="318"/>
    <w:bookmarkStart w:name="z341" w:id="319"/>
    <w:p>
      <w:pPr>
        <w:spacing w:after="0"/>
        <w:ind w:left="0"/>
        <w:jc w:val="both"/>
      </w:pPr>
      <w:r>
        <w:rPr>
          <w:rFonts w:ascii="Times New Roman"/>
          <w:b w:val="false"/>
          <w:i w:val="false"/>
          <w:color w:val="000000"/>
          <w:sz w:val="28"/>
        </w:rPr>
        <w:t>
      Включение в учебные программы, программы воспитательной работы тем, направленных на формирование навыков психоэмоциональной устойчивости, развития эмпатии и позитивного мышления.</w:t>
      </w:r>
    </w:p>
    <w:bookmarkEnd w:id="319"/>
    <w:bookmarkStart w:name="z342" w:id="320"/>
    <w:p>
      <w:pPr>
        <w:spacing w:after="0"/>
        <w:ind w:left="0"/>
        <w:jc w:val="both"/>
      </w:pPr>
      <w:r>
        <w:rPr>
          <w:rFonts w:ascii="Times New Roman"/>
          <w:b w:val="false"/>
          <w:i w:val="false"/>
          <w:color w:val="000000"/>
          <w:sz w:val="28"/>
        </w:rPr>
        <w:t>
      Выработка предложений по созданию ситуационного центра по мониторингу, исследованию и профилактике наркомании.</w:t>
      </w:r>
    </w:p>
    <w:bookmarkEnd w:id="320"/>
    <w:bookmarkStart w:name="z343" w:id="321"/>
    <w:p>
      <w:pPr>
        <w:spacing w:after="0"/>
        <w:ind w:left="0"/>
        <w:jc w:val="both"/>
      </w:pPr>
      <w:r>
        <w:rPr>
          <w:rFonts w:ascii="Times New Roman"/>
          <w:b w:val="false"/>
          <w:i w:val="false"/>
          <w:color w:val="000000"/>
          <w:sz w:val="28"/>
        </w:rPr>
        <w:t>
      Интеграция принципов здорового образа жизни в систему труда путем повышения информационной грамотности работников о факторах риска НИЗ, вопросах здорового питания и физической активности, вреде избыточного потребления сахара, соли, нездоровых продуктов и пассивного образа жизни.</w:t>
      </w:r>
    </w:p>
    <w:bookmarkEnd w:id="321"/>
    <w:bookmarkStart w:name="z344" w:id="322"/>
    <w:p>
      <w:pPr>
        <w:spacing w:after="0"/>
        <w:ind w:left="0"/>
        <w:jc w:val="both"/>
      </w:pPr>
      <w:r>
        <w:rPr>
          <w:rFonts w:ascii="Times New Roman"/>
          <w:b w:val="false"/>
          <w:i w:val="false"/>
          <w:color w:val="000000"/>
          <w:sz w:val="28"/>
        </w:rPr>
        <w:t>
      Усиление роли и ответственности национального центра гигиены труда и профессиональных заболеваний через определение его основным координатором по разработке и достижению целей в сфере медицины труда, гигиены и профпатологии.</w:t>
      </w:r>
    </w:p>
    <w:bookmarkEnd w:id="322"/>
    <w:bookmarkStart w:name="z345" w:id="323"/>
    <w:p>
      <w:pPr>
        <w:spacing w:after="0"/>
        <w:ind w:left="0"/>
        <w:jc w:val="both"/>
      </w:pPr>
      <w:r>
        <w:rPr>
          <w:rFonts w:ascii="Times New Roman"/>
          <w:b w:val="false"/>
          <w:i w:val="false"/>
          <w:color w:val="000000"/>
          <w:sz w:val="28"/>
        </w:rPr>
        <w:t>
      Будут реализованы меры по профилактике травматизма.</w:t>
      </w:r>
    </w:p>
    <w:bookmarkEnd w:id="323"/>
    <w:bookmarkStart w:name="z346" w:id="324"/>
    <w:p>
      <w:pPr>
        <w:spacing w:after="0"/>
        <w:ind w:left="0"/>
        <w:jc w:val="both"/>
      </w:pPr>
      <w:r>
        <w:rPr>
          <w:rFonts w:ascii="Times New Roman"/>
          <w:b w:val="false"/>
          <w:i w:val="false"/>
          <w:color w:val="000000"/>
          <w:sz w:val="28"/>
        </w:rPr>
        <w:t>
      Будет обеспечено поэтапное внедрение комплексных инициатив в различных сферах повседневной жизни граждан, охватывающих места проживания, обучения, труда и медицинского обслуживания, через реализацию в рамках двухуровневой модели.</w:t>
      </w:r>
    </w:p>
    <w:bookmarkEnd w:id="324"/>
    <w:bookmarkStart w:name="z347" w:id="325"/>
    <w:p>
      <w:pPr>
        <w:spacing w:after="0"/>
        <w:ind w:left="0"/>
        <w:jc w:val="both"/>
      </w:pPr>
      <w:r>
        <w:rPr>
          <w:rFonts w:ascii="Times New Roman"/>
          <w:b w:val="false"/>
          <w:i w:val="false"/>
          <w:color w:val="000000"/>
          <w:sz w:val="28"/>
        </w:rPr>
        <w:t>
      На первом уровне предусматривается создание национальной сети "Саламатты орта", которая объединяет добровольные инициативы по созданию среды, способствующей укреплению здоровья, с акцентом на доступность, вовлеченность и устойчивое развитие на местном уровне.</w:t>
      </w:r>
    </w:p>
    <w:bookmarkEnd w:id="325"/>
    <w:bookmarkStart w:name="z348" w:id="326"/>
    <w:p>
      <w:pPr>
        <w:spacing w:after="0"/>
        <w:ind w:left="0"/>
        <w:jc w:val="both"/>
      </w:pPr>
      <w:r>
        <w:rPr>
          <w:rFonts w:ascii="Times New Roman"/>
          <w:b w:val="false"/>
          <w:i w:val="false"/>
          <w:color w:val="000000"/>
          <w:sz w:val="28"/>
        </w:rPr>
        <w:t>
      Для реализации инициативы создания национальной сети "Саламатты орта" предусмотрены: формирование нормативной правовой основы для реализации инициативы; определение национального координатора инициативы; разработка рамочных методологических подходов с учетом специфики различных сфер деятельности; проведение пилотного этапа на ограниченном числе организаций для апробации инструментов и подходов; создание по результатам пилота цифровых инструментов для участников с функционалом самооценки, шаблонами типовых планов, отчетности и перечнем рекомендованных мероприятий для внедрения; проведение информационной кампании, популяризация и масштабирование проекта.</w:t>
      </w:r>
    </w:p>
    <w:bookmarkEnd w:id="326"/>
    <w:bookmarkStart w:name="z349" w:id="327"/>
    <w:p>
      <w:pPr>
        <w:spacing w:after="0"/>
        <w:ind w:left="0"/>
        <w:jc w:val="both"/>
      </w:pPr>
      <w:r>
        <w:rPr>
          <w:rFonts w:ascii="Times New Roman"/>
          <w:b w:val="false"/>
          <w:i w:val="false"/>
          <w:color w:val="000000"/>
          <w:sz w:val="28"/>
        </w:rPr>
        <w:t>
      На втором уровне предусмотрено участие в инициативах ВОЗ "Здоровые города", "Здоровые рабочие места", "Школы, способствующие укреплению здоровья", "Здоровые университеты", "Больницы, способствующие укреплению здоровья". Переход на второй уровень осуществляется на основе готовности, достигнутых результатов и соответствия международным стандартам.</w:t>
      </w:r>
    </w:p>
    <w:bookmarkEnd w:id="327"/>
    <w:bookmarkStart w:name="z350" w:id="328"/>
    <w:p>
      <w:pPr>
        <w:spacing w:after="0"/>
        <w:ind w:left="0"/>
        <w:jc w:val="both"/>
      </w:pPr>
      <w:r>
        <w:rPr>
          <w:rFonts w:ascii="Times New Roman"/>
          <w:b w:val="false"/>
          <w:i w:val="false"/>
          <w:color w:val="000000"/>
          <w:sz w:val="28"/>
        </w:rPr>
        <w:t xml:space="preserve">
      </w:t>
      </w:r>
      <w:r>
        <w:rPr>
          <w:rFonts w:ascii="Times New Roman"/>
          <w:b w:val="false"/>
          <w:i/>
          <w:color w:val="000000"/>
          <w:sz w:val="28"/>
        </w:rPr>
        <w:t>Реализация научно обоснованных инициатив по ограничению</w:t>
      </w:r>
      <w:r>
        <w:rPr>
          <w:rFonts w:ascii="Times New Roman"/>
          <w:b w:val="false"/>
          <w:i w:val="false"/>
          <w:color w:val="000000"/>
          <w:sz w:val="28"/>
        </w:rPr>
        <w:t xml:space="preserve"> </w:t>
      </w:r>
      <w:r>
        <w:rPr>
          <w:rFonts w:ascii="Times New Roman"/>
          <w:b w:val="false"/>
          <w:i/>
          <w:color w:val="000000"/>
          <w:sz w:val="28"/>
        </w:rPr>
        <w:t>воздействия поведенческих факторов риска на здоровье населения</w:t>
      </w:r>
    </w:p>
    <w:bookmarkEnd w:id="328"/>
    <w:bookmarkStart w:name="z351" w:id="329"/>
    <w:p>
      <w:pPr>
        <w:spacing w:after="0"/>
        <w:ind w:left="0"/>
        <w:jc w:val="both"/>
      </w:pPr>
      <w:r>
        <w:rPr>
          <w:rFonts w:ascii="Times New Roman"/>
          <w:b w:val="false"/>
          <w:i w:val="false"/>
          <w:color w:val="000000"/>
          <w:sz w:val="28"/>
        </w:rPr>
        <w:t>
      Разработка предложений и совершенствование нормативно-правовой базы в целях усиления мер по ограничению потребления табачных изделий в общественных местах, в отношении новых форм и устройств потребления табачных изделий, продуктов с недостаточно изученным влиянием при длительном употреблении; по содержанию соли в продуктах питания; в части ограничения рекламы в средствах массовой информации (далее – СМИ), социальных сетях продуктов с повышенным содержанием соли, сахара, насыщенных жиров, содержанием трансжиров.</w:t>
      </w:r>
    </w:p>
    <w:bookmarkEnd w:id="329"/>
    <w:bookmarkStart w:name="z352" w:id="330"/>
    <w:p>
      <w:pPr>
        <w:spacing w:after="0"/>
        <w:ind w:left="0"/>
        <w:jc w:val="both"/>
      </w:pPr>
      <w:r>
        <w:rPr>
          <w:rFonts w:ascii="Times New Roman"/>
          <w:b w:val="false"/>
          <w:i w:val="false"/>
          <w:color w:val="000000"/>
          <w:sz w:val="28"/>
        </w:rPr>
        <w:t>
      Реализация межсекторальных и законодательных инициатив по повышению доступности здорового питания через утверждение национального профиля питательных веществ, методических рекомендаций для внедрения добровольной маркировки "Полезный выбор".</w:t>
      </w:r>
    </w:p>
    <w:bookmarkEnd w:id="330"/>
    <w:bookmarkStart w:name="z353" w:id="331"/>
    <w:p>
      <w:pPr>
        <w:spacing w:after="0"/>
        <w:ind w:left="0"/>
        <w:jc w:val="both"/>
      </w:pPr>
      <w:r>
        <w:rPr>
          <w:rFonts w:ascii="Times New Roman"/>
          <w:b w:val="false"/>
          <w:i w:val="false"/>
          <w:color w:val="000000"/>
          <w:sz w:val="28"/>
        </w:rPr>
        <w:t>
      Поэтапное введение акциза на сахаросодержащие напитки.</w:t>
      </w:r>
    </w:p>
    <w:bookmarkEnd w:id="331"/>
    <w:bookmarkStart w:name="z354" w:id="332"/>
    <w:p>
      <w:pPr>
        <w:spacing w:after="0"/>
        <w:ind w:left="0"/>
        <w:jc w:val="both"/>
      </w:pPr>
      <w:r>
        <w:rPr>
          <w:rFonts w:ascii="Times New Roman"/>
          <w:b w:val="false"/>
          <w:i w:val="false"/>
          <w:color w:val="000000"/>
          <w:sz w:val="28"/>
        </w:rPr>
        <w:t>
      Разработка мер по введению административной ответственности за несоблюдение ограничений в отношении продажи энергетических напитков.</w:t>
      </w:r>
    </w:p>
    <w:bookmarkEnd w:id="332"/>
    <w:bookmarkStart w:name="z355" w:id="333"/>
    <w:p>
      <w:pPr>
        <w:spacing w:after="0"/>
        <w:ind w:left="0"/>
        <w:jc w:val="both"/>
      </w:pPr>
      <w:r>
        <w:rPr>
          <w:rFonts w:ascii="Times New Roman"/>
          <w:b w:val="false"/>
          <w:i w:val="false"/>
          <w:color w:val="000000"/>
          <w:sz w:val="28"/>
        </w:rPr>
        <w:t>
      Выработка мер по выявлению, профилактике и снижению негативного воздействия цифровой среды на психическое здоровье населения, в особенности детей и молодежи.</w:t>
      </w:r>
    </w:p>
    <w:bookmarkEnd w:id="333"/>
    <w:bookmarkStart w:name="z356" w:id="334"/>
    <w:p>
      <w:pPr>
        <w:spacing w:after="0"/>
        <w:ind w:left="0"/>
        <w:jc w:val="both"/>
      </w:pPr>
      <w:r>
        <w:rPr>
          <w:rFonts w:ascii="Times New Roman"/>
          <w:b w:val="false"/>
          <w:i w:val="false"/>
          <w:color w:val="000000"/>
          <w:sz w:val="28"/>
        </w:rPr>
        <w:t xml:space="preserve">
      </w:t>
      </w:r>
      <w:r>
        <w:rPr>
          <w:rFonts w:ascii="Times New Roman"/>
          <w:b/>
          <w:i w:val="false"/>
          <w:color w:val="000000"/>
          <w:sz w:val="28"/>
        </w:rPr>
        <w:t>Направление 2. Первичная медико</w:t>
      </w:r>
      <w:r>
        <w:rPr>
          <w:rFonts w:ascii="Times New Roman"/>
          <w:b/>
          <w:i w:val="false"/>
          <w:color w:val="000000"/>
          <w:sz w:val="28"/>
        </w:rPr>
        <w:t>-</w:t>
      </w:r>
      <w:r>
        <w:rPr>
          <w:rFonts w:ascii="Times New Roman"/>
          <w:b/>
          <w:i w:val="false"/>
          <w:color w:val="000000"/>
          <w:sz w:val="28"/>
        </w:rPr>
        <w:t>санитарная помощь нового поколения</w:t>
      </w:r>
    </w:p>
    <w:bookmarkEnd w:id="334"/>
    <w:bookmarkStart w:name="z357" w:id="335"/>
    <w:p>
      <w:pPr>
        <w:spacing w:after="0"/>
        <w:ind w:left="0"/>
        <w:jc w:val="both"/>
      </w:pPr>
      <w:r>
        <w:rPr>
          <w:rFonts w:ascii="Times New Roman"/>
          <w:b w:val="false"/>
          <w:i w:val="false"/>
          <w:color w:val="000000"/>
          <w:sz w:val="28"/>
        </w:rPr>
        <w:t>
      усиление профилактической направленности и диагностического потенциала ПМСП;</w:t>
      </w:r>
    </w:p>
    <w:bookmarkEnd w:id="335"/>
    <w:bookmarkStart w:name="z358" w:id="336"/>
    <w:p>
      <w:pPr>
        <w:spacing w:after="0"/>
        <w:ind w:left="0"/>
        <w:jc w:val="both"/>
      </w:pPr>
      <w:r>
        <w:rPr>
          <w:rFonts w:ascii="Times New Roman"/>
          <w:b w:val="false"/>
          <w:i w:val="false"/>
          <w:color w:val="000000"/>
          <w:sz w:val="28"/>
        </w:rPr>
        <w:t>
      масштабирование эффективных моделей через систему координации и центры лучших практик;</w:t>
      </w:r>
    </w:p>
    <w:bookmarkEnd w:id="336"/>
    <w:bookmarkStart w:name="z359" w:id="337"/>
    <w:p>
      <w:pPr>
        <w:spacing w:after="0"/>
        <w:ind w:left="0"/>
        <w:jc w:val="both"/>
      </w:pPr>
      <w:r>
        <w:rPr>
          <w:rFonts w:ascii="Times New Roman"/>
          <w:b w:val="false"/>
          <w:i w:val="false"/>
          <w:color w:val="000000"/>
          <w:sz w:val="28"/>
        </w:rPr>
        <w:t>
      усиление координирующей роли ПМСП в маршрутизации пациентов и предоставлении услуг;</w:t>
      </w:r>
    </w:p>
    <w:bookmarkEnd w:id="337"/>
    <w:bookmarkStart w:name="z360" w:id="338"/>
    <w:p>
      <w:pPr>
        <w:spacing w:after="0"/>
        <w:ind w:left="0"/>
        <w:jc w:val="both"/>
      </w:pPr>
      <w:r>
        <w:rPr>
          <w:rFonts w:ascii="Times New Roman"/>
          <w:b w:val="false"/>
          <w:i w:val="false"/>
          <w:color w:val="000000"/>
          <w:sz w:val="28"/>
        </w:rPr>
        <w:t>
      повышение качества, доступности и ценностной ориентированности ПМСП.</w:t>
      </w:r>
    </w:p>
    <w:bookmarkEnd w:id="338"/>
    <w:bookmarkStart w:name="z361" w:id="339"/>
    <w:p>
      <w:pPr>
        <w:spacing w:after="0"/>
        <w:ind w:left="0"/>
        <w:jc w:val="both"/>
      </w:pPr>
      <w:r>
        <w:rPr>
          <w:rFonts w:ascii="Times New Roman"/>
          <w:b w:val="false"/>
          <w:i w:val="false"/>
          <w:color w:val="000000"/>
          <w:sz w:val="28"/>
        </w:rPr>
        <w:t xml:space="preserve">
      </w:t>
      </w:r>
      <w:r>
        <w:rPr>
          <w:rFonts w:ascii="Times New Roman"/>
          <w:b w:val="false"/>
          <w:i/>
          <w:color w:val="000000"/>
          <w:sz w:val="28"/>
        </w:rPr>
        <w:t>Усиление профилактической направленности и диагностического потенциала ПМСП</w:t>
      </w:r>
    </w:p>
    <w:bookmarkEnd w:id="339"/>
    <w:bookmarkStart w:name="z362" w:id="340"/>
    <w:p>
      <w:pPr>
        <w:spacing w:after="0"/>
        <w:ind w:left="0"/>
        <w:jc w:val="both"/>
      </w:pPr>
      <w:r>
        <w:rPr>
          <w:rFonts w:ascii="Times New Roman"/>
          <w:b w:val="false"/>
          <w:i w:val="false"/>
          <w:color w:val="000000"/>
          <w:sz w:val="28"/>
        </w:rPr>
        <w:t>
      Предусматривается укрепление ПМСП в вопросах профилактики и ранней диагностики заболеваний путем обучения специалистов ПМСП методам мотивационного консультирования по вопросам формирования культуры здоровья, профилактики и устойчивого изменения поведения и иммунизации; развития навыков и обучения алгоритмам раннего выявления онкологических заболеваний, сахарного диабета у врачей ПМСП; ведения пациентов с предиабетом с включением мер по профилактике, обучению навыкам самоконтроля; усиления деятельности школ здоровья на уровне ПМСП и в стационарах путем методического сопровождения и повышения уровня квалификации медицинских работников.</w:t>
      </w:r>
    </w:p>
    <w:bookmarkEnd w:id="340"/>
    <w:bookmarkStart w:name="z363" w:id="341"/>
    <w:p>
      <w:pPr>
        <w:spacing w:after="0"/>
        <w:ind w:left="0"/>
        <w:jc w:val="both"/>
      </w:pPr>
      <w:r>
        <w:rPr>
          <w:rFonts w:ascii="Times New Roman"/>
          <w:b w:val="false"/>
          <w:i w:val="false"/>
          <w:color w:val="000000"/>
          <w:sz w:val="28"/>
        </w:rPr>
        <w:t>
      Реализация услуги "запланированный профилактический прием" на ПМСП.</w:t>
      </w:r>
    </w:p>
    <w:bookmarkEnd w:id="341"/>
    <w:bookmarkStart w:name="z364" w:id="342"/>
    <w:p>
      <w:pPr>
        <w:spacing w:after="0"/>
        <w:ind w:left="0"/>
        <w:jc w:val="both"/>
      </w:pPr>
      <w:r>
        <w:rPr>
          <w:rFonts w:ascii="Times New Roman"/>
          <w:b w:val="false"/>
          <w:i w:val="false"/>
          <w:color w:val="000000"/>
          <w:sz w:val="28"/>
        </w:rPr>
        <w:t>
      Продолжится расширение охвата населения профилактическими медицинскими осмотрами и скрининговыми исследованиями среди целевых групп через разработку цифровых инструментов по учету и мониторингу скринингов, расширение охвата населения услугами передвижных медицинских комплексов, оборудованных для проведения скрининговых обследований на местах.</w:t>
      </w:r>
    </w:p>
    <w:bookmarkEnd w:id="342"/>
    <w:bookmarkStart w:name="z365" w:id="343"/>
    <w:p>
      <w:pPr>
        <w:spacing w:after="0"/>
        <w:ind w:left="0"/>
        <w:jc w:val="both"/>
      </w:pPr>
      <w:r>
        <w:rPr>
          <w:rFonts w:ascii="Times New Roman"/>
          <w:b w:val="false"/>
          <w:i w:val="false"/>
          <w:color w:val="000000"/>
          <w:sz w:val="28"/>
        </w:rPr>
        <w:t xml:space="preserve">
      Рассмотрение клинико-экономической эффективности скринингов. </w:t>
      </w:r>
    </w:p>
    <w:bookmarkEnd w:id="343"/>
    <w:bookmarkStart w:name="z366" w:id="344"/>
    <w:p>
      <w:pPr>
        <w:spacing w:after="0"/>
        <w:ind w:left="0"/>
        <w:jc w:val="both"/>
      </w:pPr>
      <w:r>
        <w:rPr>
          <w:rFonts w:ascii="Times New Roman"/>
          <w:b w:val="false"/>
          <w:i w:val="false"/>
          <w:color w:val="000000"/>
          <w:sz w:val="28"/>
        </w:rPr>
        <w:t xml:space="preserve">
      </w:t>
      </w:r>
      <w:r>
        <w:rPr>
          <w:rFonts w:ascii="Times New Roman"/>
          <w:b w:val="false"/>
          <w:i/>
          <w:color w:val="000000"/>
          <w:sz w:val="28"/>
        </w:rPr>
        <w:t>Масштабирование эффективных моделей через систему координации и центры лучших практик</w:t>
      </w:r>
    </w:p>
    <w:bookmarkEnd w:id="344"/>
    <w:bookmarkStart w:name="z367" w:id="345"/>
    <w:p>
      <w:pPr>
        <w:spacing w:after="0"/>
        <w:ind w:left="0"/>
        <w:jc w:val="both"/>
      </w:pPr>
      <w:r>
        <w:rPr>
          <w:rFonts w:ascii="Times New Roman"/>
          <w:b w:val="false"/>
          <w:i w:val="false"/>
          <w:color w:val="000000"/>
          <w:sz w:val="28"/>
        </w:rPr>
        <w:t>
      Объединение стран ВОЗ на площадке коалиции по ПМСП для распространения эффективных моделей и лучших практик при лидерстве Казахстана в секретариате коалиции.</w:t>
      </w:r>
    </w:p>
    <w:bookmarkEnd w:id="345"/>
    <w:bookmarkStart w:name="z368" w:id="346"/>
    <w:p>
      <w:pPr>
        <w:spacing w:after="0"/>
        <w:ind w:left="0"/>
        <w:jc w:val="both"/>
      </w:pPr>
      <w:r>
        <w:rPr>
          <w:rFonts w:ascii="Times New Roman"/>
          <w:b w:val="false"/>
          <w:i w:val="false"/>
          <w:color w:val="000000"/>
          <w:sz w:val="28"/>
        </w:rPr>
        <w:t xml:space="preserve">
      </w:t>
      </w:r>
      <w:r>
        <w:rPr>
          <w:rFonts w:ascii="Times New Roman"/>
          <w:b w:val="false"/>
          <w:i/>
          <w:color w:val="000000"/>
          <w:sz w:val="28"/>
        </w:rPr>
        <w:t>Усиление координирующей роли ПМСП в маршрутизации пациентов и предоставлении услуг</w:t>
      </w:r>
    </w:p>
    <w:bookmarkEnd w:id="346"/>
    <w:bookmarkStart w:name="z369" w:id="347"/>
    <w:p>
      <w:pPr>
        <w:spacing w:after="0"/>
        <w:ind w:left="0"/>
        <w:jc w:val="both"/>
      </w:pPr>
      <w:r>
        <w:rPr>
          <w:rFonts w:ascii="Times New Roman"/>
          <w:b w:val="false"/>
          <w:i w:val="false"/>
          <w:color w:val="000000"/>
          <w:sz w:val="28"/>
        </w:rPr>
        <w:t>
      Развитие цифровых инструментов для координации и маршрутизации медицинской помощи со стороны ПМСП, в том числе:</w:t>
      </w:r>
      <w:r>
        <w:rPr>
          <w:rFonts w:ascii="Times New Roman"/>
          <w:b w:val="false"/>
          <w:i w:val="false"/>
          <w:strike/>
          <w:color w:val="000000"/>
          <w:sz w:val="28"/>
        </w:rPr>
        <w:t xml:space="preserve"> </w:t>
      </w:r>
    </w:p>
    <w:bookmarkEnd w:id="347"/>
    <w:bookmarkStart w:name="z370" w:id="348"/>
    <w:p>
      <w:pPr>
        <w:spacing w:after="0"/>
        <w:ind w:left="0"/>
        <w:jc w:val="both"/>
      </w:pPr>
      <w:r>
        <w:rPr>
          <w:rFonts w:ascii="Times New Roman"/>
          <w:b w:val="false"/>
          <w:i w:val="false"/>
          <w:color w:val="000000"/>
          <w:sz w:val="28"/>
        </w:rPr>
        <w:t>
      отслеживание лечения и реабилитации, включая пациентов с хроническими заболеваниями, посредством единого хранилища медицинских данных;</w:t>
      </w:r>
    </w:p>
    <w:bookmarkEnd w:id="348"/>
    <w:bookmarkStart w:name="z371" w:id="349"/>
    <w:p>
      <w:pPr>
        <w:spacing w:after="0"/>
        <w:ind w:left="0"/>
        <w:jc w:val="both"/>
      </w:pPr>
      <w:r>
        <w:rPr>
          <w:rFonts w:ascii="Times New Roman"/>
          <w:b w:val="false"/>
          <w:i w:val="false"/>
          <w:color w:val="000000"/>
          <w:sz w:val="28"/>
        </w:rPr>
        <w:t>
      разработка адаптивных маршрутов для пожилых людей, лиц с ограниченными возможностями и других уязвимых групп.</w:t>
      </w:r>
    </w:p>
    <w:bookmarkEnd w:id="349"/>
    <w:bookmarkStart w:name="z372" w:id="350"/>
    <w:p>
      <w:pPr>
        <w:spacing w:after="0"/>
        <w:ind w:left="0"/>
        <w:jc w:val="both"/>
      </w:pPr>
      <w:r>
        <w:rPr>
          <w:rFonts w:ascii="Times New Roman"/>
          <w:b w:val="false"/>
          <w:i w:val="false"/>
          <w:color w:val="000000"/>
          <w:sz w:val="28"/>
        </w:rPr>
        <w:t xml:space="preserve">
      </w:t>
      </w:r>
      <w:r>
        <w:rPr>
          <w:rFonts w:ascii="Times New Roman"/>
          <w:b w:val="false"/>
          <w:i/>
          <w:color w:val="000000"/>
          <w:sz w:val="28"/>
        </w:rPr>
        <w:t>Повышение качества, доступности и ценностной ориентированности ПМСП</w:t>
      </w:r>
    </w:p>
    <w:bookmarkEnd w:id="350"/>
    <w:bookmarkStart w:name="z373" w:id="351"/>
    <w:p>
      <w:pPr>
        <w:spacing w:after="0"/>
        <w:ind w:left="0"/>
        <w:jc w:val="both"/>
      </w:pPr>
      <w:r>
        <w:rPr>
          <w:rFonts w:ascii="Times New Roman"/>
          <w:b w:val="false"/>
          <w:i w:val="false"/>
          <w:color w:val="000000"/>
          <w:sz w:val="28"/>
        </w:rPr>
        <w:t>
      Для развития человекоориентированной первичной помощи для всех групп населения рассмотрена целесообразность внедрения новых позиций, таких как ассистент врача общей практики, способствующих повышению производительности квалифицированного труда врача.</w:t>
      </w:r>
    </w:p>
    <w:bookmarkEnd w:id="351"/>
    <w:bookmarkStart w:name="z374" w:id="352"/>
    <w:p>
      <w:pPr>
        <w:spacing w:after="0"/>
        <w:ind w:left="0"/>
        <w:jc w:val="both"/>
      </w:pPr>
      <w:r>
        <w:rPr>
          <w:rFonts w:ascii="Times New Roman"/>
          <w:b w:val="false"/>
          <w:i w:val="false"/>
          <w:color w:val="000000"/>
          <w:sz w:val="28"/>
        </w:rPr>
        <w:t xml:space="preserve">
      Предусматривается увеличение охвата пациентов в ПУЗ и перечне заболеваний в ПУЗ. </w:t>
      </w:r>
    </w:p>
    <w:bookmarkEnd w:id="352"/>
    <w:bookmarkStart w:name="z375" w:id="353"/>
    <w:p>
      <w:pPr>
        <w:spacing w:after="0"/>
        <w:ind w:left="0"/>
        <w:jc w:val="both"/>
      </w:pPr>
      <w:r>
        <w:rPr>
          <w:rFonts w:ascii="Times New Roman"/>
          <w:b w:val="false"/>
          <w:i w:val="false"/>
          <w:color w:val="000000"/>
          <w:sz w:val="28"/>
        </w:rPr>
        <w:t>
      Развитие центров лучших практик в каждом регионе и трансформация ПМСП на основе масштабирования эффективных, устойчивых и человекоориентированных моделей оказания медицинской помощи.</w:t>
      </w:r>
    </w:p>
    <w:bookmarkEnd w:id="353"/>
    <w:bookmarkStart w:name="z376" w:id="35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Направление 3. </w:t>
      </w:r>
      <w:r>
        <w:rPr>
          <w:rFonts w:ascii="Times New Roman"/>
          <w:b/>
          <w:i w:val="false"/>
          <w:color w:val="000000"/>
          <w:sz w:val="28"/>
        </w:rPr>
        <w:t>Человекоориентированная</w:t>
      </w:r>
      <w:r>
        <w:rPr>
          <w:rFonts w:ascii="Times New Roman"/>
          <w:b/>
          <w:i w:val="false"/>
          <w:color w:val="000000"/>
          <w:sz w:val="28"/>
        </w:rPr>
        <w:t xml:space="preserve"> и доступная медицинская помощь</w:t>
      </w:r>
    </w:p>
    <w:bookmarkEnd w:id="354"/>
    <w:bookmarkStart w:name="z377" w:id="355"/>
    <w:p>
      <w:pPr>
        <w:spacing w:after="0"/>
        <w:ind w:left="0"/>
        <w:jc w:val="both"/>
      </w:pPr>
      <w:r>
        <w:rPr>
          <w:rFonts w:ascii="Times New Roman"/>
          <w:b w:val="false"/>
          <w:i w:val="false"/>
          <w:color w:val="000000"/>
          <w:sz w:val="28"/>
        </w:rPr>
        <w:t>
      устранение географических и социальных барьеров в доступе;</w:t>
      </w:r>
    </w:p>
    <w:bookmarkEnd w:id="355"/>
    <w:bookmarkStart w:name="z378" w:id="356"/>
    <w:p>
      <w:pPr>
        <w:spacing w:after="0"/>
        <w:ind w:left="0"/>
        <w:jc w:val="both"/>
      </w:pPr>
      <w:r>
        <w:rPr>
          <w:rFonts w:ascii="Times New Roman"/>
          <w:b w:val="false"/>
          <w:i w:val="false"/>
          <w:color w:val="000000"/>
          <w:sz w:val="28"/>
        </w:rPr>
        <w:t>
      переход к интегрированному уходу, основанному на нуждах человека;</w:t>
      </w:r>
    </w:p>
    <w:bookmarkEnd w:id="356"/>
    <w:bookmarkStart w:name="z379" w:id="357"/>
    <w:p>
      <w:pPr>
        <w:spacing w:after="0"/>
        <w:ind w:left="0"/>
        <w:jc w:val="both"/>
      </w:pPr>
      <w:r>
        <w:rPr>
          <w:rFonts w:ascii="Times New Roman"/>
          <w:b w:val="false"/>
          <w:i w:val="false"/>
          <w:color w:val="000000"/>
          <w:sz w:val="28"/>
        </w:rPr>
        <w:t>
      развитие культуры доверия и уважительного отношения в системе здравоохранения.</w:t>
      </w:r>
    </w:p>
    <w:bookmarkEnd w:id="357"/>
    <w:bookmarkStart w:name="z380" w:id="358"/>
    <w:p>
      <w:pPr>
        <w:spacing w:after="0"/>
        <w:ind w:left="0"/>
        <w:jc w:val="both"/>
      </w:pPr>
      <w:r>
        <w:rPr>
          <w:rFonts w:ascii="Times New Roman"/>
          <w:b w:val="false"/>
          <w:i w:val="false"/>
          <w:color w:val="000000"/>
          <w:sz w:val="28"/>
        </w:rPr>
        <w:t xml:space="preserve">
      </w:t>
      </w:r>
      <w:r>
        <w:rPr>
          <w:rFonts w:ascii="Times New Roman"/>
          <w:b w:val="false"/>
          <w:i/>
          <w:color w:val="000000"/>
          <w:sz w:val="28"/>
        </w:rPr>
        <w:t>Устранение географических и социальных барьеров доступности</w:t>
      </w:r>
    </w:p>
    <w:bookmarkEnd w:id="358"/>
    <w:bookmarkStart w:name="z381" w:id="359"/>
    <w:p>
      <w:pPr>
        <w:spacing w:after="0"/>
        <w:ind w:left="0"/>
        <w:jc w:val="both"/>
      </w:pPr>
      <w:r>
        <w:rPr>
          <w:rFonts w:ascii="Times New Roman"/>
          <w:b w:val="false"/>
          <w:i w:val="false"/>
          <w:color w:val="000000"/>
          <w:sz w:val="28"/>
        </w:rPr>
        <w:t xml:space="preserve">
      Масштабирование мультидисциплинарного подхода через расширение сети референс-центров и подразделений специализированной медицинской помощи в медицинских организациях. </w:t>
      </w:r>
    </w:p>
    <w:bookmarkEnd w:id="359"/>
    <w:bookmarkStart w:name="z382" w:id="360"/>
    <w:p>
      <w:pPr>
        <w:spacing w:after="0"/>
        <w:ind w:left="0"/>
        <w:jc w:val="both"/>
      </w:pPr>
      <w:r>
        <w:rPr>
          <w:rFonts w:ascii="Times New Roman"/>
          <w:b w:val="false"/>
          <w:i w:val="false"/>
          <w:color w:val="000000"/>
          <w:sz w:val="28"/>
        </w:rPr>
        <w:t>
      Внедрение автоматизированного контроля нарушения сроков "зеленого коридора" при злокачественных новообразованиях и уведомление служб поддержки пациента и органов мониторинга качества.</w:t>
      </w:r>
    </w:p>
    <w:bookmarkEnd w:id="360"/>
    <w:bookmarkStart w:name="z383" w:id="361"/>
    <w:p>
      <w:pPr>
        <w:spacing w:after="0"/>
        <w:ind w:left="0"/>
        <w:jc w:val="both"/>
      </w:pPr>
      <w:r>
        <w:rPr>
          <w:rFonts w:ascii="Times New Roman"/>
          <w:b w:val="false"/>
          <w:i w:val="false"/>
          <w:color w:val="000000"/>
          <w:sz w:val="28"/>
        </w:rPr>
        <w:t>
      Совершенствование службы скорой помощи путем внедрения автоматизированных сквозных индикаторов времени и расширения практики по прямой маршрутизации пациентов в профильные отделения при отдельных заболеваниях, состояниях и травмах.</w:t>
      </w:r>
    </w:p>
    <w:bookmarkEnd w:id="361"/>
    <w:bookmarkStart w:name="z384" w:id="362"/>
    <w:p>
      <w:pPr>
        <w:spacing w:after="0"/>
        <w:ind w:left="0"/>
        <w:jc w:val="both"/>
      </w:pPr>
      <w:r>
        <w:rPr>
          <w:rFonts w:ascii="Times New Roman"/>
          <w:b w:val="false"/>
          <w:i w:val="false"/>
          <w:color w:val="000000"/>
          <w:sz w:val="28"/>
        </w:rPr>
        <w:t>
      Выработка мер по повышению доступности помощи пожилым людям, направленной на сохранение функциональной способности</w:t>
      </w:r>
    </w:p>
    <w:bookmarkEnd w:id="362"/>
    <w:bookmarkStart w:name="z385" w:id="363"/>
    <w:p>
      <w:pPr>
        <w:spacing w:after="0"/>
        <w:ind w:left="0"/>
        <w:jc w:val="both"/>
      </w:pPr>
      <w:r>
        <w:rPr>
          <w:rFonts w:ascii="Times New Roman"/>
          <w:b w:val="false"/>
          <w:i w:val="false"/>
          <w:color w:val="000000"/>
          <w:sz w:val="28"/>
        </w:rPr>
        <w:t xml:space="preserve">
      </w:t>
      </w:r>
      <w:r>
        <w:rPr>
          <w:rFonts w:ascii="Times New Roman"/>
          <w:b w:val="false"/>
          <w:i/>
          <w:color w:val="000000"/>
          <w:sz w:val="28"/>
        </w:rPr>
        <w:t>Переход к интегрированному уходу, основанному на нуждах человека</w:t>
      </w:r>
    </w:p>
    <w:bookmarkEnd w:id="363"/>
    <w:bookmarkStart w:name="z386" w:id="364"/>
    <w:p>
      <w:pPr>
        <w:spacing w:after="0"/>
        <w:ind w:left="0"/>
        <w:jc w:val="both"/>
      </w:pPr>
      <w:r>
        <w:rPr>
          <w:rFonts w:ascii="Times New Roman"/>
          <w:b w:val="false"/>
          <w:i w:val="false"/>
          <w:color w:val="000000"/>
          <w:sz w:val="28"/>
        </w:rPr>
        <w:t>
      Будут продолжены профилактические мероприятия по сдерживанию ВИЧ-инфекции в концентрированной стадии.</w:t>
      </w:r>
    </w:p>
    <w:bookmarkEnd w:id="364"/>
    <w:bookmarkStart w:name="z387" w:id="365"/>
    <w:p>
      <w:pPr>
        <w:spacing w:after="0"/>
        <w:ind w:left="0"/>
        <w:jc w:val="both"/>
      </w:pPr>
      <w:r>
        <w:rPr>
          <w:rFonts w:ascii="Times New Roman"/>
          <w:b w:val="false"/>
          <w:i w:val="false"/>
          <w:color w:val="000000"/>
          <w:sz w:val="28"/>
        </w:rPr>
        <w:t>
      Достижение цели 95-95-95 Глобальной стратегии до 2030 года.</w:t>
      </w:r>
    </w:p>
    <w:bookmarkEnd w:id="365"/>
    <w:bookmarkStart w:name="z388" w:id="366"/>
    <w:p>
      <w:pPr>
        <w:spacing w:after="0"/>
        <w:ind w:left="0"/>
        <w:jc w:val="both"/>
      </w:pPr>
      <w:r>
        <w:rPr>
          <w:rFonts w:ascii="Times New Roman"/>
          <w:b w:val="false"/>
          <w:i w:val="false"/>
          <w:color w:val="000000"/>
          <w:sz w:val="28"/>
        </w:rPr>
        <w:t>
      Медицинская помощь при ВИЧ будет направлена на внедрение персонализированного подхода при назначении антиретровирусной терапии (далее – АРВ) с учетом генотипической резистентности и носительства аллели HLA B*5701, автоматическое планирование потребностей в АРВ на базе электронного слежения за случаями ВИЧ, обеспечение эффективной профилактики передачи ВИЧ от матери ребенку через интеграцию ВИЧ-сервисов в структуру охраны материнства и детства, охват беременных 100 % тестированием на ВИЧ, немедленное начало терапии и молекулярная диагностика новорожденных, предоставление детских смесей и исключение грудного вскармливания при отсутствии вирусной супрессии.</w:t>
      </w:r>
    </w:p>
    <w:bookmarkEnd w:id="366"/>
    <w:bookmarkStart w:name="z389" w:id="367"/>
    <w:p>
      <w:pPr>
        <w:spacing w:after="0"/>
        <w:ind w:left="0"/>
        <w:jc w:val="both"/>
      </w:pPr>
      <w:r>
        <w:rPr>
          <w:rFonts w:ascii="Times New Roman"/>
          <w:b w:val="false"/>
          <w:i w:val="false"/>
          <w:color w:val="000000"/>
          <w:sz w:val="28"/>
        </w:rPr>
        <w:t>
      Проработка вопроса совершенствования медицинской помощи лицам, содержащимся в учреждениях уголовно-исполнительной системы, путем открытия круглосуточных стационаров/коек при учреждениях уголовно-исполнительной системы (далее – УУИС), обеспечения лиц, содержащихся в УУИС, психологической помощью и экстренной стоматологической помощью в соответствии с минимальными стандартами и правилами обращения с заключенными, оцифровки медицинских данных по лицам, содержащимся в УУИС.</w:t>
      </w:r>
    </w:p>
    <w:bookmarkEnd w:id="367"/>
    <w:bookmarkStart w:name="z390" w:id="368"/>
    <w:p>
      <w:pPr>
        <w:spacing w:after="0"/>
        <w:ind w:left="0"/>
        <w:jc w:val="both"/>
      </w:pPr>
      <w:r>
        <w:rPr>
          <w:rFonts w:ascii="Times New Roman"/>
          <w:b w:val="false"/>
          <w:i w:val="false"/>
          <w:color w:val="000000"/>
          <w:sz w:val="28"/>
        </w:rPr>
        <w:t>
      Реабилитационные услуги для граждан будут ориентированы на реализацию реабилитационного потенциала на всех уровнях оказания медицинской помощи, будут проработаны вопросы внедрения инструментов по цифровизации службы медицинской реабилитации.</w:t>
      </w:r>
    </w:p>
    <w:bookmarkEnd w:id="368"/>
    <w:bookmarkStart w:name="z391" w:id="369"/>
    <w:p>
      <w:pPr>
        <w:spacing w:after="0"/>
        <w:ind w:left="0"/>
        <w:jc w:val="both"/>
      </w:pPr>
      <w:r>
        <w:rPr>
          <w:rFonts w:ascii="Times New Roman"/>
          <w:b w:val="false"/>
          <w:i w:val="false"/>
          <w:color w:val="000000"/>
          <w:sz w:val="28"/>
        </w:rPr>
        <w:t>
      Будут продолжены мероприятия для обеспечения медицинской помощи пациентам с орфанными заболеваниями.</w:t>
      </w:r>
    </w:p>
    <w:bookmarkEnd w:id="369"/>
    <w:bookmarkStart w:name="z392" w:id="370"/>
    <w:p>
      <w:pPr>
        <w:spacing w:after="0"/>
        <w:ind w:left="0"/>
        <w:jc w:val="both"/>
      </w:pPr>
      <w:r>
        <w:rPr>
          <w:rFonts w:ascii="Times New Roman"/>
          <w:b w:val="false"/>
          <w:i w:val="false"/>
          <w:color w:val="000000"/>
          <w:sz w:val="28"/>
        </w:rPr>
        <w:t>
      Для развития медицинского туризма в стране предусматриваются открытие отделов по медицинскому туризму в научно-исследовательских институтах (далее – НИИ), научных центрах (далее – НЦ) и продвижение бренда отрасли здравоохранения Казахстана на международных площадках.</w:t>
      </w:r>
    </w:p>
    <w:bookmarkEnd w:id="370"/>
    <w:bookmarkStart w:name="z393" w:id="371"/>
    <w:p>
      <w:pPr>
        <w:spacing w:after="0"/>
        <w:ind w:left="0"/>
        <w:jc w:val="both"/>
      </w:pPr>
      <w:r>
        <w:rPr>
          <w:rFonts w:ascii="Times New Roman"/>
          <w:b w:val="false"/>
          <w:i w:val="false"/>
          <w:color w:val="000000"/>
          <w:sz w:val="28"/>
        </w:rPr>
        <w:t>
      Развитие санаторно-курортной отрасли.</w:t>
      </w:r>
    </w:p>
    <w:bookmarkEnd w:id="371"/>
    <w:bookmarkStart w:name="z394" w:id="372"/>
    <w:p>
      <w:pPr>
        <w:spacing w:after="0"/>
        <w:ind w:left="0"/>
        <w:jc w:val="both"/>
      </w:pPr>
      <w:r>
        <w:rPr>
          <w:rFonts w:ascii="Times New Roman"/>
          <w:b w:val="false"/>
          <w:i w:val="false"/>
          <w:color w:val="000000"/>
          <w:sz w:val="28"/>
        </w:rPr>
        <w:t>
      Проработка возможности использования передвижных стационаров для повышения доступности медицинской помощи в отдаленных и труднодоступных регионах.</w:t>
      </w:r>
    </w:p>
    <w:bookmarkEnd w:id="372"/>
    <w:bookmarkStart w:name="z395" w:id="373"/>
    <w:p>
      <w:pPr>
        <w:spacing w:after="0"/>
        <w:ind w:left="0"/>
        <w:jc w:val="both"/>
      </w:pPr>
      <w:r>
        <w:rPr>
          <w:rFonts w:ascii="Times New Roman"/>
          <w:b w:val="false"/>
          <w:i w:val="false"/>
          <w:color w:val="000000"/>
          <w:sz w:val="28"/>
        </w:rPr>
        <w:t xml:space="preserve">
      </w:t>
      </w:r>
      <w:r>
        <w:rPr>
          <w:rFonts w:ascii="Times New Roman"/>
          <w:b w:val="false"/>
          <w:i/>
          <w:color w:val="000000"/>
          <w:sz w:val="28"/>
        </w:rPr>
        <w:t>Повышение доверия к системе здравоохранения – прозрачность, подотчетность и защита прав пациентов</w:t>
      </w:r>
    </w:p>
    <w:bookmarkEnd w:id="373"/>
    <w:bookmarkStart w:name="z396" w:id="374"/>
    <w:p>
      <w:pPr>
        <w:spacing w:after="0"/>
        <w:ind w:left="0"/>
        <w:jc w:val="both"/>
      </w:pPr>
      <w:r>
        <w:rPr>
          <w:rFonts w:ascii="Times New Roman"/>
          <w:b w:val="false"/>
          <w:i w:val="false"/>
          <w:color w:val="000000"/>
          <w:sz w:val="28"/>
        </w:rPr>
        <w:t>
      В целях обеспечения совершенствования методологических подходов по формированию, мониторингу и оценке качества медицинской помощи, координации и развитию профессионального сообщества "экспертов качества", базы знаний экспертизы медицинской помощи, аудита процессов, и обмена опытом будет рассмотрен вопрос по созданию национального института по качеству медицинской помощи.</w:t>
      </w:r>
    </w:p>
    <w:bookmarkEnd w:id="374"/>
    <w:bookmarkStart w:name="z397" w:id="375"/>
    <w:p>
      <w:pPr>
        <w:spacing w:after="0"/>
        <w:ind w:left="0"/>
        <w:jc w:val="both"/>
      </w:pPr>
      <w:r>
        <w:rPr>
          <w:rFonts w:ascii="Times New Roman"/>
          <w:b w:val="false"/>
          <w:i w:val="false"/>
          <w:color w:val="000000"/>
          <w:sz w:val="28"/>
        </w:rPr>
        <w:t>
      Предполагается поэтапный переход от контрольно-надзорной модели ("наказание за отклонения") к модели системных улучшений во всех организациях здравоохранения, включая внедрение внутреннего управления рисками и инцидентами, выявление угроз, предотвращение критических, почти произошедших событий, формирование среды обучения, основанной на выявлении системных причин, а не на наказании отдельных лиц; переход на корректировку процессов, вовлеченность пациентов и поставщиков, эффективное функционирование служб внутренней экспертизы и культуру непрерывного повышения качества; усиление механизмов поддерживающей курации как инструмента развития "некарательной" культуры.</w:t>
      </w:r>
    </w:p>
    <w:bookmarkEnd w:id="375"/>
    <w:bookmarkStart w:name="z398" w:id="376"/>
    <w:p>
      <w:pPr>
        <w:spacing w:after="0"/>
        <w:ind w:left="0"/>
        <w:jc w:val="both"/>
      </w:pPr>
      <w:r>
        <w:rPr>
          <w:rFonts w:ascii="Times New Roman"/>
          <w:b w:val="false"/>
          <w:i w:val="false"/>
          <w:color w:val="000000"/>
          <w:sz w:val="28"/>
        </w:rPr>
        <w:t>
      Акцент будет сделан на развитие нормативного регулирования вопросов качества и административных процедур: создание безопасных условий труда для медицинских работников, правовое разграничение медицинских ошибок, халатности и умышленных нарушений, создание правовых основ доверительной среды по обсуждению и устранению системных причин ошибок.</w:t>
      </w:r>
    </w:p>
    <w:bookmarkEnd w:id="376"/>
    <w:bookmarkStart w:name="z399" w:id="377"/>
    <w:p>
      <w:pPr>
        <w:spacing w:after="0"/>
        <w:ind w:left="0"/>
        <w:jc w:val="both"/>
      </w:pPr>
      <w:r>
        <w:rPr>
          <w:rFonts w:ascii="Times New Roman"/>
          <w:b w:val="false"/>
          <w:i w:val="false"/>
          <w:color w:val="000000"/>
          <w:sz w:val="28"/>
        </w:rPr>
        <w:t>
      Будет сформирован механизм вовлечения пациентов и их представителей в оценку качества и безопасности помощи через: проведение регулярных опросов, в том числе через инструменты обратной связи, участие пациентов в консультативных советах, информирование и обучение пациентов и членов их семей вопросам безопасности медицинских услуг, в работу по улучшению сервиса.</w:t>
      </w:r>
    </w:p>
    <w:bookmarkEnd w:id="377"/>
    <w:bookmarkStart w:name="z400" w:id="378"/>
    <w:p>
      <w:pPr>
        <w:spacing w:after="0"/>
        <w:ind w:left="0"/>
        <w:jc w:val="both"/>
      </w:pPr>
      <w:r>
        <w:rPr>
          <w:rFonts w:ascii="Times New Roman"/>
          <w:b w:val="false"/>
          <w:i w:val="false"/>
          <w:color w:val="000000"/>
          <w:sz w:val="28"/>
        </w:rPr>
        <w:t>
      Развитие системы управления качеством будет ориентироваться на усиление механизмов раннего выявления системных отклонений и оценки системных рисков путем создания национальной системы мониторинга индикаторов качества и безопасности медицинской помощи, использование данных и принятие стратегических решений на уровне организаций здравоохранения, регионов и страны, повышение аналитического потенциала экспертов по качеству, обучение и подготовку экспертов-аналитиков по качеству в регионах.</w:t>
      </w:r>
    </w:p>
    <w:bookmarkEnd w:id="378"/>
    <w:bookmarkStart w:name="z401" w:id="379"/>
    <w:p>
      <w:pPr>
        <w:spacing w:after="0"/>
        <w:ind w:left="0"/>
        <w:jc w:val="both"/>
      </w:pPr>
      <w:r>
        <w:rPr>
          <w:rFonts w:ascii="Times New Roman"/>
          <w:b w:val="false"/>
          <w:i w:val="false"/>
          <w:color w:val="000000"/>
          <w:sz w:val="28"/>
        </w:rPr>
        <w:t>
      Для обеспечения пациенториентированности службы поддержки пациентов (далее – СПП) и устранения конфликта интересов при совмещении с функциями внутренней экспертизы качества в медицинских организациях предусматриваются разъединение в медицинских организациях в два самостоятельных структурных подразделения: отделение (служба) поддержки пациентов и отделение (служба) внутренней экспертизы (далее – СВЭ) с отдельным штатом и функционалом, выведение двух подразделений (СПП и СВЭ) из подчинения исполнительному руководству в подотчетность органу управления медицинской организации, расширение полномочий и ответственности руководителей и сотрудников подразделений СПП и СВЭ с отражением в условиях оплаты и премирования, дополнительно к функционирующему единому контакт центру 1414 создание единой сети телефонов доверия СПП медицинских организаций, которая обеспечит гражданам реальную доступность представителей СПП по вопросам, которые решаются на уровне медицинской организации.</w:t>
      </w:r>
    </w:p>
    <w:bookmarkEnd w:id="379"/>
    <w:bookmarkStart w:name="z402" w:id="380"/>
    <w:p>
      <w:pPr>
        <w:spacing w:after="0"/>
        <w:ind w:left="0"/>
        <w:jc w:val="both"/>
      </w:pPr>
      <w:r>
        <w:rPr>
          <w:rFonts w:ascii="Times New Roman"/>
          <w:b w:val="false"/>
          <w:i w:val="false"/>
          <w:color w:val="000000"/>
          <w:sz w:val="28"/>
        </w:rPr>
        <w:t>
      Расширение охвата аккредитацией специализированных направлений здравоохранения и актуализация стандартов аккредитации путем совершенствования методологии аккредитации медицинских организаций с учетом восприятия качества с позиции пациента, внедрение обязательной аккредитации для поставщиков ГОБМП и ОСМС, мониторинг деятельности организаций, аккредитующих медицинские организации.</w:t>
      </w:r>
    </w:p>
    <w:bookmarkEnd w:id="380"/>
    <w:bookmarkStart w:name="z403" w:id="381"/>
    <w:p>
      <w:pPr>
        <w:spacing w:after="0"/>
        <w:ind w:left="0"/>
        <w:jc w:val="both"/>
      </w:pPr>
      <w:r>
        <w:rPr>
          <w:rFonts w:ascii="Times New Roman"/>
          <w:b w:val="false"/>
          <w:i w:val="false"/>
          <w:color w:val="000000"/>
          <w:sz w:val="28"/>
        </w:rPr>
        <w:t>
      Планируется обеспечение устойчивого внедрения института страхования профессиональной ответственности медицинских работников как ключевого элемента повышения безопасности пациентов.</w:t>
      </w:r>
    </w:p>
    <w:bookmarkEnd w:id="381"/>
    <w:bookmarkStart w:name="z404" w:id="382"/>
    <w:p>
      <w:pPr>
        <w:spacing w:after="0"/>
        <w:ind w:left="0"/>
        <w:jc w:val="both"/>
      </w:pPr>
      <w:r>
        <w:rPr>
          <w:rFonts w:ascii="Times New Roman"/>
          <w:b w:val="false"/>
          <w:i w:val="false"/>
          <w:color w:val="000000"/>
          <w:sz w:val="28"/>
        </w:rPr>
        <w:t>
      Будет инициирована актуализация нормативной правовой базы, включая подходы к привлечению экспертов и специалистов с оплатой их услуг за счет средств страхового пула, формируемого за счет обязательных взносов субъектов здравоохранения, что направлено на обеспечение полноценного функционирования института.</w:t>
      </w:r>
    </w:p>
    <w:bookmarkEnd w:id="382"/>
    <w:bookmarkStart w:name="z405" w:id="383"/>
    <w:p>
      <w:pPr>
        <w:spacing w:after="0"/>
        <w:ind w:left="0"/>
        <w:jc w:val="both"/>
      </w:pPr>
      <w:r>
        <w:rPr>
          <w:rFonts w:ascii="Times New Roman"/>
          <w:b w:val="false"/>
          <w:i w:val="false"/>
          <w:color w:val="000000"/>
          <w:sz w:val="28"/>
        </w:rPr>
        <w:t>
      Совершенствование госпитального сервиса в медицинских организациях.</w:t>
      </w:r>
    </w:p>
    <w:bookmarkEnd w:id="383"/>
    <w:bookmarkStart w:name="z406" w:id="384"/>
    <w:p>
      <w:pPr>
        <w:spacing w:after="0"/>
        <w:ind w:left="0"/>
        <w:jc w:val="both"/>
      </w:pPr>
      <w:r>
        <w:rPr>
          <w:rFonts w:ascii="Times New Roman"/>
          <w:b w:val="false"/>
          <w:i w:val="false"/>
          <w:color w:val="000000"/>
          <w:sz w:val="28"/>
        </w:rPr>
        <w:t xml:space="preserve">
      </w:t>
      </w:r>
      <w:r>
        <w:rPr>
          <w:rFonts w:ascii="Times New Roman"/>
          <w:b/>
          <w:i w:val="false"/>
          <w:color w:val="000000"/>
          <w:sz w:val="28"/>
        </w:rPr>
        <w:t>Направление 4. Семейное благополучие – новый стратегический ориентир</w:t>
      </w:r>
      <w:r>
        <w:rPr>
          <w:rFonts w:ascii="Times New Roman"/>
          <w:b/>
          <w:i w:val="false"/>
          <w:color w:val="000000"/>
          <w:sz w:val="28"/>
        </w:rPr>
        <w:t>:</w:t>
      </w:r>
    </w:p>
    <w:bookmarkEnd w:id="384"/>
    <w:bookmarkStart w:name="z407" w:id="385"/>
    <w:p>
      <w:pPr>
        <w:spacing w:after="0"/>
        <w:ind w:left="0"/>
        <w:jc w:val="both"/>
      </w:pPr>
      <w:r>
        <w:rPr>
          <w:rFonts w:ascii="Times New Roman"/>
          <w:b w:val="false"/>
          <w:i w:val="false"/>
          <w:color w:val="000000"/>
          <w:sz w:val="28"/>
        </w:rPr>
        <w:t>
      комплексная поддержка формирования и развития здоровой семьи;</w:t>
      </w:r>
    </w:p>
    <w:bookmarkEnd w:id="385"/>
    <w:bookmarkStart w:name="z408" w:id="386"/>
    <w:p>
      <w:pPr>
        <w:spacing w:after="0"/>
        <w:ind w:left="0"/>
        <w:jc w:val="both"/>
      </w:pPr>
      <w:r>
        <w:rPr>
          <w:rFonts w:ascii="Times New Roman"/>
          <w:b w:val="false"/>
          <w:i w:val="false"/>
          <w:color w:val="000000"/>
          <w:sz w:val="28"/>
        </w:rPr>
        <w:t>
      обеспечение права каждого ребенка на здоровое и благополучное детство;</w:t>
      </w:r>
    </w:p>
    <w:bookmarkEnd w:id="386"/>
    <w:bookmarkStart w:name="z409" w:id="387"/>
    <w:p>
      <w:pPr>
        <w:spacing w:after="0"/>
        <w:ind w:left="0"/>
        <w:jc w:val="both"/>
      </w:pPr>
      <w:r>
        <w:rPr>
          <w:rFonts w:ascii="Times New Roman"/>
          <w:b w:val="false"/>
          <w:i w:val="false"/>
          <w:color w:val="000000"/>
          <w:sz w:val="28"/>
        </w:rPr>
        <w:t>
      создание поддерживающей среды, способствующей гармоничному, здоровому, защищенному развитию детей и подростков.</w:t>
      </w:r>
    </w:p>
    <w:bookmarkEnd w:id="387"/>
    <w:bookmarkStart w:name="z410" w:id="388"/>
    <w:p>
      <w:pPr>
        <w:spacing w:after="0"/>
        <w:ind w:left="0"/>
        <w:jc w:val="both"/>
      </w:pPr>
      <w:r>
        <w:rPr>
          <w:rFonts w:ascii="Times New Roman"/>
          <w:b w:val="false"/>
          <w:i w:val="false"/>
          <w:color w:val="000000"/>
          <w:sz w:val="28"/>
        </w:rPr>
        <w:t xml:space="preserve">
      </w:t>
      </w:r>
      <w:r>
        <w:rPr>
          <w:rFonts w:ascii="Times New Roman"/>
          <w:b w:val="false"/>
          <w:i/>
          <w:color w:val="000000"/>
          <w:sz w:val="28"/>
        </w:rPr>
        <w:t>Комплексная поддержка формирования и развития здоровой семьи</w:t>
      </w:r>
    </w:p>
    <w:bookmarkEnd w:id="388"/>
    <w:bookmarkStart w:name="z411" w:id="389"/>
    <w:p>
      <w:pPr>
        <w:spacing w:after="0"/>
        <w:ind w:left="0"/>
        <w:jc w:val="both"/>
      </w:pPr>
      <w:r>
        <w:rPr>
          <w:rFonts w:ascii="Times New Roman"/>
          <w:b w:val="false"/>
          <w:i w:val="false"/>
          <w:color w:val="000000"/>
          <w:sz w:val="28"/>
        </w:rPr>
        <w:t>
      Для внедрения лучших международных подходов в защиту здоровья семьи и репродуктивного благополучия будет продолжено партнерство с Фондом Организации Объединенных Наций в области народонаселения (UNPFA), Детским фондом Организации Объединенных Наций (UNICEF), ВОЗ и другими организациями.</w:t>
      </w:r>
    </w:p>
    <w:bookmarkEnd w:id="389"/>
    <w:bookmarkStart w:name="z412" w:id="390"/>
    <w:p>
      <w:pPr>
        <w:spacing w:after="0"/>
        <w:ind w:left="0"/>
        <w:jc w:val="both"/>
      </w:pPr>
      <w:r>
        <w:rPr>
          <w:rFonts w:ascii="Times New Roman"/>
          <w:b w:val="false"/>
          <w:i w:val="false"/>
          <w:color w:val="000000"/>
          <w:sz w:val="28"/>
        </w:rPr>
        <w:t>
      С целью повышения ответственности семьи за рождение здорового ребенка будет совершенствоваться работа по планированию семьи, повышению доступности достоверной информации и безопасному доступу к контрацепции.</w:t>
      </w:r>
    </w:p>
    <w:bookmarkEnd w:id="390"/>
    <w:bookmarkStart w:name="z413" w:id="391"/>
    <w:p>
      <w:pPr>
        <w:spacing w:after="0"/>
        <w:ind w:left="0"/>
        <w:jc w:val="both"/>
      </w:pPr>
      <w:r>
        <w:rPr>
          <w:rFonts w:ascii="Times New Roman"/>
          <w:b w:val="false"/>
          <w:i w:val="false"/>
          <w:color w:val="000000"/>
          <w:sz w:val="28"/>
        </w:rPr>
        <w:t>
      В рамках работы по цифровизации медицинских услуг будет реализован проект "Паспорт здоровья беременной женщины" по переводу обменной карты беременных женщин в электронный формат.</w:t>
      </w:r>
    </w:p>
    <w:bookmarkEnd w:id="391"/>
    <w:bookmarkStart w:name="z414" w:id="392"/>
    <w:p>
      <w:pPr>
        <w:spacing w:after="0"/>
        <w:ind w:left="0"/>
        <w:jc w:val="both"/>
      </w:pPr>
      <w:r>
        <w:rPr>
          <w:rFonts w:ascii="Times New Roman"/>
          <w:b w:val="false"/>
          <w:i w:val="false"/>
          <w:color w:val="000000"/>
          <w:sz w:val="28"/>
        </w:rPr>
        <w:t>
      В целях улучшения доступности медицинской помощи беременным и послеродовым женщинам, обеспечения безопасности на уровне ПМСП будут организованы женские консультации с отдельной регистратурой, процедурным кабинетом и кабинетами для специализированного приема, в которых будут определены отдельные терапевты и психологи для беременных.</w:t>
      </w:r>
    </w:p>
    <w:bookmarkEnd w:id="392"/>
    <w:bookmarkStart w:name="z415" w:id="393"/>
    <w:p>
      <w:pPr>
        <w:spacing w:after="0"/>
        <w:ind w:left="0"/>
        <w:jc w:val="both"/>
      </w:pPr>
      <w:r>
        <w:rPr>
          <w:rFonts w:ascii="Times New Roman"/>
          <w:b w:val="false"/>
          <w:i w:val="false"/>
          <w:color w:val="000000"/>
          <w:sz w:val="28"/>
        </w:rPr>
        <w:t>
      В целях сохранения ментального здоровья женщин в послеродовом периоде и профилактики депрессии необходимо усилить работу психологов родовспомогательных организаций с акцентом на проактивные меры по обеспечению психоэмоционального благополучия.</w:t>
      </w:r>
    </w:p>
    <w:bookmarkEnd w:id="393"/>
    <w:bookmarkStart w:name="z416" w:id="394"/>
    <w:p>
      <w:pPr>
        <w:spacing w:after="0"/>
        <w:ind w:left="0"/>
        <w:jc w:val="both"/>
      </w:pPr>
      <w:r>
        <w:rPr>
          <w:rFonts w:ascii="Times New Roman"/>
          <w:b w:val="false"/>
          <w:i w:val="false"/>
          <w:color w:val="000000"/>
          <w:sz w:val="28"/>
        </w:rPr>
        <w:t>
      В родовспомогательных организациях будут организованы консультации социальных работников в родовспомогательных организациях для своевременной оценки социальных рисков, профилактики отказов от новорожденных, в том числе в случае рождения ребенка с заболеваниями или ограниченными возможностями, с разъяснением мер государственной поддержки и доступных социальных услуг.</w:t>
      </w:r>
    </w:p>
    <w:bookmarkEnd w:id="394"/>
    <w:bookmarkStart w:name="z417" w:id="395"/>
    <w:p>
      <w:pPr>
        <w:spacing w:after="0"/>
        <w:ind w:left="0"/>
        <w:jc w:val="both"/>
      </w:pPr>
      <w:r>
        <w:rPr>
          <w:rFonts w:ascii="Times New Roman"/>
          <w:b w:val="false"/>
          <w:i w:val="false"/>
          <w:color w:val="000000"/>
          <w:sz w:val="28"/>
        </w:rPr>
        <w:t>
      В целях укрепления здоровья будущих родителей и рождения здорового ребенка будут масштабно реализованы меры по охвату прегравидарной подготовкой и дородовым наблюдением.</w:t>
      </w:r>
    </w:p>
    <w:bookmarkEnd w:id="395"/>
    <w:bookmarkStart w:name="z418" w:id="396"/>
    <w:p>
      <w:pPr>
        <w:spacing w:after="0"/>
        <w:ind w:left="0"/>
        <w:jc w:val="both"/>
      </w:pPr>
      <w:r>
        <w:rPr>
          <w:rFonts w:ascii="Times New Roman"/>
          <w:b w:val="false"/>
          <w:i w:val="false"/>
          <w:color w:val="000000"/>
          <w:sz w:val="28"/>
        </w:rPr>
        <w:t xml:space="preserve">
      Проактивное определение маршрута беременной с учетом индивидуальных рисков и доступности медицинской инфраструктуры. </w:t>
      </w:r>
    </w:p>
    <w:bookmarkEnd w:id="396"/>
    <w:bookmarkStart w:name="z419" w:id="397"/>
    <w:p>
      <w:pPr>
        <w:spacing w:after="0"/>
        <w:ind w:left="0"/>
        <w:jc w:val="both"/>
      </w:pPr>
      <w:r>
        <w:rPr>
          <w:rFonts w:ascii="Times New Roman"/>
          <w:b w:val="false"/>
          <w:i w:val="false"/>
          <w:color w:val="000000"/>
          <w:sz w:val="28"/>
        </w:rPr>
        <w:t>
      Для устранения барьеров в доступе к помощи беременным женщинам из географическо-отдаленных районов будет проведен анализ логистических барьеров.</w:t>
      </w:r>
    </w:p>
    <w:bookmarkEnd w:id="397"/>
    <w:bookmarkStart w:name="z420" w:id="398"/>
    <w:p>
      <w:pPr>
        <w:spacing w:after="0"/>
        <w:ind w:left="0"/>
        <w:jc w:val="both"/>
      </w:pPr>
      <w:r>
        <w:rPr>
          <w:rFonts w:ascii="Times New Roman"/>
          <w:b w:val="false"/>
          <w:i w:val="false"/>
          <w:color w:val="000000"/>
          <w:sz w:val="28"/>
        </w:rPr>
        <w:t>
      В целях обеспечения специализированной медицинской помощи и условий пребывания беременных группы высокого риска из отдаленной сельской местности до родов будет прорабатываться вопрос строительства за счет средств местного бюджета мест временного пребывания "Здоровая мама" на территории областных перинатальных центров.</w:t>
      </w:r>
    </w:p>
    <w:bookmarkEnd w:id="398"/>
    <w:bookmarkStart w:name="z421" w:id="399"/>
    <w:p>
      <w:pPr>
        <w:spacing w:after="0"/>
        <w:ind w:left="0"/>
        <w:jc w:val="both"/>
      </w:pPr>
      <w:r>
        <w:rPr>
          <w:rFonts w:ascii="Times New Roman"/>
          <w:b w:val="false"/>
          <w:i w:val="false"/>
          <w:color w:val="000000"/>
          <w:sz w:val="28"/>
        </w:rPr>
        <w:t>
      Повышение безопасности родов и снижение материнских рисков за счет реализации мер по снижению акушерских рисков.</w:t>
      </w:r>
    </w:p>
    <w:bookmarkEnd w:id="399"/>
    <w:bookmarkStart w:name="z422" w:id="400"/>
    <w:p>
      <w:pPr>
        <w:spacing w:after="0"/>
        <w:ind w:left="0"/>
        <w:jc w:val="both"/>
      </w:pPr>
      <w:r>
        <w:rPr>
          <w:rFonts w:ascii="Times New Roman"/>
          <w:b w:val="false"/>
          <w:i w:val="false"/>
          <w:color w:val="000000"/>
          <w:sz w:val="28"/>
        </w:rPr>
        <w:t>
      В рамках реновации областных перинатальных центров будет продолжено развитие региональных центров передового опыта родовспоможения, включая практико-ориентированное обучение, и тренинговых площадок для специалистов.</w:t>
      </w:r>
    </w:p>
    <w:bookmarkEnd w:id="400"/>
    <w:bookmarkStart w:name="z423" w:id="401"/>
    <w:p>
      <w:pPr>
        <w:spacing w:after="0"/>
        <w:ind w:left="0"/>
        <w:jc w:val="both"/>
      </w:pPr>
      <w:r>
        <w:rPr>
          <w:rFonts w:ascii="Times New Roman"/>
          <w:b w:val="false"/>
          <w:i w:val="false"/>
          <w:color w:val="000000"/>
          <w:sz w:val="28"/>
        </w:rPr>
        <w:t>
      Расширение применения современных, безопасных и экономически эффективных технологий пренатального скрининга.</w:t>
      </w:r>
    </w:p>
    <w:bookmarkEnd w:id="401"/>
    <w:bookmarkStart w:name="z424" w:id="402"/>
    <w:p>
      <w:pPr>
        <w:spacing w:after="0"/>
        <w:ind w:left="0"/>
        <w:jc w:val="both"/>
      </w:pPr>
      <w:r>
        <w:rPr>
          <w:rFonts w:ascii="Times New Roman"/>
          <w:b w:val="false"/>
          <w:i w:val="false"/>
          <w:color w:val="000000"/>
          <w:sz w:val="28"/>
        </w:rPr>
        <w:t>
      Дальнейшяя реализация программы "Стоп инфекция в организациях родовспоможения".</w:t>
      </w:r>
    </w:p>
    <w:bookmarkEnd w:id="402"/>
    <w:bookmarkStart w:name="z425" w:id="403"/>
    <w:p>
      <w:pPr>
        <w:spacing w:after="0"/>
        <w:ind w:left="0"/>
        <w:jc w:val="both"/>
      </w:pPr>
      <w:r>
        <w:rPr>
          <w:rFonts w:ascii="Times New Roman"/>
          <w:b w:val="false"/>
          <w:i w:val="false"/>
          <w:color w:val="000000"/>
          <w:sz w:val="28"/>
        </w:rPr>
        <w:t>
      В целях оперативного мониторинга текущего состояния службы родовспоможения и ее ключевых показателей на территориальной единице в реальном режиме будет проработан вопрос организации ситуационных центров в организациях родовспоможения.</w:t>
      </w:r>
    </w:p>
    <w:bookmarkEnd w:id="403"/>
    <w:bookmarkStart w:name="z426" w:id="404"/>
    <w:p>
      <w:pPr>
        <w:spacing w:after="0"/>
        <w:ind w:left="0"/>
        <w:jc w:val="both"/>
      </w:pPr>
      <w:r>
        <w:rPr>
          <w:rFonts w:ascii="Times New Roman"/>
          <w:b w:val="false"/>
          <w:i w:val="false"/>
          <w:color w:val="000000"/>
          <w:sz w:val="28"/>
        </w:rPr>
        <w:t>
      С использованием разработанных индикаторов ситуационного центра улучшится возможность для своевременного принятия управленческих решений, направленных на улучшение оказания помощи женщинам в период беременности, родов и послеродовом периоде, а также перинатальных исходов.</w:t>
      </w:r>
    </w:p>
    <w:bookmarkEnd w:id="404"/>
    <w:bookmarkStart w:name="z427" w:id="405"/>
    <w:p>
      <w:pPr>
        <w:spacing w:after="0"/>
        <w:ind w:left="0"/>
        <w:jc w:val="both"/>
      </w:pPr>
      <w:r>
        <w:rPr>
          <w:rFonts w:ascii="Times New Roman"/>
          <w:b w:val="false"/>
          <w:i w:val="false"/>
          <w:color w:val="000000"/>
          <w:sz w:val="28"/>
        </w:rPr>
        <w:t>
      Также возможность своевременного выявления рисков развития внутрибольничных инфекций в родовспомогательных организациях с использованием цифровых инструментов мониторинга индикаторов инфекционного контроля в Ситуационном центре.</w:t>
      </w:r>
    </w:p>
    <w:bookmarkEnd w:id="405"/>
    <w:bookmarkStart w:name="z428" w:id="406"/>
    <w:p>
      <w:pPr>
        <w:spacing w:after="0"/>
        <w:ind w:left="0"/>
        <w:jc w:val="both"/>
      </w:pPr>
      <w:r>
        <w:rPr>
          <w:rFonts w:ascii="Times New Roman"/>
          <w:b w:val="false"/>
          <w:i w:val="false"/>
          <w:color w:val="000000"/>
          <w:sz w:val="28"/>
        </w:rPr>
        <w:t>
      Реализация мер по предупреждению инфекций, связанных с оказанием помощи, на основе мультимодального подхода.</w:t>
      </w:r>
    </w:p>
    <w:bookmarkEnd w:id="406"/>
    <w:bookmarkStart w:name="z429" w:id="407"/>
    <w:p>
      <w:pPr>
        <w:spacing w:after="0"/>
        <w:ind w:left="0"/>
        <w:jc w:val="both"/>
      </w:pPr>
      <w:r>
        <w:rPr>
          <w:rFonts w:ascii="Times New Roman"/>
          <w:b w:val="false"/>
          <w:i w:val="false"/>
          <w:color w:val="000000"/>
          <w:sz w:val="28"/>
        </w:rPr>
        <w:t>
      Разработка мер по укреплению мужского здоровья.</w:t>
      </w:r>
    </w:p>
    <w:bookmarkEnd w:id="407"/>
    <w:bookmarkStart w:name="z430" w:id="408"/>
    <w:p>
      <w:pPr>
        <w:spacing w:after="0"/>
        <w:ind w:left="0"/>
        <w:jc w:val="both"/>
      </w:pPr>
      <w:r>
        <w:rPr>
          <w:rFonts w:ascii="Times New Roman"/>
          <w:b w:val="false"/>
          <w:i w:val="false"/>
          <w:color w:val="000000"/>
          <w:sz w:val="28"/>
        </w:rPr>
        <w:t xml:space="preserve">
      </w:t>
      </w:r>
      <w:r>
        <w:rPr>
          <w:rFonts w:ascii="Times New Roman"/>
          <w:b w:val="false"/>
          <w:i/>
          <w:color w:val="000000"/>
          <w:sz w:val="28"/>
        </w:rPr>
        <w:t>Обеспечение права каждого реб</w:t>
      </w:r>
      <w:r>
        <w:rPr>
          <w:rFonts w:ascii="Times New Roman"/>
          <w:b w:val="false"/>
          <w:i/>
          <w:color w:val="000000"/>
          <w:sz w:val="28"/>
        </w:rPr>
        <w:t>е</w:t>
      </w:r>
      <w:r>
        <w:rPr>
          <w:rFonts w:ascii="Times New Roman"/>
          <w:b w:val="false"/>
          <w:i/>
          <w:color w:val="000000"/>
          <w:sz w:val="28"/>
        </w:rPr>
        <w:t>нка на здоровое и благополучное детство</w:t>
      </w:r>
    </w:p>
    <w:bookmarkEnd w:id="408"/>
    <w:bookmarkStart w:name="z431" w:id="409"/>
    <w:p>
      <w:pPr>
        <w:spacing w:after="0"/>
        <w:ind w:left="0"/>
        <w:jc w:val="both"/>
      </w:pPr>
      <w:r>
        <w:rPr>
          <w:rFonts w:ascii="Times New Roman"/>
          <w:b w:val="false"/>
          <w:i w:val="false"/>
          <w:color w:val="000000"/>
          <w:sz w:val="28"/>
        </w:rPr>
        <w:t>
      Укомплектование отделений интенсивной терапии новорожденных организаций родовспоможения средними медицинскими работниками с поэтапным доведением до соотношения 1 медсестра на 1 пациента.</w:t>
      </w:r>
    </w:p>
    <w:bookmarkEnd w:id="409"/>
    <w:bookmarkStart w:name="z432" w:id="410"/>
    <w:p>
      <w:pPr>
        <w:spacing w:after="0"/>
        <w:ind w:left="0"/>
        <w:jc w:val="both"/>
      </w:pPr>
      <w:r>
        <w:rPr>
          <w:rFonts w:ascii="Times New Roman"/>
          <w:b w:val="false"/>
          <w:i w:val="false"/>
          <w:color w:val="000000"/>
          <w:sz w:val="28"/>
        </w:rPr>
        <w:t>
      Открытие коек неонатальной хирургии для оперативного вмешательства новорожденных в региональных организациях родовспоможения.</w:t>
      </w:r>
    </w:p>
    <w:bookmarkEnd w:id="410"/>
    <w:bookmarkStart w:name="z433" w:id="411"/>
    <w:p>
      <w:pPr>
        <w:spacing w:after="0"/>
        <w:ind w:left="0"/>
        <w:jc w:val="both"/>
      </w:pPr>
      <w:r>
        <w:rPr>
          <w:rFonts w:ascii="Times New Roman"/>
          <w:b w:val="false"/>
          <w:i w:val="false"/>
          <w:color w:val="000000"/>
          <w:sz w:val="28"/>
        </w:rPr>
        <w:t>
      Совершенствование непрерывного сопровождения ребенка с рождения с акцентом на выявление рисков, поддержку семей и межведомственное взаимодействие.</w:t>
      </w:r>
    </w:p>
    <w:bookmarkEnd w:id="411"/>
    <w:bookmarkStart w:name="z434" w:id="412"/>
    <w:p>
      <w:pPr>
        <w:spacing w:after="0"/>
        <w:ind w:left="0"/>
        <w:jc w:val="both"/>
      </w:pPr>
      <w:r>
        <w:rPr>
          <w:rFonts w:ascii="Times New Roman"/>
          <w:b w:val="false"/>
          <w:i w:val="false"/>
          <w:color w:val="000000"/>
          <w:sz w:val="28"/>
        </w:rPr>
        <w:t xml:space="preserve">
      Повышение доступности медицинской реабилитации детям в амбулаторных, стационарных и стационарозамещающих условиях, в том числе путем внедрения новых методов медицинской реабилитации и их трансферта из национальных научных центров в регионы. </w:t>
      </w:r>
    </w:p>
    <w:bookmarkEnd w:id="412"/>
    <w:bookmarkStart w:name="z435" w:id="41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Создание поддерживающей среды, способствующей гармоничному, здоровому, защищенному развитию детей и подростков </w:t>
      </w:r>
    </w:p>
    <w:bookmarkEnd w:id="413"/>
    <w:bookmarkStart w:name="z436" w:id="414"/>
    <w:p>
      <w:pPr>
        <w:spacing w:after="0"/>
        <w:ind w:left="0"/>
        <w:jc w:val="both"/>
      </w:pPr>
      <w:r>
        <w:rPr>
          <w:rFonts w:ascii="Times New Roman"/>
          <w:b w:val="false"/>
          <w:i w:val="false"/>
          <w:color w:val="000000"/>
          <w:sz w:val="28"/>
        </w:rPr>
        <w:t>
      Утверждение стандарта организации оказания медицинской помощи детям в дошкольных организациях образования.</w:t>
      </w:r>
    </w:p>
    <w:bookmarkEnd w:id="414"/>
    <w:bookmarkStart w:name="z437" w:id="415"/>
    <w:p>
      <w:pPr>
        <w:spacing w:after="0"/>
        <w:ind w:left="0"/>
        <w:jc w:val="both"/>
      </w:pPr>
      <w:r>
        <w:rPr>
          <w:rFonts w:ascii="Times New Roman"/>
          <w:b w:val="false"/>
          <w:i w:val="false"/>
          <w:color w:val="000000"/>
          <w:sz w:val="28"/>
        </w:rPr>
        <w:t>
      Проведение республиканской акции "Саламатты мектеп" (на 2026 – 2028 годы).</w:t>
      </w:r>
    </w:p>
    <w:bookmarkEnd w:id="415"/>
    <w:bookmarkStart w:name="z438" w:id="416"/>
    <w:p>
      <w:pPr>
        <w:spacing w:after="0"/>
        <w:ind w:left="0"/>
        <w:jc w:val="both"/>
      </w:pPr>
      <w:r>
        <w:rPr>
          <w:rFonts w:ascii="Times New Roman"/>
          <w:b w:val="false"/>
          <w:i w:val="false"/>
          <w:color w:val="000000"/>
          <w:sz w:val="28"/>
        </w:rPr>
        <w:t>
      Формирование у подростков устойчивых форм здорового поведения и обеспечение доступности психологической и социальной помощи.</w:t>
      </w:r>
    </w:p>
    <w:bookmarkEnd w:id="416"/>
    <w:bookmarkStart w:name="z439" w:id="417"/>
    <w:p>
      <w:pPr>
        <w:spacing w:after="0"/>
        <w:ind w:left="0"/>
        <w:jc w:val="both"/>
      </w:pPr>
      <w:r>
        <w:rPr>
          <w:rFonts w:ascii="Times New Roman"/>
          <w:b w:val="false"/>
          <w:i w:val="false"/>
          <w:color w:val="000000"/>
          <w:sz w:val="28"/>
        </w:rPr>
        <w:t xml:space="preserve">
      </w:t>
      </w:r>
      <w:r>
        <w:rPr>
          <w:rFonts w:ascii="Times New Roman"/>
          <w:b/>
          <w:i w:val="false"/>
          <w:color w:val="000000"/>
          <w:sz w:val="28"/>
        </w:rPr>
        <w:t>Направление 5. Устойчивость и безопасность системы здравоохранения</w:t>
      </w:r>
    </w:p>
    <w:bookmarkEnd w:id="417"/>
    <w:bookmarkStart w:name="z440" w:id="418"/>
    <w:p>
      <w:pPr>
        <w:spacing w:after="0"/>
        <w:ind w:left="0"/>
        <w:jc w:val="both"/>
      </w:pPr>
      <w:r>
        <w:rPr>
          <w:rFonts w:ascii="Times New Roman"/>
          <w:b w:val="false"/>
          <w:i w:val="false"/>
          <w:color w:val="000000"/>
          <w:sz w:val="28"/>
        </w:rPr>
        <w:t>
      переход к проактивной, цифровой, риск-ориентированной системе санитарно-эпидемиологического контроля и надзора современного уровня;</w:t>
      </w:r>
    </w:p>
    <w:bookmarkEnd w:id="418"/>
    <w:bookmarkStart w:name="z441" w:id="419"/>
    <w:p>
      <w:pPr>
        <w:spacing w:after="0"/>
        <w:ind w:left="0"/>
        <w:jc w:val="both"/>
      </w:pPr>
      <w:r>
        <w:rPr>
          <w:rFonts w:ascii="Times New Roman"/>
          <w:b w:val="false"/>
          <w:i w:val="false"/>
          <w:color w:val="000000"/>
          <w:sz w:val="28"/>
        </w:rPr>
        <w:t>
      создание устойчивой архитектуры реагирования, обеспечивающей непрерывность медицинской помощи и сохранение здоровья населения в условиях эпидемий, чрезвычайных ситуаций и изменения климата.</w:t>
      </w:r>
    </w:p>
    <w:bookmarkEnd w:id="419"/>
    <w:bookmarkStart w:name="z442" w:id="42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Переход к </w:t>
      </w:r>
      <w:r>
        <w:rPr>
          <w:rFonts w:ascii="Times New Roman"/>
          <w:b w:val="false"/>
          <w:i/>
          <w:color w:val="000000"/>
          <w:sz w:val="28"/>
        </w:rPr>
        <w:t>проактивной</w:t>
      </w:r>
      <w:r>
        <w:rPr>
          <w:rFonts w:ascii="Times New Roman"/>
          <w:b w:val="false"/>
          <w:i/>
          <w:color w:val="000000"/>
          <w:sz w:val="28"/>
        </w:rPr>
        <w:t>, цифровой, риск-ориентированной системе санитарно-эпидемиологического мониторинга современного уровня</w:t>
      </w:r>
    </w:p>
    <w:bookmarkEnd w:id="420"/>
    <w:bookmarkStart w:name="z443" w:id="421"/>
    <w:p>
      <w:pPr>
        <w:spacing w:after="0"/>
        <w:ind w:left="0"/>
        <w:jc w:val="both"/>
      </w:pPr>
      <w:r>
        <w:rPr>
          <w:rFonts w:ascii="Times New Roman"/>
          <w:b w:val="false"/>
          <w:i w:val="false"/>
          <w:color w:val="000000"/>
          <w:sz w:val="28"/>
        </w:rPr>
        <w:t>
      Совершенствование механизмов риск-ориентированного контроля в рамках контрольной деятельности в области санитарно-эпидемиологического благополучия населения.</w:t>
      </w:r>
    </w:p>
    <w:bookmarkEnd w:id="421"/>
    <w:bookmarkStart w:name="z444" w:id="422"/>
    <w:p>
      <w:pPr>
        <w:spacing w:after="0"/>
        <w:ind w:left="0"/>
        <w:jc w:val="both"/>
      </w:pPr>
      <w:r>
        <w:rPr>
          <w:rFonts w:ascii="Times New Roman"/>
          <w:b w:val="false"/>
          <w:i w:val="false"/>
          <w:color w:val="000000"/>
          <w:sz w:val="28"/>
        </w:rPr>
        <w:t>
      Для повышения эффективности управления рисками, быстрого выявления и локализации угроз, сокращения времени на обработку данных и принятие решений особое внимание будет уделено:</w:t>
      </w:r>
    </w:p>
    <w:bookmarkEnd w:id="422"/>
    <w:bookmarkStart w:name="z445" w:id="423"/>
    <w:p>
      <w:pPr>
        <w:spacing w:after="0"/>
        <w:ind w:left="0"/>
        <w:jc w:val="both"/>
      </w:pPr>
      <w:r>
        <w:rPr>
          <w:rFonts w:ascii="Times New Roman"/>
          <w:b w:val="false"/>
          <w:i w:val="false"/>
          <w:color w:val="000000"/>
          <w:sz w:val="28"/>
        </w:rPr>
        <w:t>
      системной борьбе с антибиотикорезистентностью, включая внедрение контроля использования противомикробных препаратов в медицинских организациях согласно Стратегии контроля антимикробной терапии (далее – СКАТ);</w:t>
      </w:r>
    </w:p>
    <w:bookmarkEnd w:id="423"/>
    <w:bookmarkStart w:name="z446" w:id="424"/>
    <w:p>
      <w:pPr>
        <w:spacing w:after="0"/>
        <w:ind w:left="0"/>
        <w:jc w:val="both"/>
      </w:pPr>
      <w:r>
        <w:rPr>
          <w:rFonts w:ascii="Times New Roman"/>
          <w:b w:val="false"/>
          <w:i w:val="false"/>
          <w:color w:val="000000"/>
          <w:sz w:val="28"/>
        </w:rPr>
        <w:t>
      совершенствованию геномных исследований за возбудителями инфекционных заболеваний (корь, грипп, SARS-CoV-2, энтеровирусная инфекция, Конго-крымская геморрагическая лихорадка, метапневмовирусы, коклюш, сальмонеллезные инфекции, бруцеллез, АМР и др.) на базе референс-лаборатории НЦОЗ;</w:t>
      </w:r>
    </w:p>
    <w:bookmarkEnd w:id="424"/>
    <w:bookmarkStart w:name="z447" w:id="425"/>
    <w:p>
      <w:pPr>
        <w:spacing w:after="0"/>
        <w:ind w:left="0"/>
        <w:jc w:val="both"/>
      </w:pPr>
      <w:r>
        <w:rPr>
          <w:rFonts w:ascii="Times New Roman"/>
          <w:b w:val="false"/>
          <w:i w:val="false"/>
          <w:color w:val="000000"/>
          <w:sz w:val="28"/>
        </w:rPr>
        <w:t>
      созданию нормативной базы и цифровой платформы для эпидемиологических исследований за сточными водами для раннего предупреждения эпидемий, позволяющих отслеживать циркуляцию патогенов и генов устойчивости до появления клинических случаев;</w:t>
      </w:r>
    </w:p>
    <w:bookmarkEnd w:id="425"/>
    <w:bookmarkStart w:name="z448" w:id="426"/>
    <w:p>
      <w:pPr>
        <w:spacing w:after="0"/>
        <w:ind w:left="0"/>
        <w:jc w:val="both"/>
      </w:pPr>
      <w:r>
        <w:rPr>
          <w:rFonts w:ascii="Times New Roman"/>
          <w:b w:val="false"/>
          <w:i w:val="false"/>
          <w:color w:val="000000"/>
          <w:sz w:val="28"/>
        </w:rPr>
        <w:t>
      развитию интегрированных систем эпиднадзора за инфекционными заболеваниями с модернизацией лабораторной инфраструктуры и цифровых платформ для объединения клинических, эпидемиологических и лабораторных данных, в том числе на приграничных территориях;</w:t>
      </w:r>
    </w:p>
    <w:bookmarkEnd w:id="426"/>
    <w:bookmarkStart w:name="z449" w:id="427"/>
    <w:p>
      <w:pPr>
        <w:spacing w:after="0"/>
        <w:ind w:left="0"/>
        <w:jc w:val="both"/>
      </w:pPr>
      <w:r>
        <w:rPr>
          <w:rFonts w:ascii="Times New Roman"/>
          <w:b w:val="false"/>
          <w:i w:val="false"/>
          <w:color w:val="000000"/>
          <w:sz w:val="28"/>
        </w:rPr>
        <w:t>
      сотрудничеству с международными организациями для улучшения методов оценки рисков для здоровья и системы реагирования.</w:t>
      </w:r>
    </w:p>
    <w:bookmarkEnd w:id="427"/>
    <w:bookmarkStart w:name="z450" w:id="428"/>
    <w:p>
      <w:pPr>
        <w:spacing w:after="0"/>
        <w:ind w:left="0"/>
        <w:jc w:val="both"/>
      </w:pPr>
      <w:r>
        <w:rPr>
          <w:rFonts w:ascii="Times New Roman"/>
          <w:b w:val="false"/>
          <w:i w:val="false"/>
          <w:color w:val="000000"/>
          <w:sz w:val="28"/>
        </w:rPr>
        <w:t>
      Цифровая трансформация санитарно-эпидемиологической службы будет направлена на формирование электронных отчетных данных о проведенных профилактических прививках и движении вакцин в соответствии с данными, внесенными медицинскими организациями в медицинские информационные системы, автоматизацию системы мониторинга холодовой цепи по хранению и транспортировке вакцин, иммунобиологических препаратов и лекарственных средств в Республике Казахстан, применение ИИ и аналитических платформ для раннего выявления угроз, использование технологий географических информационных систем и мобильных решений для мониторинга факторов риска, учет результатов производственного контроля, осуществляемого субъектами контроля, использование цифровых решений для мониторинга за рекламой подконтрольной продукции.</w:t>
      </w:r>
    </w:p>
    <w:bookmarkEnd w:id="428"/>
    <w:bookmarkStart w:name="z451" w:id="429"/>
    <w:p>
      <w:pPr>
        <w:spacing w:after="0"/>
        <w:ind w:left="0"/>
        <w:jc w:val="both"/>
      </w:pPr>
      <w:r>
        <w:rPr>
          <w:rFonts w:ascii="Times New Roman"/>
          <w:b w:val="false"/>
          <w:i w:val="false"/>
          <w:color w:val="000000"/>
          <w:sz w:val="28"/>
        </w:rPr>
        <w:t>
      Усиление эпидемиологического надзора за иммунопрофилактикой. Совершенствование национального календаря профилактических прививок Республики Казахстан: внедрение вакцинации против ВПЧ мальчиков в возрасте 11 лет; расширение целевой группы населения, подлежащего вакцинации против коклюша, с включением подростков в возрасте 16 лет и беременных женщин.</w:t>
      </w:r>
    </w:p>
    <w:bookmarkEnd w:id="429"/>
    <w:bookmarkStart w:name="z452" w:id="430"/>
    <w:p>
      <w:pPr>
        <w:spacing w:after="0"/>
        <w:ind w:left="0"/>
        <w:jc w:val="both"/>
      </w:pPr>
      <w:r>
        <w:rPr>
          <w:rFonts w:ascii="Times New Roman"/>
          <w:b w:val="false"/>
          <w:i w:val="false"/>
          <w:color w:val="000000"/>
          <w:sz w:val="28"/>
        </w:rPr>
        <w:t>
      Повышение потенциала прогнозирования, планирования и бюджетирования закупок вакцин для обеспечения вакцин гарантированного качества. Отслеживание и фиксация всех сообщений о дефиците вакцин для принятия своевременных мер по смягчению рисков. Проведение регулярных инвентаризационных оценок и анализ пробелов в складах хранения вакцин.</w:t>
      </w:r>
    </w:p>
    <w:bookmarkEnd w:id="430"/>
    <w:bookmarkStart w:name="z453" w:id="431"/>
    <w:p>
      <w:pPr>
        <w:spacing w:after="0"/>
        <w:ind w:left="0"/>
        <w:jc w:val="both"/>
      </w:pPr>
      <w:r>
        <w:rPr>
          <w:rFonts w:ascii="Times New Roman"/>
          <w:b w:val="false"/>
          <w:i w:val="false"/>
          <w:color w:val="000000"/>
          <w:sz w:val="28"/>
        </w:rPr>
        <w:t>
      Внедрение информационной системы в области обеспечения биологической безопасности.</w:t>
      </w:r>
    </w:p>
    <w:bookmarkEnd w:id="431"/>
    <w:bookmarkStart w:name="z454" w:id="432"/>
    <w:p>
      <w:pPr>
        <w:spacing w:after="0"/>
        <w:ind w:left="0"/>
        <w:jc w:val="both"/>
      </w:pPr>
      <w:r>
        <w:rPr>
          <w:rFonts w:ascii="Times New Roman"/>
          <w:b w:val="false"/>
          <w:i w:val="false"/>
          <w:color w:val="000000"/>
          <w:sz w:val="28"/>
        </w:rPr>
        <w:t>
      Будет обеспечена нормативная база для цифрового и риск-ориентированного мониторинга, в том числе:</w:t>
      </w:r>
    </w:p>
    <w:bookmarkEnd w:id="432"/>
    <w:bookmarkStart w:name="z455" w:id="433"/>
    <w:p>
      <w:pPr>
        <w:spacing w:after="0"/>
        <w:ind w:left="0"/>
        <w:jc w:val="both"/>
      </w:pPr>
      <w:r>
        <w:rPr>
          <w:rFonts w:ascii="Times New Roman"/>
          <w:b w:val="false"/>
          <w:i w:val="false"/>
          <w:color w:val="000000"/>
          <w:sz w:val="28"/>
        </w:rPr>
        <w:t>
      гармонизация с рекомендациями ВОЗ, ECDC и другими авторитетными организациями для правовой совместимости и взаимного признания мер санитарного контроля в трансграничном взаимодействии;</w:t>
      </w:r>
    </w:p>
    <w:bookmarkEnd w:id="433"/>
    <w:bookmarkStart w:name="z456" w:id="434"/>
    <w:p>
      <w:pPr>
        <w:spacing w:after="0"/>
        <w:ind w:left="0"/>
        <w:jc w:val="both"/>
      </w:pPr>
      <w:r>
        <w:rPr>
          <w:rFonts w:ascii="Times New Roman"/>
          <w:b w:val="false"/>
          <w:i w:val="false"/>
          <w:color w:val="000000"/>
          <w:sz w:val="28"/>
        </w:rPr>
        <w:t>
      охват новых и нарастающих санитарно-эпидемиологических рисков – электронная торговля лекарственными средствами и биологически активными добавками, технологий с электронными и токсичными отходами, нано- и биоматериалами.</w:t>
      </w:r>
    </w:p>
    <w:bookmarkEnd w:id="434"/>
    <w:bookmarkStart w:name="z457" w:id="435"/>
    <w:p>
      <w:pPr>
        <w:spacing w:after="0"/>
        <w:ind w:left="0"/>
        <w:jc w:val="both"/>
      </w:pPr>
      <w:r>
        <w:rPr>
          <w:rFonts w:ascii="Times New Roman"/>
          <w:b w:val="false"/>
          <w:i w:val="false"/>
          <w:color w:val="000000"/>
          <w:sz w:val="28"/>
        </w:rPr>
        <w:t xml:space="preserve">
      В целях реализации Дорожной карты по сдерживанию устойчивости к противомикробным препаратам в Республике Казахстан продолжится внедрение дозорного эпидемиологического надзора путем сбора эпидемиологической информации и результатов тестирования чувствительности к антибиотикам бактериальных культур. </w:t>
      </w:r>
    </w:p>
    <w:bookmarkEnd w:id="435"/>
    <w:bookmarkStart w:name="z458" w:id="436"/>
    <w:p>
      <w:pPr>
        <w:spacing w:after="0"/>
        <w:ind w:left="0"/>
        <w:jc w:val="both"/>
      </w:pPr>
      <w:r>
        <w:rPr>
          <w:rFonts w:ascii="Times New Roman"/>
          <w:b w:val="false"/>
          <w:i w:val="false"/>
          <w:color w:val="000000"/>
          <w:sz w:val="28"/>
        </w:rPr>
        <w:t>
      Подготовка и внесение предложений по проведению прикладных исследований по приоритетным направлениям: гигиена организованных коллективов (школы, детсады, учреждения для пожилых); оценка состояния окружающей среды и качества питьевой воды; влияние факторов окружающей среды на здоровье детей и подростков; радиационная безопасность и профилактика воздействия ионизирующего излучения; влияние пестицидов, содержащихся в пищевой продукции, на развитие аутизма у детей в соответствии с рекомендациями Продовольственной и сельскохозяйственной организации ООН (Food and Agriculture Organization).</w:t>
      </w:r>
    </w:p>
    <w:bookmarkEnd w:id="436"/>
    <w:bookmarkStart w:name="z459" w:id="437"/>
    <w:p>
      <w:pPr>
        <w:spacing w:after="0"/>
        <w:ind w:left="0"/>
        <w:jc w:val="both"/>
      </w:pPr>
      <w:r>
        <w:rPr>
          <w:rFonts w:ascii="Times New Roman"/>
          <w:b w:val="false"/>
          <w:i w:val="false"/>
          <w:color w:val="000000"/>
          <w:sz w:val="28"/>
        </w:rPr>
        <w:t>
      Увеличение количества показателей технических регламентов обеспечит расширение контроля за соблюдением требований технических регламентов ЕАЭС.</w:t>
      </w:r>
    </w:p>
    <w:bookmarkEnd w:id="437"/>
    <w:bookmarkStart w:name="z460" w:id="438"/>
    <w:p>
      <w:pPr>
        <w:spacing w:after="0"/>
        <w:ind w:left="0"/>
        <w:jc w:val="both"/>
      </w:pPr>
      <w:r>
        <w:rPr>
          <w:rFonts w:ascii="Times New Roman"/>
          <w:b w:val="false"/>
          <w:i w:val="false"/>
          <w:color w:val="000000"/>
          <w:sz w:val="28"/>
        </w:rPr>
        <w:t xml:space="preserve">
      </w:t>
      </w:r>
      <w:r>
        <w:rPr>
          <w:rFonts w:ascii="Times New Roman"/>
          <w:b w:val="false"/>
          <w:i/>
          <w:color w:val="000000"/>
          <w:sz w:val="28"/>
        </w:rPr>
        <w:t>Создание устойчивой архитектуры реагирования, обеспечивающей непрерывность медицинской помощи и сохранение здоровья населения в условиях э</w:t>
      </w:r>
      <w:r>
        <w:rPr>
          <w:rFonts w:ascii="Times New Roman"/>
          <w:b w:val="false"/>
          <w:i/>
          <w:color w:val="000000"/>
          <w:sz w:val="28"/>
        </w:rPr>
        <w:t>пидемий, чрезвычайных ситуаций и изменения климата</w:t>
      </w:r>
    </w:p>
    <w:bookmarkEnd w:id="438"/>
    <w:bookmarkStart w:name="z461" w:id="439"/>
    <w:p>
      <w:pPr>
        <w:spacing w:after="0"/>
        <w:ind w:left="0"/>
        <w:jc w:val="both"/>
      </w:pPr>
      <w:r>
        <w:rPr>
          <w:rFonts w:ascii="Times New Roman"/>
          <w:b w:val="false"/>
          <w:i w:val="false"/>
          <w:color w:val="000000"/>
          <w:sz w:val="28"/>
        </w:rPr>
        <w:t>
      В целях повышения уровня готовности и устойчивости к чрезвычайным ситуациям в области здравоохранения и пандемиям предусмотрены:</w:t>
      </w:r>
    </w:p>
    <w:bookmarkEnd w:id="439"/>
    <w:bookmarkStart w:name="z462" w:id="440"/>
    <w:p>
      <w:pPr>
        <w:spacing w:after="0"/>
        <w:ind w:left="0"/>
        <w:jc w:val="both"/>
      </w:pPr>
      <w:r>
        <w:rPr>
          <w:rFonts w:ascii="Times New Roman"/>
          <w:b w:val="false"/>
          <w:i w:val="false"/>
          <w:color w:val="000000"/>
          <w:sz w:val="28"/>
        </w:rPr>
        <w:t>
      регулярное проведение оценок готовности и регулярных межведомственных симуляционных учений с последующим анализом действий и актуализацией сценарных планов готовности, планов повышения устойчивости, планов реагирования и планов восстановления;</w:t>
      </w:r>
    </w:p>
    <w:bookmarkEnd w:id="440"/>
    <w:bookmarkStart w:name="z463" w:id="441"/>
    <w:p>
      <w:pPr>
        <w:spacing w:after="0"/>
        <w:ind w:left="0"/>
        <w:jc w:val="both"/>
      </w:pPr>
      <w:r>
        <w:rPr>
          <w:rFonts w:ascii="Times New Roman"/>
          <w:b w:val="false"/>
          <w:i w:val="false"/>
          <w:color w:val="000000"/>
          <w:sz w:val="28"/>
        </w:rPr>
        <w:t>
      реализация механизмов снижения повторяющихся рисков;</w:t>
      </w:r>
    </w:p>
    <w:bookmarkEnd w:id="441"/>
    <w:bookmarkStart w:name="z464" w:id="442"/>
    <w:p>
      <w:pPr>
        <w:spacing w:after="0"/>
        <w:ind w:left="0"/>
        <w:jc w:val="both"/>
      </w:pPr>
      <w:r>
        <w:rPr>
          <w:rFonts w:ascii="Times New Roman"/>
          <w:b w:val="false"/>
          <w:i w:val="false"/>
          <w:color w:val="000000"/>
          <w:sz w:val="28"/>
        </w:rPr>
        <w:t>
      создание эффективной системы по вопросам риск-коммуникации;</w:t>
      </w:r>
    </w:p>
    <w:bookmarkEnd w:id="442"/>
    <w:bookmarkStart w:name="z465" w:id="443"/>
    <w:p>
      <w:pPr>
        <w:spacing w:after="0"/>
        <w:ind w:left="0"/>
        <w:jc w:val="both"/>
      </w:pPr>
      <w:r>
        <w:rPr>
          <w:rFonts w:ascii="Times New Roman"/>
          <w:b w:val="false"/>
          <w:i w:val="false"/>
          <w:color w:val="000000"/>
          <w:sz w:val="28"/>
        </w:rPr>
        <w:t xml:space="preserve">
      расширение планов действий по ликвидации чрезвычайных ситуации (далее – ЧС) с включением межсекторального взаимодействия и разделения зон ответственности по принципу "Единое здоровье", включая взаимодействие с секторами ветеринарии, сельского хозяйства, экологии, и другими, связанными с вопросами здоровья при ЧС. </w:t>
      </w:r>
    </w:p>
    <w:bookmarkEnd w:id="443"/>
    <w:bookmarkStart w:name="z466" w:id="444"/>
    <w:p>
      <w:pPr>
        <w:spacing w:after="0"/>
        <w:ind w:left="0"/>
        <w:jc w:val="both"/>
      </w:pPr>
      <w:r>
        <w:rPr>
          <w:rFonts w:ascii="Times New Roman"/>
          <w:b w:val="false"/>
          <w:i w:val="false"/>
          <w:color w:val="000000"/>
          <w:sz w:val="28"/>
        </w:rPr>
        <w:t>
      Разработка и утверждение Плана по обеспечению готовности и реагированию на чрезвычайные ситуации в области общественного здравоохранения на 2026 – 2029 годы.</w:t>
      </w:r>
    </w:p>
    <w:bookmarkEnd w:id="444"/>
    <w:bookmarkStart w:name="z467" w:id="445"/>
    <w:p>
      <w:pPr>
        <w:spacing w:after="0"/>
        <w:ind w:left="0"/>
        <w:jc w:val="both"/>
      </w:pPr>
      <w:r>
        <w:rPr>
          <w:rFonts w:ascii="Times New Roman"/>
          <w:b w:val="false"/>
          <w:i w:val="false"/>
          <w:color w:val="000000"/>
          <w:sz w:val="28"/>
        </w:rPr>
        <w:t>
      Разработка и утверждение областных планов по обеспечению готовности и реагирования на чрезвычайные ситуации в области общественного здравоохранения на 2026 – 2029 годы.</w:t>
      </w:r>
    </w:p>
    <w:bookmarkEnd w:id="445"/>
    <w:bookmarkStart w:name="z468" w:id="446"/>
    <w:p>
      <w:pPr>
        <w:spacing w:after="0"/>
        <w:ind w:left="0"/>
        <w:jc w:val="both"/>
      </w:pPr>
      <w:r>
        <w:rPr>
          <w:rFonts w:ascii="Times New Roman"/>
          <w:b w:val="false"/>
          <w:i w:val="false"/>
          <w:color w:val="000000"/>
          <w:sz w:val="28"/>
        </w:rPr>
        <w:t>
      В том числе будут проработаны вопросы:</w:t>
      </w:r>
    </w:p>
    <w:bookmarkEnd w:id="446"/>
    <w:bookmarkStart w:name="z469" w:id="447"/>
    <w:p>
      <w:pPr>
        <w:spacing w:after="0"/>
        <w:ind w:left="0"/>
        <w:jc w:val="both"/>
      </w:pPr>
      <w:r>
        <w:rPr>
          <w:rFonts w:ascii="Times New Roman"/>
          <w:b w:val="false"/>
          <w:i w:val="false"/>
          <w:color w:val="000000"/>
          <w:sz w:val="28"/>
        </w:rPr>
        <w:t>
      совершенствования стандартов нормирования резервов ЛС и ИМН для оказания помощи пострадавшим в ЧС и бесперебойного обеспечения текущих потребностей населения, включая группы населения с особенными и неотложными медицинскими потребностями, с учетом минимального комплекса начальных услуг по охране репродуктивного здоровья;</w:t>
      </w:r>
    </w:p>
    <w:bookmarkEnd w:id="447"/>
    <w:bookmarkStart w:name="z470" w:id="448"/>
    <w:p>
      <w:pPr>
        <w:spacing w:after="0"/>
        <w:ind w:left="0"/>
        <w:jc w:val="both"/>
      </w:pPr>
      <w:r>
        <w:rPr>
          <w:rFonts w:ascii="Times New Roman"/>
          <w:b w:val="false"/>
          <w:i w:val="false"/>
          <w:color w:val="000000"/>
          <w:sz w:val="28"/>
        </w:rPr>
        <w:t>
      утверждения гибкого порядка мобилизации медицинского и вспомогательного персонала, находящегося в зоне поражения, для оказания медицинской помощи пострадавшим в результате ЧС;</w:t>
      </w:r>
    </w:p>
    <w:bookmarkEnd w:id="448"/>
    <w:bookmarkStart w:name="z471" w:id="449"/>
    <w:p>
      <w:pPr>
        <w:spacing w:after="0"/>
        <w:ind w:left="0"/>
        <w:jc w:val="both"/>
      </w:pPr>
      <w:r>
        <w:rPr>
          <w:rFonts w:ascii="Times New Roman"/>
          <w:b w:val="false"/>
          <w:i w:val="false"/>
          <w:color w:val="000000"/>
          <w:sz w:val="28"/>
        </w:rPr>
        <w:t>
      повышения готовности ситуационных центров и кадрового состава через тренинги и учения в полевых условиях, выработки навыков работы с цифровыми решениями раннего оповещения, мониторинга и реагирования.</w:t>
      </w:r>
    </w:p>
    <w:bookmarkEnd w:id="449"/>
    <w:bookmarkStart w:name="z472" w:id="450"/>
    <w:p>
      <w:pPr>
        <w:spacing w:after="0"/>
        <w:ind w:left="0"/>
        <w:jc w:val="both"/>
      </w:pPr>
      <w:r>
        <w:rPr>
          <w:rFonts w:ascii="Times New Roman"/>
          <w:b w:val="false"/>
          <w:i w:val="false"/>
          <w:color w:val="000000"/>
          <w:sz w:val="28"/>
        </w:rPr>
        <w:t>
      В целях обеспечения биологической безопасности и биологической защиты будет продолжена работа по:</w:t>
      </w:r>
    </w:p>
    <w:bookmarkEnd w:id="450"/>
    <w:bookmarkStart w:name="z473" w:id="451"/>
    <w:p>
      <w:pPr>
        <w:spacing w:after="0"/>
        <w:ind w:left="0"/>
        <w:jc w:val="both"/>
      </w:pPr>
      <w:r>
        <w:rPr>
          <w:rFonts w:ascii="Times New Roman"/>
          <w:b w:val="false"/>
          <w:i w:val="false"/>
          <w:color w:val="000000"/>
          <w:sz w:val="28"/>
        </w:rPr>
        <w:t>
      совершенствованию стандартов безопасного хранения, транспортировки и утилизации патогенов;</w:t>
      </w:r>
    </w:p>
    <w:bookmarkEnd w:id="451"/>
    <w:bookmarkStart w:name="z474" w:id="452"/>
    <w:p>
      <w:pPr>
        <w:spacing w:after="0"/>
        <w:ind w:left="0"/>
        <w:jc w:val="both"/>
      </w:pPr>
      <w:r>
        <w:rPr>
          <w:rFonts w:ascii="Times New Roman"/>
          <w:b w:val="false"/>
          <w:i w:val="false"/>
          <w:color w:val="000000"/>
          <w:sz w:val="28"/>
        </w:rPr>
        <w:t>
      усилению контроля за обращением с биологическими материалами и подготовке персонала;</w:t>
      </w:r>
    </w:p>
    <w:bookmarkEnd w:id="452"/>
    <w:bookmarkStart w:name="z475" w:id="453"/>
    <w:p>
      <w:pPr>
        <w:spacing w:after="0"/>
        <w:ind w:left="0"/>
        <w:jc w:val="both"/>
      </w:pPr>
      <w:r>
        <w:rPr>
          <w:rFonts w:ascii="Times New Roman"/>
          <w:b w:val="false"/>
          <w:i w:val="false"/>
          <w:color w:val="000000"/>
          <w:sz w:val="28"/>
        </w:rPr>
        <w:t>
      поддержке каналов трансграничного обмена информацией с международными партнерами.</w:t>
      </w:r>
    </w:p>
    <w:bookmarkEnd w:id="453"/>
    <w:bookmarkStart w:name="z476" w:id="454"/>
    <w:p>
      <w:pPr>
        <w:spacing w:after="0"/>
        <w:ind w:left="0"/>
        <w:jc w:val="both"/>
      </w:pPr>
      <w:r>
        <w:rPr>
          <w:rFonts w:ascii="Times New Roman"/>
          <w:b w:val="false"/>
          <w:i w:val="false"/>
          <w:color w:val="000000"/>
          <w:sz w:val="28"/>
        </w:rPr>
        <w:t xml:space="preserve">
      </w:t>
      </w:r>
      <w:r>
        <w:rPr>
          <w:rFonts w:ascii="Times New Roman"/>
          <w:b/>
          <w:i w:val="false"/>
          <w:color w:val="000000"/>
          <w:sz w:val="28"/>
        </w:rPr>
        <w:t>Направление 6. Развитие персонализированной и высокотехнологичной медицины</w:t>
      </w:r>
    </w:p>
    <w:bookmarkEnd w:id="454"/>
    <w:bookmarkStart w:name="z477" w:id="455"/>
    <w:p>
      <w:pPr>
        <w:spacing w:after="0"/>
        <w:ind w:left="0"/>
        <w:jc w:val="both"/>
      </w:pPr>
      <w:r>
        <w:rPr>
          <w:rFonts w:ascii="Times New Roman"/>
          <w:b w:val="false"/>
          <w:i w:val="false"/>
          <w:color w:val="000000"/>
          <w:sz w:val="28"/>
        </w:rPr>
        <w:t>
      формирование цифровой инфраструктуры персонализированной и высокотехнологичной медицины;</w:t>
      </w:r>
    </w:p>
    <w:bookmarkEnd w:id="455"/>
    <w:bookmarkStart w:name="z478" w:id="456"/>
    <w:p>
      <w:pPr>
        <w:spacing w:after="0"/>
        <w:ind w:left="0"/>
        <w:jc w:val="both"/>
      </w:pPr>
      <w:r>
        <w:rPr>
          <w:rFonts w:ascii="Times New Roman"/>
          <w:b w:val="false"/>
          <w:i w:val="false"/>
          <w:color w:val="000000"/>
          <w:sz w:val="28"/>
        </w:rPr>
        <w:t>
      повышение цифровой вовлеченности и самоменеджмента пациентов;</w:t>
      </w:r>
    </w:p>
    <w:bookmarkEnd w:id="456"/>
    <w:bookmarkStart w:name="z479" w:id="457"/>
    <w:p>
      <w:pPr>
        <w:spacing w:after="0"/>
        <w:ind w:left="0"/>
        <w:jc w:val="both"/>
      </w:pPr>
      <w:r>
        <w:rPr>
          <w:rFonts w:ascii="Times New Roman"/>
          <w:b w:val="false"/>
          <w:i w:val="false"/>
          <w:color w:val="000000"/>
          <w:sz w:val="28"/>
        </w:rPr>
        <w:t>
      расширение применения ИИ и предиктивной аналитики в целях повышения точности, эффективности и безопасности медицинской помощи.</w:t>
      </w:r>
    </w:p>
    <w:bookmarkEnd w:id="457"/>
    <w:bookmarkStart w:name="z480" w:id="458"/>
    <w:p>
      <w:pPr>
        <w:spacing w:after="0"/>
        <w:ind w:left="0"/>
        <w:jc w:val="both"/>
      </w:pPr>
      <w:r>
        <w:rPr>
          <w:rFonts w:ascii="Times New Roman"/>
          <w:b w:val="false"/>
          <w:i w:val="false"/>
          <w:color w:val="000000"/>
          <w:sz w:val="28"/>
        </w:rPr>
        <w:t xml:space="preserve">
      </w:t>
      </w:r>
      <w:r>
        <w:rPr>
          <w:rFonts w:ascii="Times New Roman"/>
          <w:b w:val="false"/>
          <w:i/>
          <w:color w:val="000000"/>
          <w:sz w:val="28"/>
        </w:rPr>
        <w:t>Формирование цифровой инфраструктуры персонализированной и высокотехнологичной медицины</w:t>
      </w:r>
    </w:p>
    <w:bookmarkEnd w:id="458"/>
    <w:bookmarkStart w:name="z481" w:id="459"/>
    <w:p>
      <w:pPr>
        <w:spacing w:after="0"/>
        <w:ind w:left="0"/>
        <w:jc w:val="both"/>
      </w:pPr>
      <w:r>
        <w:rPr>
          <w:rFonts w:ascii="Times New Roman"/>
          <w:b w:val="false"/>
          <w:i w:val="false"/>
          <w:color w:val="000000"/>
          <w:sz w:val="28"/>
        </w:rPr>
        <w:t>
      Внедрение персонализированной медицины, основанной на использовании цифровых медицинских данных, путем расширения применения генетического тестирования для выявления индивидуальной предрасположенности к онкологическим, кардиологическим и редким заболеваниям, подбора терапии с минимальными рисками побочных эффектов; проработки вопроса формирования национального банка геномных данных для дальнейшего развития геномной медицины; поэтапной реализации функционала цифровых двойников пациента, позволяющих моделировать и тестировать эффективность лечения.</w:t>
      </w:r>
    </w:p>
    <w:bookmarkEnd w:id="459"/>
    <w:bookmarkStart w:name="z482" w:id="460"/>
    <w:p>
      <w:pPr>
        <w:spacing w:after="0"/>
        <w:ind w:left="0"/>
        <w:jc w:val="both"/>
      </w:pPr>
      <w:r>
        <w:rPr>
          <w:rFonts w:ascii="Times New Roman"/>
          <w:b w:val="false"/>
          <w:i w:val="false"/>
          <w:color w:val="000000"/>
          <w:sz w:val="28"/>
        </w:rPr>
        <w:t>
      Развитие роботизированной ассистированной хирургии и применение робототехники в медицинской практике.</w:t>
      </w:r>
    </w:p>
    <w:bookmarkEnd w:id="460"/>
    <w:bookmarkStart w:name="z483" w:id="461"/>
    <w:p>
      <w:pPr>
        <w:spacing w:after="0"/>
        <w:ind w:left="0"/>
        <w:jc w:val="both"/>
      </w:pPr>
      <w:r>
        <w:rPr>
          <w:rFonts w:ascii="Times New Roman"/>
          <w:b w:val="false"/>
          <w:i w:val="false"/>
          <w:color w:val="000000"/>
          <w:sz w:val="28"/>
        </w:rPr>
        <w:t>
      Переход на Международную классификацию болезней 11-го пересмотра (далее – МКБ-11) для совместимости с новыми цифровыми технологиями, совместимости данных, учета генетических и цифровых аспектов здоровья.</w:t>
      </w:r>
    </w:p>
    <w:bookmarkEnd w:id="461"/>
    <w:bookmarkStart w:name="z484" w:id="462"/>
    <w:p>
      <w:pPr>
        <w:spacing w:after="0"/>
        <w:ind w:left="0"/>
        <w:jc w:val="both"/>
      </w:pPr>
      <w:r>
        <w:rPr>
          <w:rFonts w:ascii="Times New Roman"/>
          <w:b w:val="false"/>
          <w:i w:val="false"/>
          <w:color w:val="000000"/>
          <w:sz w:val="28"/>
        </w:rPr>
        <w:t>
      Переход на статистический учет причин смерти с указанием конкретного кода МКБ-11 и всех факторов, приведших к смерти, в соответствии с рекомендациями ВОЗ.</w:t>
      </w:r>
    </w:p>
    <w:bookmarkEnd w:id="462"/>
    <w:bookmarkStart w:name="z485" w:id="463"/>
    <w:p>
      <w:pPr>
        <w:spacing w:after="0"/>
        <w:ind w:left="0"/>
        <w:jc w:val="both"/>
      </w:pPr>
      <w:r>
        <w:rPr>
          <w:rFonts w:ascii="Times New Roman"/>
          <w:b w:val="false"/>
          <w:i w:val="false"/>
          <w:color w:val="000000"/>
          <w:sz w:val="28"/>
        </w:rPr>
        <w:t xml:space="preserve">
      </w:t>
      </w:r>
      <w:r>
        <w:rPr>
          <w:rFonts w:ascii="Times New Roman"/>
          <w:b w:val="false"/>
          <w:i/>
          <w:color w:val="000000"/>
          <w:sz w:val="28"/>
        </w:rPr>
        <w:t>Расширение применения ИИ и предиктивной аналитики в целях повышения точности, эффективности и безопасности медицинской помощи</w:t>
      </w:r>
    </w:p>
    <w:bookmarkEnd w:id="463"/>
    <w:bookmarkStart w:name="z486" w:id="464"/>
    <w:p>
      <w:pPr>
        <w:spacing w:after="0"/>
        <w:ind w:left="0"/>
        <w:jc w:val="both"/>
      </w:pPr>
      <w:r>
        <w:rPr>
          <w:rFonts w:ascii="Times New Roman"/>
          <w:b w:val="false"/>
          <w:i w:val="false"/>
          <w:color w:val="000000"/>
          <w:sz w:val="28"/>
        </w:rPr>
        <w:t>
      Развитие цифровой экосистемы мониторинга и анализа будет ориентировано на разработку, внедрение и расширение охвата системами:</w:t>
      </w:r>
    </w:p>
    <w:bookmarkEnd w:id="464"/>
    <w:bookmarkStart w:name="z487" w:id="465"/>
    <w:p>
      <w:pPr>
        <w:spacing w:after="0"/>
        <w:ind w:left="0"/>
        <w:jc w:val="both"/>
      </w:pPr>
      <w:r>
        <w:rPr>
          <w:rFonts w:ascii="Times New Roman"/>
          <w:b w:val="false"/>
          <w:i w:val="false"/>
          <w:color w:val="000000"/>
          <w:sz w:val="28"/>
        </w:rPr>
        <w:t>
      цифрового аудита и контроля для автоматического выявления отклонений от рекомендаций клинических протоколов;</w:t>
      </w:r>
    </w:p>
    <w:bookmarkEnd w:id="465"/>
    <w:bookmarkStart w:name="z488" w:id="466"/>
    <w:p>
      <w:pPr>
        <w:spacing w:after="0"/>
        <w:ind w:left="0"/>
        <w:jc w:val="both"/>
      </w:pPr>
      <w:r>
        <w:rPr>
          <w:rFonts w:ascii="Times New Roman"/>
          <w:b w:val="false"/>
          <w:i w:val="false"/>
          <w:color w:val="000000"/>
          <w:sz w:val="28"/>
        </w:rPr>
        <w:t xml:space="preserve">
      фиксации медицинских ошибок и инцидентов на протяжении всего маршрута оказания помощи в защищенном неизменяемом реестре (технология блокчейн); </w:t>
      </w:r>
    </w:p>
    <w:bookmarkEnd w:id="466"/>
    <w:bookmarkStart w:name="z489" w:id="467"/>
    <w:p>
      <w:pPr>
        <w:spacing w:after="0"/>
        <w:ind w:left="0"/>
        <w:jc w:val="both"/>
      </w:pPr>
      <w:r>
        <w:rPr>
          <w:rFonts w:ascii="Times New Roman"/>
          <w:b w:val="false"/>
          <w:i w:val="false"/>
          <w:color w:val="000000"/>
          <w:sz w:val="28"/>
        </w:rPr>
        <w:t>
      предиктивной аналитики качества и прогноза показателей клинических исходов и удовлетворенности пациентов;</w:t>
      </w:r>
    </w:p>
    <w:bookmarkEnd w:id="467"/>
    <w:bookmarkStart w:name="z490" w:id="468"/>
    <w:p>
      <w:pPr>
        <w:spacing w:after="0"/>
        <w:ind w:left="0"/>
        <w:jc w:val="both"/>
      </w:pPr>
      <w:r>
        <w:rPr>
          <w:rFonts w:ascii="Times New Roman"/>
          <w:b w:val="false"/>
          <w:i w:val="false"/>
          <w:color w:val="000000"/>
          <w:sz w:val="28"/>
        </w:rPr>
        <w:t>
      автоматического ранжирования медицинских организаций по времени ожидания, частоте осложнений, удовлетворенности и других параметров;</w:t>
      </w:r>
    </w:p>
    <w:bookmarkEnd w:id="468"/>
    <w:bookmarkStart w:name="z491" w:id="469"/>
    <w:p>
      <w:pPr>
        <w:spacing w:after="0"/>
        <w:ind w:left="0"/>
        <w:jc w:val="both"/>
      </w:pPr>
      <w:r>
        <w:rPr>
          <w:rFonts w:ascii="Times New Roman"/>
          <w:b w:val="false"/>
          <w:i w:val="false"/>
          <w:color w:val="000000"/>
          <w:sz w:val="28"/>
        </w:rPr>
        <w:t>
      создание централизованной отчетности для поддержки управленческих решений на всех уровнях.</w:t>
      </w:r>
    </w:p>
    <w:bookmarkEnd w:id="469"/>
    <w:bookmarkStart w:name="z492" w:id="470"/>
    <w:p>
      <w:pPr>
        <w:spacing w:after="0"/>
        <w:ind w:left="0"/>
        <w:jc w:val="both"/>
      </w:pPr>
      <w:r>
        <w:rPr>
          <w:rFonts w:ascii="Times New Roman"/>
          <w:b w:val="false"/>
          <w:i w:val="false"/>
          <w:color w:val="000000"/>
          <w:sz w:val="28"/>
        </w:rPr>
        <w:t>
      Внедрение интегрированных инструментов качества через централизованные сервисы для МИС, направленные на поддержку клинических решений, в том числе систем клинических подсказок (ИИ-ассистент) и встроенных индикаторов риска в МИС; интеграции электронных медицинских записей с системой электронного аудита и контроля; применение ИИ для повторной интерпретации (второй читки) результатов медицинских изображений и лабораторно-инструментальных данных для проверки точности заключения; интеграция оцифрованных клинических протоколов в МИС; реализация механизмов оценки и обеспечения безопасности, клинической и экономической эффективности цифровых технологий и решений, включая инструменты, основанные на ИИ.</w:t>
      </w:r>
    </w:p>
    <w:bookmarkEnd w:id="470"/>
    <w:bookmarkStart w:name="z493" w:id="47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Повышение цифровой вовлеченности и </w:t>
      </w:r>
      <w:r>
        <w:rPr>
          <w:rFonts w:ascii="Times New Roman"/>
          <w:b w:val="false"/>
          <w:i/>
          <w:color w:val="000000"/>
          <w:sz w:val="28"/>
        </w:rPr>
        <w:t>самоменеджмента</w:t>
      </w:r>
      <w:r>
        <w:rPr>
          <w:rFonts w:ascii="Times New Roman"/>
          <w:b w:val="false"/>
          <w:i/>
          <w:color w:val="000000"/>
          <w:sz w:val="28"/>
        </w:rPr>
        <w:t xml:space="preserve"> пациентов</w:t>
      </w:r>
    </w:p>
    <w:bookmarkEnd w:id="471"/>
    <w:bookmarkStart w:name="z494" w:id="472"/>
    <w:p>
      <w:pPr>
        <w:spacing w:after="0"/>
        <w:ind w:left="0"/>
        <w:jc w:val="both"/>
      </w:pPr>
      <w:r>
        <w:rPr>
          <w:rFonts w:ascii="Times New Roman"/>
          <w:b w:val="false"/>
          <w:i w:val="false"/>
          <w:color w:val="000000"/>
          <w:sz w:val="28"/>
        </w:rPr>
        <w:t>
      Предоставление удобного, адаптированного под конкретные нозологии доступа населению к собственным результатам исследований, назначениям и участие в принятии решений (самоменеджмент) за счет расширения функционала модуля eDensaulyq на платформе eGov, мобильных приложений МИС.</w:t>
      </w:r>
    </w:p>
    <w:bookmarkEnd w:id="472"/>
    <w:bookmarkStart w:name="z495" w:id="473"/>
    <w:p>
      <w:pPr>
        <w:spacing w:after="0"/>
        <w:ind w:left="0"/>
        <w:jc w:val="both"/>
      </w:pPr>
      <w:r>
        <w:rPr>
          <w:rFonts w:ascii="Times New Roman"/>
          <w:b w:val="false"/>
          <w:i w:val="false"/>
          <w:color w:val="000000"/>
          <w:sz w:val="28"/>
        </w:rPr>
        <w:t>
      Проработка вопроса развития совместимости медицинских информационных систем с портативными медицинскими устройствами и приложениями для самоменеджмента хронических заболеваний.</w:t>
      </w:r>
    </w:p>
    <w:bookmarkEnd w:id="473"/>
    <w:bookmarkStart w:name="z496" w:id="474"/>
    <w:p>
      <w:pPr>
        <w:spacing w:after="0"/>
        <w:ind w:left="0"/>
        <w:jc w:val="both"/>
      </w:pPr>
      <w:r>
        <w:rPr>
          <w:rFonts w:ascii="Times New Roman"/>
          <w:b w:val="false"/>
          <w:i w:val="false"/>
          <w:color w:val="000000"/>
          <w:sz w:val="28"/>
        </w:rPr>
        <w:t xml:space="preserve">
      </w:t>
      </w:r>
      <w:r>
        <w:rPr>
          <w:rFonts w:ascii="Times New Roman"/>
          <w:b/>
          <w:i w:val="false"/>
          <w:color w:val="000000"/>
          <w:sz w:val="28"/>
        </w:rPr>
        <w:t>Направление 7. Технологическое развитие фармацевтической и медицинской промышленности, устойчивое лекарственное обеспечение</w:t>
      </w:r>
    </w:p>
    <w:bookmarkEnd w:id="474"/>
    <w:bookmarkStart w:name="z497" w:id="475"/>
    <w:p>
      <w:pPr>
        <w:spacing w:after="0"/>
        <w:ind w:left="0"/>
        <w:jc w:val="both"/>
      </w:pPr>
      <w:r>
        <w:rPr>
          <w:rFonts w:ascii="Times New Roman"/>
          <w:b w:val="false"/>
          <w:i w:val="false"/>
          <w:color w:val="000000"/>
          <w:sz w:val="28"/>
        </w:rPr>
        <w:t>
      повышение потенциала казахстанской фармацевтической и медицинской промышленности, стимулирование локализации производства, разработка целостной фармацевтической политики;</w:t>
      </w:r>
    </w:p>
    <w:bookmarkEnd w:id="475"/>
    <w:bookmarkStart w:name="z498" w:id="476"/>
    <w:p>
      <w:pPr>
        <w:spacing w:after="0"/>
        <w:ind w:left="0"/>
        <w:jc w:val="both"/>
      </w:pPr>
      <w:r>
        <w:rPr>
          <w:rFonts w:ascii="Times New Roman"/>
          <w:b w:val="false"/>
          <w:i w:val="false"/>
          <w:color w:val="000000"/>
          <w:sz w:val="28"/>
        </w:rPr>
        <w:t>
      развитие и внедрение ресурсосберегающих технологий здравоохранения;</w:t>
      </w:r>
    </w:p>
    <w:bookmarkEnd w:id="476"/>
    <w:bookmarkStart w:name="z499" w:id="477"/>
    <w:p>
      <w:pPr>
        <w:spacing w:after="0"/>
        <w:ind w:left="0"/>
        <w:jc w:val="both"/>
      </w:pPr>
      <w:r>
        <w:rPr>
          <w:rFonts w:ascii="Times New Roman"/>
          <w:b w:val="false"/>
          <w:i w:val="false"/>
          <w:color w:val="000000"/>
          <w:sz w:val="28"/>
        </w:rPr>
        <w:t>
      совершенствование лекарственного обеспечения и рациональное использование лекарственных средств.</w:t>
      </w:r>
    </w:p>
    <w:bookmarkEnd w:id="477"/>
    <w:bookmarkStart w:name="z500" w:id="478"/>
    <w:p>
      <w:pPr>
        <w:spacing w:after="0"/>
        <w:ind w:left="0"/>
        <w:jc w:val="both"/>
      </w:pPr>
      <w:r>
        <w:rPr>
          <w:rFonts w:ascii="Times New Roman"/>
          <w:b w:val="false"/>
          <w:i w:val="false"/>
          <w:color w:val="000000"/>
          <w:sz w:val="28"/>
        </w:rPr>
        <w:t xml:space="preserve">
      </w:t>
      </w:r>
      <w:r>
        <w:rPr>
          <w:rFonts w:ascii="Times New Roman"/>
          <w:b w:val="false"/>
          <w:i/>
          <w:color w:val="000000"/>
          <w:sz w:val="28"/>
        </w:rPr>
        <w:t>Повышение потенциала казахстанской фармацевтической и медицинской промышленности, стимулирование локализации производства</w:t>
      </w:r>
    </w:p>
    <w:bookmarkEnd w:id="478"/>
    <w:bookmarkStart w:name="z501" w:id="479"/>
    <w:p>
      <w:pPr>
        <w:spacing w:after="0"/>
        <w:ind w:left="0"/>
        <w:jc w:val="both"/>
      </w:pPr>
      <w:r>
        <w:rPr>
          <w:rFonts w:ascii="Times New Roman"/>
          <w:b w:val="false"/>
          <w:i w:val="false"/>
          <w:color w:val="000000"/>
          <w:sz w:val="28"/>
        </w:rPr>
        <w:t>
      Создание условий для устойчивого роста доли продукции казахстанских производителей путем:</w:t>
      </w:r>
    </w:p>
    <w:bookmarkEnd w:id="479"/>
    <w:bookmarkStart w:name="z502" w:id="480"/>
    <w:p>
      <w:pPr>
        <w:spacing w:after="0"/>
        <w:ind w:left="0"/>
        <w:jc w:val="both"/>
      </w:pPr>
      <w:r>
        <w:rPr>
          <w:rFonts w:ascii="Times New Roman"/>
          <w:b w:val="false"/>
          <w:i w:val="false"/>
          <w:color w:val="000000"/>
          <w:sz w:val="28"/>
        </w:rPr>
        <w:t>
      совершенствование деятельности региональных кластеров фармацевтической и медицинской промышленности в городах Астане, Актобе и Шымкенте;</w:t>
      </w:r>
    </w:p>
    <w:bookmarkEnd w:id="480"/>
    <w:bookmarkStart w:name="z503" w:id="481"/>
    <w:p>
      <w:pPr>
        <w:spacing w:after="0"/>
        <w:ind w:left="0"/>
        <w:jc w:val="both"/>
      </w:pPr>
      <w:r>
        <w:rPr>
          <w:rFonts w:ascii="Times New Roman"/>
          <w:b w:val="false"/>
          <w:i w:val="false"/>
          <w:color w:val="000000"/>
          <w:sz w:val="28"/>
        </w:rPr>
        <w:t>
      усиления взаимодействия с научными организациями в области здравоохранения с целью проведения исследований и подготовки кадров для промышленных предприятий;</w:t>
      </w:r>
    </w:p>
    <w:bookmarkEnd w:id="481"/>
    <w:bookmarkStart w:name="z504" w:id="482"/>
    <w:p>
      <w:pPr>
        <w:spacing w:after="0"/>
        <w:ind w:left="0"/>
        <w:jc w:val="both"/>
      </w:pPr>
      <w:r>
        <w:rPr>
          <w:rFonts w:ascii="Times New Roman"/>
          <w:b w:val="false"/>
          <w:i w:val="false"/>
          <w:color w:val="000000"/>
          <w:sz w:val="28"/>
        </w:rPr>
        <w:t>
      расширения перечня выпускаемой фармацевтической продукции казахстанскими производителями, в том числе инновационной, для лечения сердечно-сосудистых, онкологических, аутоиммунных и диабетических заболеваний;</w:t>
      </w:r>
    </w:p>
    <w:bookmarkEnd w:id="482"/>
    <w:bookmarkStart w:name="z505" w:id="483"/>
    <w:p>
      <w:pPr>
        <w:spacing w:after="0"/>
        <w:ind w:left="0"/>
        <w:jc w:val="both"/>
      </w:pPr>
      <w:r>
        <w:rPr>
          <w:rFonts w:ascii="Times New Roman"/>
          <w:b w:val="false"/>
          <w:i w:val="false"/>
          <w:color w:val="000000"/>
          <w:sz w:val="28"/>
        </w:rPr>
        <w:t>
      привлечения инвестиций в фармацевтическую промышленность, в том числе и с использованием механизмов соглашений об инвестициях и инвестиционных контрактов для устойчивого роста доли продукции казахстанских производителей.</w:t>
      </w:r>
    </w:p>
    <w:bookmarkEnd w:id="483"/>
    <w:bookmarkStart w:name="z506" w:id="484"/>
    <w:p>
      <w:pPr>
        <w:spacing w:after="0"/>
        <w:ind w:left="0"/>
        <w:jc w:val="both"/>
      </w:pPr>
      <w:r>
        <w:rPr>
          <w:rFonts w:ascii="Times New Roman"/>
          <w:b w:val="false"/>
          <w:i w:val="false"/>
          <w:color w:val="000000"/>
          <w:sz w:val="28"/>
        </w:rPr>
        <w:t>
      Развитие партнерства с ведущими мировыми фармацевтическими производителями Big Pharma – Top 50 в целях обеспечения трансферта технологий и локализации производства.</w:t>
      </w:r>
    </w:p>
    <w:bookmarkEnd w:id="484"/>
    <w:bookmarkStart w:name="z507" w:id="485"/>
    <w:p>
      <w:pPr>
        <w:spacing w:after="0"/>
        <w:ind w:left="0"/>
        <w:jc w:val="both"/>
      </w:pPr>
      <w:r>
        <w:rPr>
          <w:rFonts w:ascii="Times New Roman"/>
          <w:b w:val="false"/>
          <w:i w:val="false"/>
          <w:color w:val="000000"/>
          <w:sz w:val="28"/>
        </w:rPr>
        <w:t xml:space="preserve">
      </w:t>
      </w:r>
      <w:r>
        <w:rPr>
          <w:rFonts w:ascii="Times New Roman"/>
          <w:b w:val="false"/>
          <w:i/>
          <w:color w:val="000000"/>
          <w:sz w:val="28"/>
        </w:rPr>
        <w:t>Развитие и внедрение ресурсосберегающих технологий здравоохранения</w:t>
      </w:r>
    </w:p>
    <w:bookmarkEnd w:id="485"/>
    <w:bookmarkStart w:name="z508" w:id="486"/>
    <w:p>
      <w:pPr>
        <w:spacing w:after="0"/>
        <w:ind w:left="0"/>
        <w:jc w:val="both"/>
      </w:pPr>
      <w:r>
        <w:rPr>
          <w:rFonts w:ascii="Times New Roman"/>
          <w:b w:val="false"/>
          <w:i w:val="false"/>
          <w:color w:val="000000"/>
          <w:sz w:val="28"/>
        </w:rPr>
        <w:t>
      Повышение потенциала оценки технологий здравоохранения за счет совершенствования методологии и процедур оценки, в том числе требований к качеству отчета, методологических требований и валидации результатов.</w:t>
      </w:r>
    </w:p>
    <w:bookmarkEnd w:id="486"/>
    <w:bookmarkStart w:name="z509" w:id="487"/>
    <w:p>
      <w:pPr>
        <w:spacing w:after="0"/>
        <w:ind w:left="0"/>
        <w:jc w:val="both"/>
      </w:pPr>
      <w:r>
        <w:rPr>
          <w:rFonts w:ascii="Times New Roman"/>
          <w:b w:val="false"/>
          <w:i w:val="false"/>
          <w:color w:val="000000"/>
          <w:sz w:val="28"/>
        </w:rPr>
        <w:t xml:space="preserve">
      С целью повышения эффективности использования ресурсов здравоохранения в методологию будет рассмотрен вопрос внедрения расчета показателя "год жизни, скорректированный на качество жизни, связанное со здоровьем" (далее – QALY), на единицу инвестиции. Данный инструмент позволит оценивать ожидаемый прирост продолжительности и качества жизни населения при реализации конкретных программ и проектов, сопоставлять альтернативные направления вложений и обеспечивать приоритизацию финансирования на основе объективной оценки их социальной и медицинской ценности. </w:t>
      </w:r>
    </w:p>
    <w:bookmarkEnd w:id="487"/>
    <w:bookmarkStart w:name="z510" w:id="488"/>
    <w:p>
      <w:pPr>
        <w:spacing w:after="0"/>
        <w:ind w:left="0"/>
        <w:jc w:val="both"/>
      </w:pPr>
      <w:r>
        <w:rPr>
          <w:rFonts w:ascii="Times New Roman"/>
          <w:b w:val="false"/>
          <w:i w:val="false"/>
          <w:color w:val="000000"/>
          <w:sz w:val="28"/>
        </w:rPr>
        <w:t>
      Приоритетное рассмотрение технологий, имеющих высокий потенциал эффективности.</w:t>
      </w:r>
    </w:p>
    <w:bookmarkEnd w:id="488"/>
    <w:bookmarkStart w:name="z511" w:id="489"/>
    <w:p>
      <w:pPr>
        <w:spacing w:after="0"/>
        <w:ind w:left="0"/>
        <w:jc w:val="both"/>
      </w:pPr>
      <w:r>
        <w:rPr>
          <w:rFonts w:ascii="Times New Roman"/>
          <w:b w:val="false"/>
          <w:i w:val="false"/>
          <w:color w:val="000000"/>
          <w:sz w:val="28"/>
        </w:rPr>
        <w:t xml:space="preserve">
      </w:t>
      </w:r>
      <w:r>
        <w:rPr>
          <w:rFonts w:ascii="Times New Roman"/>
          <w:b w:val="false"/>
          <w:i/>
          <w:color w:val="000000"/>
          <w:sz w:val="28"/>
        </w:rPr>
        <w:t>Совершенствование лекарственного обеспечения и рациональное использование лекарственных средств</w:t>
      </w:r>
    </w:p>
    <w:bookmarkEnd w:id="489"/>
    <w:bookmarkStart w:name="z512" w:id="490"/>
    <w:p>
      <w:pPr>
        <w:spacing w:after="0"/>
        <w:ind w:left="0"/>
        <w:jc w:val="both"/>
      </w:pPr>
      <w:r>
        <w:rPr>
          <w:rFonts w:ascii="Times New Roman"/>
          <w:b w:val="false"/>
          <w:i w:val="false"/>
          <w:color w:val="000000"/>
          <w:sz w:val="28"/>
        </w:rPr>
        <w:t xml:space="preserve">
      Лекарственное обеспечение будет ориентировано на эффективное, безопасное и рациональное использование лекарственных средств путем: </w:t>
      </w:r>
    </w:p>
    <w:bookmarkEnd w:id="490"/>
    <w:bookmarkStart w:name="z513" w:id="491"/>
    <w:p>
      <w:pPr>
        <w:spacing w:after="0"/>
        <w:ind w:left="0"/>
        <w:jc w:val="both"/>
      </w:pPr>
      <w:r>
        <w:rPr>
          <w:rFonts w:ascii="Times New Roman"/>
          <w:b w:val="false"/>
          <w:i w:val="false"/>
          <w:color w:val="000000"/>
          <w:sz w:val="28"/>
        </w:rPr>
        <w:t>
      совершенствования планирования АЛО по персонифицированной потребности на основе индивидуальных назначений и реальной потребности пациентов;</w:t>
      </w:r>
    </w:p>
    <w:bookmarkEnd w:id="491"/>
    <w:bookmarkStart w:name="z514" w:id="492"/>
    <w:p>
      <w:pPr>
        <w:spacing w:after="0"/>
        <w:ind w:left="0"/>
        <w:jc w:val="both"/>
      </w:pPr>
      <w:r>
        <w:rPr>
          <w:rFonts w:ascii="Times New Roman"/>
          <w:b w:val="false"/>
          <w:i w:val="false"/>
          <w:color w:val="000000"/>
          <w:sz w:val="28"/>
        </w:rPr>
        <w:t>
      объединения информационных потоков по потреблению, остаткам, логистике и срокам годности для оперативного анализа, перераспределения и совершенствования планирования;</w:t>
      </w:r>
    </w:p>
    <w:bookmarkEnd w:id="492"/>
    <w:bookmarkStart w:name="z515" w:id="493"/>
    <w:p>
      <w:pPr>
        <w:spacing w:after="0"/>
        <w:ind w:left="0"/>
        <w:jc w:val="both"/>
      </w:pPr>
      <w:r>
        <w:rPr>
          <w:rFonts w:ascii="Times New Roman"/>
          <w:b w:val="false"/>
          <w:i w:val="false"/>
          <w:color w:val="000000"/>
          <w:sz w:val="28"/>
        </w:rPr>
        <w:t>
      расширения практики централизованного отпуска и контроля за применением лекарственных средств с участием отделений клинической фармакологии и учетом экономической целесообразности;</w:t>
      </w:r>
    </w:p>
    <w:bookmarkEnd w:id="493"/>
    <w:bookmarkStart w:name="z516" w:id="494"/>
    <w:p>
      <w:pPr>
        <w:spacing w:after="0"/>
        <w:ind w:left="0"/>
        <w:jc w:val="both"/>
      </w:pPr>
      <w:r>
        <w:rPr>
          <w:rFonts w:ascii="Times New Roman"/>
          <w:b w:val="false"/>
          <w:i w:val="false"/>
          <w:color w:val="000000"/>
          <w:sz w:val="28"/>
        </w:rPr>
        <w:t>
      расширения практики преимущественного заключения единым дистрибьютором прямых контрактов с производителями.</w:t>
      </w:r>
    </w:p>
    <w:bookmarkEnd w:id="494"/>
    <w:bookmarkStart w:name="z517" w:id="495"/>
    <w:p>
      <w:pPr>
        <w:spacing w:after="0"/>
        <w:ind w:left="0"/>
        <w:jc w:val="both"/>
      </w:pPr>
      <w:r>
        <w:rPr>
          <w:rFonts w:ascii="Times New Roman"/>
          <w:b w:val="false"/>
          <w:i w:val="false"/>
          <w:color w:val="000000"/>
          <w:sz w:val="28"/>
        </w:rPr>
        <w:t xml:space="preserve">
      </w:t>
      </w:r>
      <w:r>
        <w:rPr>
          <w:rFonts w:ascii="Times New Roman"/>
          <w:b/>
          <w:i w:val="false"/>
          <w:color w:val="000000"/>
          <w:sz w:val="28"/>
        </w:rPr>
        <w:t>Направление 8. Трансформация системы кадрового обеспечения и развитие науки как основа устойчивого и эффективного здравоохранения</w:t>
      </w:r>
    </w:p>
    <w:bookmarkEnd w:id="495"/>
    <w:bookmarkStart w:name="z518" w:id="496"/>
    <w:p>
      <w:pPr>
        <w:spacing w:after="0"/>
        <w:ind w:left="0"/>
        <w:jc w:val="both"/>
      </w:pPr>
      <w:r>
        <w:rPr>
          <w:rFonts w:ascii="Times New Roman"/>
          <w:b w:val="false"/>
          <w:i w:val="false"/>
          <w:color w:val="000000"/>
          <w:sz w:val="28"/>
        </w:rPr>
        <w:t>
      создание единой цифровой системы управления кадровыми ресурсами здравоохранения;</w:t>
      </w:r>
    </w:p>
    <w:bookmarkEnd w:id="496"/>
    <w:bookmarkStart w:name="z519" w:id="497"/>
    <w:p>
      <w:pPr>
        <w:spacing w:after="0"/>
        <w:ind w:left="0"/>
        <w:jc w:val="both"/>
      </w:pPr>
      <w:r>
        <w:rPr>
          <w:rFonts w:ascii="Times New Roman"/>
          <w:b w:val="false"/>
          <w:i w:val="false"/>
          <w:color w:val="000000"/>
          <w:sz w:val="28"/>
        </w:rPr>
        <w:t>
      укрепление системы непрерывного профессионального развития и повышение статуса, мотивация, удержание и правовая защита работников здравоохранения;</w:t>
      </w:r>
    </w:p>
    <w:bookmarkEnd w:id="497"/>
    <w:bookmarkStart w:name="z520" w:id="498"/>
    <w:p>
      <w:pPr>
        <w:spacing w:after="0"/>
        <w:ind w:left="0"/>
        <w:jc w:val="both"/>
      </w:pPr>
      <w:r>
        <w:rPr>
          <w:rFonts w:ascii="Times New Roman"/>
          <w:b w:val="false"/>
          <w:i w:val="false"/>
          <w:color w:val="000000"/>
          <w:sz w:val="28"/>
        </w:rPr>
        <w:t>
      развитие потенциала медицинской сестры как ключевого ресурса устойчивой системы здравоохранения;</w:t>
      </w:r>
    </w:p>
    <w:bookmarkEnd w:id="498"/>
    <w:bookmarkStart w:name="z521" w:id="499"/>
    <w:p>
      <w:pPr>
        <w:spacing w:after="0"/>
        <w:ind w:left="0"/>
        <w:jc w:val="both"/>
      </w:pPr>
      <w:r>
        <w:rPr>
          <w:rFonts w:ascii="Times New Roman"/>
          <w:b w:val="false"/>
          <w:i w:val="false"/>
          <w:color w:val="000000"/>
          <w:sz w:val="28"/>
        </w:rPr>
        <w:t xml:space="preserve">
      модернизация медицинского образования; </w:t>
      </w:r>
    </w:p>
    <w:bookmarkEnd w:id="499"/>
    <w:bookmarkStart w:name="z522" w:id="500"/>
    <w:p>
      <w:pPr>
        <w:spacing w:after="0"/>
        <w:ind w:left="0"/>
        <w:jc w:val="both"/>
      </w:pPr>
      <w:r>
        <w:rPr>
          <w:rFonts w:ascii="Times New Roman"/>
          <w:b w:val="false"/>
          <w:i w:val="false"/>
          <w:color w:val="000000"/>
          <w:sz w:val="28"/>
        </w:rPr>
        <w:t>
      развитие научного потенциала и поддержка биомедицинских исследований.</w:t>
      </w:r>
    </w:p>
    <w:bookmarkEnd w:id="500"/>
    <w:bookmarkStart w:name="z523" w:id="50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Создание единой цифровой системы управления кадровыми ресурсами здравоохранения </w:t>
      </w:r>
    </w:p>
    <w:bookmarkEnd w:id="501"/>
    <w:bookmarkStart w:name="z524" w:id="502"/>
    <w:p>
      <w:pPr>
        <w:spacing w:after="0"/>
        <w:ind w:left="0"/>
        <w:jc w:val="both"/>
      </w:pPr>
      <w:r>
        <w:rPr>
          <w:rFonts w:ascii="Times New Roman"/>
          <w:b w:val="false"/>
          <w:i w:val="false"/>
          <w:color w:val="000000"/>
          <w:sz w:val="28"/>
        </w:rPr>
        <w:t>
      Будет модифицирована национальная система учета кадровых ресурсов системы здравоохранения, которая будет включать регистр работников здравоохранения с персонифицированным учетом в разрезе регионов, организаций и специальностей от момента поступления в организацию образования (колледж, ОВПО) до окончания трудовой деятельности; базу данных с блокчейн-верификацией квалификаций и показателей индивидуального профессионального рейтинга для прозрачного кадрового учета с отражением компетенций, результатов обучения и достижений; функционал мониторинга для прогнозирования обеспеченности кадровыми ресурсами.</w:t>
      </w:r>
    </w:p>
    <w:bookmarkEnd w:id="502"/>
    <w:bookmarkStart w:name="z525" w:id="503"/>
    <w:p>
      <w:pPr>
        <w:spacing w:after="0"/>
        <w:ind w:left="0"/>
        <w:jc w:val="both"/>
      </w:pPr>
      <w:r>
        <w:rPr>
          <w:rFonts w:ascii="Times New Roman"/>
          <w:b w:val="false"/>
          <w:i w:val="false"/>
          <w:color w:val="000000"/>
          <w:sz w:val="28"/>
        </w:rPr>
        <w:t>
      Будут утверждены методические рекомендации по планированию и прогнозированию кадровых ресурсов здравоохранения.</w:t>
      </w:r>
    </w:p>
    <w:bookmarkEnd w:id="503"/>
    <w:bookmarkStart w:name="z526" w:id="504"/>
    <w:p>
      <w:pPr>
        <w:spacing w:after="0"/>
        <w:ind w:left="0"/>
        <w:jc w:val="both"/>
      </w:pPr>
      <w:r>
        <w:rPr>
          <w:rFonts w:ascii="Times New Roman"/>
          <w:b w:val="false"/>
          <w:i w:val="false"/>
          <w:color w:val="000000"/>
          <w:sz w:val="28"/>
        </w:rPr>
        <w:t xml:space="preserve">
      </w:t>
      </w:r>
      <w:r>
        <w:rPr>
          <w:rFonts w:ascii="Times New Roman"/>
          <w:b w:val="false"/>
          <w:i/>
          <w:color w:val="000000"/>
          <w:sz w:val="28"/>
        </w:rPr>
        <w:t>Непрерывное профессиональное развитие и повышение статуса, мотиваци</w:t>
      </w:r>
      <w:r>
        <w:rPr>
          <w:rFonts w:ascii="Times New Roman"/>
          <w:b w:val="false"/>
          <w:i/>
          <w:color w:val="000000"/>
          <w:sz w:val="28"/>
        </w:rPr>
        <w:t>я</w:t>
      </w:r>
      <w:r>
        <w:rPr>
          <w:rFonts w:ascii="Times New Roman"/>
          <w:b w:val="false"/>
          <w:i/>
          <w:color w:val="000000"/>
          <w:sz w:val="28"/>
        </w:rPr>
        <w:t xml:space="preserve">, удержание и правовая защита работников здравоохранения </w:t>
      </w:r>
    </w:p>
    <w:bookmarkEnd w:id="504"/>
    <w:bookmarkStart w:name="z527" w:id="505"/>
    <w:p>
      <w:pPr>
        <w:spacing w:after="0"/>
        <w:ind w:left="0"/>
        <w:jc w:val="both"/>
      </w:pPr>
      <w:r>
        <w:rPr>
          <w:rFonts w:ascii="Times New Roman"/>
          <w:b w:val="false"/>
          <w:i w:val="false"/>
          <w:color w:val="000000"/>
          <w:sz w:val="28"/>
        </w:rPr>
        <w:t>
      Будет продолжено совершенствование условий для устойчивого профессионального развития, карьерного роста путем создания при ОВПО центров карьерного роста для работы с каждым студентом с целью выбора будущей специальности и места работы; центров адаптации и наставничества в медицинских организациях; формирование современной системы практико-ориентированного развития специалистов здравоохранения, основанной на развитии устойчивых партнерств между ОВПО, колледжами, научными и медицинскими организациями, расширение использования симуляционных технологий, а также интеграция в образовательные программы анализа медицинских инцидентов, страховых случаев и системных ошибок; стажировки внутри страны и за рубежом, повышение уровня знания английского языка и работы с научными публикациями; продвижение специалистов в организациях здравоохранения по результатам профессионального развития и оценки.</w:t>
      </w:r>
    </w:p>
    <w:bookmarkEnd w:id="505"/>
    <w:bookmarkStart w:name="z528" w:id="506"/>
    <w:p>
      <w:pPr>
        <w:spacing w:after="0"/>
        <w:ind w:left="0"/>
        <w:jc w:val="both"/>
      </w:pPr>
      <w:r>
        <w:rPr>
          <w:rFonts w:ascii="Times New Roman"/>
          <w:b w:val="false"/>
          <w:i w:val="false"/>
          <w:color w:val="000000"/>
          <w:sz w:val="28"/>
        </w:rPr>
        <w:t>
      Для устойчивого сокращения оттока медицинских кадров предусматривается проработка мер: по развитию системы доплат для специалистов первичного звена и педиатрического профиля в сельской местности; разработке и мониторингу показателей в планы развития регионов по стимулированию медицинских работников, трудоустроенных в сельскую местность, в том числе обеспечению жильем; выделению грантов на индивидуальное профессиональное развитие для лучших сельских врачей (стажировки, международные конференции).</w:t>
      </w:r>
    </w:p>
    <w:bookmarkEnd w:id="506"/>
    <w:bookmarkStart w:name="z529" w:id="507"/>
    <w:p>
      <w:pPr>
        <w:spacing w:after="0"/>
        <w:ind w:left="0"/>
        <w:jc w:val="both"/>
      </w:pPr>
      <w:r>
        <w:rPr>
          <w:rFonts w:ascii="Times New Roman"/>
          <w:b w:val="false"/>
          <w:i w:val="false"/>
          <w:color w:val="000000"/>
          <w:sz w:val="28"/>
        </w:rPr>
        <w:t xml:space="preserve">
      Будет рассмотрена возможность поэтапного перехода на лицензирование врачей и средних медицинских работников на основе международного опыта. </w:t>
      </w:r>
    </w:p>
    <w:bookmarkEnd w:id="507"/>
    <w:bookmarkStart w:name="z530" w:id="508"/>
    <w:p>
      <w:pPr>
        <w:spacing w:after="0"/>
        <w:ind w:left="0"/>
        <w:jc w:val="both"/>
      </w:pPr>
      <w:r>
        <w:rPr>
          <w:rFonts w:ascii="Times New Roman"/>
          <w:b w:val="false"/>
          <w:i w:val="false"/>
          <w:color w:val="000000"/>
          <w:sz w:val="28"/>
        </w:rPr>
        <w:t>
      По профилактике насилия в медицинских организациях планируются разработка и внедрение программ: обучение медицинского персонала методам деэскалации конфликтов и безопасного поведения в кризисных ситуациях.</w:t>
      </w:r>
    </w:p>
    <w:bookmarkEnd w:id="508"/>
    <w:bookmarkStart w:name="z531" w:id="509"/>
    <w:p>
      <w:pPr>
        <w:spacing w:after="0"/>
        <w:ind w:left="0"/>
        <w:jc w:val="both"/>
      </w:pPr>
      <w:r>
        <w:rPr>
          <w:rFonts w:ascii="Times New Roman"/>
          <w:b w:val="false"/>
          <w:i w:val="false"/>
          <w:color w:val="000000"/>
          <w:sz w:val="28"/>
        </w:rPr>
        <w:t xml:space="preserve">
      Для формирования устойчивой системы профессионального саморегулирования в здравоохранении предполагается постепенное расширение роли медицинских ассоциаций и общественных объединений. Планируются запуск пилотного проекта по развитию профессиональных медицинских ассоциаций и последующее его масштабирование. </w:t>
      </w:r>
    </w:p>
    <w:bookmarkEnd w:id="509"/>
    <w:bookmarkStart w:name="z532" w:id="510"/>
    <w:p>
      <w:pPr>
        <w:spacing w:after="0"/>
        <w:ind w:left="0"/>
        <w:jc w:val="both"/>
      </w:pPr>
      <w:r>
        <w:rPr>
          <w:rFonts w:ascii="Times New Roman"/>
          <w:b w:val="false"/>
          <w:i w:val="false"/>
          <w:color w:val="000000"/>
          <w:sz w:val="28"/>
        </w:rPr>
        <w:t xml:space="preserve">
      </w:t>
      </w:r>
      <w:r>
        <w:rPr>
          <w:rFonts w:ascii="Times New Roman"/>
          <w:b w:val="false"/>
          <w:i/>
          <w:color w:val="000000"/>
          <w:sz w:val="28"/>
        </w:rPr>
        <w:t>Развитие потенциала медицинской сестры как ключевого ресурса устойчивой системы здравоохранения</w:t>
      </w:r>
    </w:p>
    <w:bookmarkEnd w:id="510"/>
    <w:bookmarkStart w:name="z533" w:id="511"/>
    <w:p>
      <w:pPr>
        <w:spacing w:after="0"/>
        <w:ind w:left="0"/>
        <w:jc w:val="both"/>
      </w:pPr>
      <w:r>
        <w:rPr>
          <w:rFonts w:ascii="Times New Roman"/>
          <w:b w:val="false"/>
          <w:i w:val="false"/>
          <w:color w:val="000000"/>
          <w:sz w:val="28"/>
        </w:rPr>
        <w:t>
      Завершение институционализации новой модели расширенной сестринской практики путем развития центров лучших сестринских практик на базе действующих организаций в части распространения эффективных моделей организации работы, развития навыков, наставничества и обмена знаниями.</w:t>
      </w:r>
    </w:p>
    <w:bookmarkEnd w:id="511"/>
    <w:bookmarkStart w:name="z534" w:id="512"/>
    <w:p>
      <w:pPr>
        <w:spacing w:after="0"/>
        <w:ind w:left="0"/>
        <w:jc w:val="both"/>
      </w:pPr>
      <w:r>
        <w:rPr>
          <w:rFonts w:ascii="Times New Roman"/>
          <w:b w:val="false"/>
          <w:i w:val="false"/>
          <w:color w:val="000000"/>
          <w:sz w:val="28"/>
        </w:rPr>
        <w:t xml:space="preserve">
      Будет рассмотрен вопрос передачи больниц (отделений) сестринского ухода, хосписов под клинические базы медицинских колледжей. </w:t>
      </w:r>
    </w:p>
    <w:bookmarkEnd w:id="512"/>
    <w:bookmarkStart w:name="z535" w:id="513"/>
    <w:p>
      <w:pPr>
        <w:spacing w:after="0"/>
        <w:ind w:left="0"/>
        <w:jc w:val="both"/>
      </w:pPr>
      <w:r>
        <w:rPr>
          <w:rFonts w:ascii="Times New Roman"/>
          <w:b w:val="false"/>
          <w:i w:val="false"/>
          <w:color w:val="000000"/>
          <w:sz w:val="28"/>
        </w:rPr>
        <w:t xml:space="preserve">
      </w:t>
      </w:r>
      <w:r>
        <w:rPr>
          <w:rFonts w:ascii="Times New Roman"/>
          <w:b w:val="false"/>
          <w:i/>
          <w:color w:val="000000"/>
          <w:sz w:val="28"/>
        </w:rPr>
        <w:t>Модернизация медицинского образования</w:t>
      </w:r>
    </w:p>
    <w:bookmarkEnd w:id="513"/>
    <w:bookmarkStart w:name="z536" w:id="514"/>
    <w:p>
      <w:pPr>
        <w:spacing w:after="0"/>
        <w:ind w:left="0"/>
        <w:jc w:val="both"/>
      </w:pPr>
      <w:r>
        <w:rPr>
          <w:rFonts w:ascii="Times New Roman"/>
          <w:b w:val="false"/>
          <w:i w:val="false"/>
          <w:color w:val="000000"/>
          <w:sz w:val="28"/>
        </w:rPr>
        <w:t>
      Дальнейшая модернизация структуры и содержания образовательных программ будет осуществляться в соответствии с международными стандартами с учетом ориентира на подготовку специалистов здравоохранения будущего, включая:</w:t>
      </w:r>
    </w:p>
    <w:bookmarkEnd w:id="514"/>
    <w:bookmarkStart w:name="z537" w:id="515"/>
    <w:p>
      <w:pPr>
        <w:spacing w:after="0"/>
        <w:ind w:left="0"/>
        <w:jc w:val="both"/>
      </w:pPr>
      <w:r>
        <w:rPr>
          <w:rFonts w:ascii="Times New Roman"/>
          <w:b w:val="false"/>
          <w:i w:val="false"/>
          <w:color w:val="000000"/>
          <w:sz w:val="28"/>
        </w:rPr>
        <w:t>
      гармонизацию с рекомендациями ВОЗ в рамках Глобальной структуры компетенций и результатов для всеобщего охвата услугами здравоохранения;</w:t>
      </w:r>
    </w:p>
    <w:bookmarkEnd w:id="515"/>
    <w:bookmarkStart w:name="z538" w:id="516"/>
    <w:p>
      <w:pPr>
        <w:spacing w:after="0"/>
        <w:ind w:left="0"/>
        <w:jc w:val="both"/>
      </w:pPr>
      <w:r>
        <w:rPr>
          <w:rFonts w:ascii="Times New Roman"/>
          <w:b w:val="false"/>
          <w:i w:val="false"/>
          <w:color w:val="000000"/>
          <w:sz w:val="28"/>
        </w:rPr>
        <w:t>
      пересмотр содержания образовательных программ с акцентом на развитие компетенций, соответствующих современным потребностям системы здравоохранения и профессиональным стандартам;</w:t>
      </w:r>
    </w:p>
    <w:bookmarkEnd w:id="516"/>
    <w:bookmarkStart w:name="z539" w:id="517"/>
    <w:p>
      <w:pPr>
        <w:spacing w:after="0"/>
        <w:ind w:left="0"/>
        <w:jc w:val="both"/>
      </w:pPr>
      <w:r>
        <w:rPr>
          <w:rFonts w:ascii="Times New Roman"/>
          <w:b w:val="false"/>
          <w:i w:val="false"/>
          <w:color w:val="000000"/>
          <w:sz w:val="28"/>
        </w:rPr>
        <w:t>
      расширение доли практической составляющей образовательного процесса, способствующего развитию клинического мышления, путем усиления связи организаций медицинского образования с клиническими базами, расширения перечня клинических баз за счет вовлечения региональных медицинских организаций, развития технологий симуляционного обучения;</w:t>
      </w:r>
    </w:p>
    <w:bookmarkEnd w:id="517"/>
    <w:bookmarkStart w:name="z540" w:id="518"/>
    <w:p>
      <w:pPr>
        <w:spacing w:after="0"/>
        <w:ind w:left="0"/>
        <w:jc w:val="both"/>
      </w:pPr>
      <w:r>
        <w:rPr>
          <w:rFonts w:ascii="Times New Roman"/>
          <w:b w:val="false"/>
          <w:i w:val="false"/>
          <w:color w:val="000000"/>
          <w:sz w:val="28"/>
        </w:rPr>
        <w:t>
      обеспечение гибкости образовательных траекторий в медицинском образовании с учетом индивидуальных потребностей обучающихся, профессиональных стандартов и приоритетов системы здравоохранения;</w:t>
      </w:r>
    </w:p>
    <w:bookmarkEnd w:id="518"/>
    <w:bookmarkStart w:name="z541" w:id="519"/>
    <w:p>
      <w:pPr>
        <w:spacing w:after="0"/>
        <w:ind w:left="0"/>
        <w:jc w:val="both"/>
      </w:pPr>
      <w:r>
        <w:rPr>
          <w:rFonts w:ascii="Times New Roman"/>
          <w:b w:val="false"/>
          <w:i w:val="false"/>
          <w:color w:val="000000"/>
          <w:sz w:val="28"/>
        </w:rPr>
        <w:t>
      ориентацию всех уровней медицинского образования на качество и эффективность медицинской помощи, безопасность пациентов и человеко-центрированный подход, в том числе за счет интеграции в образовательные программы анализа медицинских инцидентов, страховых случаев и системных ошибок;</w:t>
      </w:r>
    </w:p>
    <w:bookmarkEnd w:id="519"/>
    <w:bookmarkStart w:name="z542" w:id="520"/>
    <w:p>
      <w:pPr>
        <w:spacing w:after="0"/>
        <w:ind w:left="0"/>
        <w:jc w:val="both"/>
      </w:pPr>
      <w:r>
        <w:rPr>
          <w:rFonts w:ascii="Times New Roman"/>
          <w:b w:val="false"/>
          <w:i w:val="false"/>
          <w:color w:val="000000"/>
          <w:sz w:val="28"/>
        </w:rPr>
        <w:t>
      усиление подготовки специалистов здравоохранения по вопросам цифровизации, включая телемедицину, дистанционное оказание услуг, использование искусственного интеллекта и анализа больших данных, особенно в сельских населенных пунктах;</w:t>
      </w:r>
    </w:p>
    <w:bookmarkEnd w:id="520"/>
    <w:bookmarkStart w:name="z543" w:id="521"/>
    <w:p>
      <w:pPr>
        <w:spacing w:after="0"/>
        <w:ind w:left="0"/>
        <w:jc w:val="both"/>
      </w:pPr>
      <w:r>
        <w:rPr>
          <w:rFonts w:ascii="Times New Roman"/>
          <w:b w:val="false"/>
          <w:i w:val="false"/>
          <w:color w:val="000000"/>
          <w:sz w:val="28"/>
        </w:rPr>
        <w:t>
      создание новых направлений подготовки специалистов в сферах трансляционной медицины, биотехнологий, цифрового здравоохранения, клинических исследований, фармацевтической инженерии и фармацевтической логистики, здравоохранения на основе фактических данных и управления инновациями, в том числе совместно с ведущими компаниями в сфере медицинской и фармацевтической промышленности, биотехнологической и цифровой отраслей.</w:t>
      </w:r>
    </w:p>
    <w:bookmarkEnd w:id="521"/>
    <w:bookmarkStart w:name="z544" w:id="522"/>
    <w:p>
      <w:pPr>
        <w:spacing w:after="0"/>
        <w:ind w:left="0"/>
        <w:jc w:val="both"/>
      </w:pPr>
      <w:r>
        <w:rPr>
          <w:rFonts w:ascii="Times New Roman"/>
          <w:b w:val="false"/>
          <w:i w:val="false"/>
          <w:color w:val="000000"/>
          <w:sz w:val="28"/>
        </w:rPr>
        <w:t>
      Развитие системы медицинского образования будет направлено на укрепление международного сотрудничества, цифровизацию, повышение открытости и конкурентоспособности, а также интеграцию образования, науки и практики, в том числе через:</w:t>
      </w:r>
    </w:p>
    <w:bookmarkEnd w:id="522"/>
    <w:bookmarkStart w:name="z545" w:id="523"/>
    <w:p>
      <w:pPr>
        <w:spacing w:after="0"/>
        <w:ind w:left="0"/>
        <w:jc w:val="both"/>
      </w:pPr>
      <w:r>
        <w:rPr>
          <w:rFonts w:ascii="Times New Roman"/>
          <w:b w:val="false"/>
          <w:i w:val="false"/>
          <w:color w:val="000000"/>
          <w:sz w:val="28"/>
        </w:rPr>
        <w:t>
      интеграцию в глобальное образовательное пространство, направленную на реализацию совместных программ с ведущими зарубежными университетами в Казахстане, и экспорт казахстанских программ за рубеж;</w:t>
      </w:r>
    </w:p>
    <w:bookmarkEnd w:id="523"/>
    <w:bookmarkStart w:name="z546" w:id="524"/>
    <w:p>
      <w:pPr>
        <w:spacing w:after="0"/>
        <w:ind w:left="0"/>
        <w:jc w:val="both"/>
      </w:pPr>
      <w:r>
        <w:rPr>
          <w:rFonts w:ascii="Times New Roman"/>
          <w:b w:val="false"/>
          <w:i w:val="false"/>
          <w:color w:val="000000"/>
          <w:sz w:val="28"/>
        </w:rPr>
        <w:t>
      совершенствование приема в организации высшего и послевузовского образования путем внедрения единых критериев оценки, цифровизации процессов подачи и проверки документов;</w:t>
      </w:r>
    </w:p>
    <w:bookmarkEnd w:id="524"/>
    <w:bookmarkStart w:name="z547" w:id="525"/>
    <w:p>
      <w:pPr>
        <w:spacing w:after="0"/>
        <w:ind w:left="0"/>
        <w:jc w:val="both"/>
      </w:pPr>
      <w:r>
        <w:rPr>
          <w:rFonts w:ascii="Times New Roman"/>
          <w:b w:val="false"/>
          <w:i w:val="false"/>
          <w:color w:val="000000"/>
          <w:sz w:val="28"/>
        </w:rPr>
        <w:t>
      проработку вопроса по созданию и развитию интегрированных академических медицинских центров в рамках триединства образования, науки и клинической практики.</w:t>
      </w:r>
    </w:p>
    <w:bookmarkEnd w:id="525"/>
    <w:bookmarkStart w:name="z548" w:id="526"/>
    <w:p>
      <w:pPr>
        <w:spacing w:after="0"/>
        <w:ind w:left="0"/>
        <w:jc w:val="both"/>
      </w:pPr>
      <w:r>
        <w:rPr>
          <w:rFonts w:ascii="Times New Roman"/>
          <w:b w:val="false"/>
          <w:i w:val="false"/>
          <w:color w:val="000000"/>
          <w:sz w:val="28"/>
        </w:rPr>
        <w:t>
      Рассмотрение вопроса поэтапного внедрения новой модели финансирования высшего и (или) послевузовского образования, в том числе посредством внедрения дифференциации размеров образовательных грантов и их распределения с учетом качества учебного процесса, налаженного в соответствующей организации образования.</w:t>
      </w:r>
    </w:p>
    <w:bookmarkEnd w:id="526"/>
    <w:bookmarkStart w:name="z549" w:id="527"/>
    <w:p>
      <w:pPr>
        <w:spacing w:after="0"/>
        <w:ind w:left="0"/>
        <w:jc w:val="both"/>
      </w:pPr>
      <w:r>
        <w:rPr>
          <w:rFonts w:ascii="Times New Roman"/>
          <w:b w:val="false"/>
          <w:i w:val="false"/>
          <w:color w:val="000000"/>
          <w:sz w:val="28"/>
        </w:rPr>
        <w:t xml:space="preserve">
      </w:t>
      </w:r>
      <w:r>
        <w:rPr>
          <w:rFonts w:ascii="Times New Roman"/>
          <w:b w:val="false"/>
          <w:i/>
          <w:color w:val="000000"/>
          <w:sz w:val="28"/>
        </w:rPr>
        <w:t>Развитие научного потенциала и поддержка биомедицинских исследований</w:t>
      </w:r>
    </w:p>
    <w:bookmarkEnd w:id="527"/>
    <w:bookmarkStart w:name="z550" w:id="528"/>
    <w:p>
      <w:pPr>
        <w:spacing w:after="0"/>
        <w:ind w:left="0"/>
        <w:jc w:val="both"/>
      </w:pPr>
      <w:r>
        <w:rPr>
          <w:rFonts w:ascii="Times New Roman"/>
          <w:b w:val="false"/>
          <w:i w:val="false"/>
          <w:color w:val="000000"/>
          <w:sz w:val="28"/>
        </w:rPr>
        <w:t>
      Совершенствование подходов к развитию биомедицинских исследований:</w:t>
      </w:r>
    </w:p>
    <w:bookmarkEnd w:id="528"/>
    <w:bookmarkStart w:name="z551" w:id="529"/>
    <w:p>
      <w:pPr>
        <w:spacing w:after="0"/>
        <w:ind w:left="0"/>
        <w:jc w:val="both"/>
      </w:pPr>
      <w:r>
        <w:rPr>
          <w:rFonts w:ascii="Times New Roman"/>
          <w:b w:val="false"/>
          <w:i w:val="false"/>
          <w:color w:val="000000"/>
          <w:sz w:val="28"/>
        </w:rPr>
        <w:t>
      реализация лучших международных подходов нормативного правового регулирования биомедицинских исследований;</w:t>
      </w:r>
    </w:p>
    <w:bookmarkEnd w:id="529"/>
    <w:bookmarkStart w:name="z552" w:id="530"/>
    <w:p>
      <w:pPr>
        <w:spacing w:after="0"/>
        <w:ind w:left="0"/>
        <w:jc w:val="both"/>
      </w:pPr>
      <w:r>
        <w:rPr>
          <w:rFonts w:ascii="Times New Roman"/>
          <w:b w:val="false"/>
          <w:i w:val="false"/>
          <w:color w:val="000000"/>
          <w:sz w:val="28"/>
        </w:rPr>
        <w:t xml:space="preserve">
      продвижение национальной научной информационной системы по биомедицинским исследованиям, включающей регистры исследований, исследовательские центры (клинические базы); исследователей; волонтеров и другие; </w:t>
      </w:r>
    </w:p>
    <w:bookmarkEnd w:id="530"/>
    <w:bookmarkStart w:name="z553" w:id="531"/>
    <w:p>
      <w:pPr>
        <w:spacing w:after="0"/>
        <w:ind w:left="0"/>
        <w:jc w:val="both"/>
      </w:pPr>
      <w:r>
        <w:rPr>
          <w:rFonts w:ascii="Times New Roman"/>
          <w:b w:val="false"/>
          <w:i w:val="false"/>
          <w:color w:val="000000"/>
          <w:sz w:val="28"/>
        </w:rPr>
        <w:t>
      проработка вопросов создания единого республиканского биобанка для хранения биологических материалов и поддержки проведения исследований в области биомедицины;</w:t>
      </w:r>
    </w:p>
    <w:bookmarkEnd w:id="531"/>
    <w:bookmarkStart w:name="z554" w:id="532"/>
    <w:p>
      <w:pPr>
        <w:spacing w:after="0"/>
        <w:ind w:left="0"/>
        <w:jc w:val="both"/>
      </w:pPr>
      <w:r>
        <w:rPr>
          <w:rFonts w:ascii="Times New Roman"/>
          <w:b w:val="false"/>
          <w:i w:val="false"/>
          <w:color w:val="000000"/>
          <w:sz w:val="28"/>
        </w:rPr>
        <w:t>
      проработка вопроса по увеличению объемов финансирования биомедицинских исследований, в том числе программно-целевого финансирования научных исследований;</w:t>
      </w:r>
    </w:p>
    <w:bookmarkEnd w:id="532"/>
    <w:bookmarkStart w:name="z555" w:id="533"/>
    <w:p>
      <w:pPr>
        <w:spacing w:after="0"/>
        <w:ind w:left="0"/>
        <w:jc w:val="both"/>
      </w:pPr>
      <w:r>
        <w:rPr>
          <w:rFonts w:ascii="Times New Roman"/>
          <w:b w:val="false"/>
          <w:i w:val="false"/>
          <w:color w:val="000000"/>
          <w:sz w:val="28"/>
        </w:rPr>
        <w:t xml:space="preserve">
      создание условий для развития и продвижения отечественных журналов в области здравоохранения; </w:t>
      </w:r>
    </w:p>
    <w:bookmarkEnd w:id="533"/>
    <w:bookmarkStart w:name="z556" w:id="534"/>
    <w:p>
      <w:pPr>
        <w:spacing w:after="0"/>
        <w:ind w:left="0"/>
        <w:jc w:val="both"/>
      </w:pPr>
      <w:r>
        <w:rPr>
          <w:rFonts w:ascii="Times New Roman"/>
          <w:b w:val="false"/>
          <w:i w:val="false"/>
          <w:color w:val="000000"/>
          <w:sz w:val="28"/>
        </w:rPr>
        <w:t xml:space="preserve">
      развитие международного научного сотрудничества, в том числе путем поддержки участия в глобальных консорциумах, двусторонних и многосторонних грантах, обменных программах; </w:t>
      </w:r>
    </w:p>
    <w:bookmarkEnd w:id="534"/>
    <w:bookmarkStart w:name="z557" w:id="535"/>
    <w:p>
      <w:pPr>
        <w:spacing w:after="0"/>
        <w:ind w:left="0"/>
        <w:jc w:val="both"/>
      </w:pPr>
      <w:r>
        <w:rPr>
          <w:rFonts w:ascii="Times New Roman"/>
          <w:b w:val="false"/>
          <w:i w:val="false"/>
          <w:color w:val="000000"/>
          <w:sz w:val="28"/>
        </w:rPr>
        <w:t xml:space="preserve">
      развитие системы трансферта технологий, институциональных механизмов защиты и коммерциализации интеллектуальной собственности, создание офисов трансферта в организациях медицинского образования и науки; </w:t>
      </w:r>
    </w:p>
    <w:bookmarkEnd w:id="535"/>
    <w:bookmarkStart w:name="z558" w:id="536"/>
    <w:p>
      <w:pPr>
        <w:spacing w:after="0"/>
        <w:ind w:left="0"/>
        <w:jc w:val="both"/>
      </w:pPr>
      <w:r>
        <w:rPr>
          <w:rFonts w:ascii="Times New Roman"/>
          <w:b w:val="false"/>
          <w:i w:val="false"/>
          <w:color w:val="000000"/>
          <w:sz w:val="28"/>
        </w:rPr>
        <w:t>
      развитие цифровых платформ для планирования, мониторинга, визуализации и отчетности по биомедицинским и клиническим исследованиям.</w:t>
      </w:r>
    </w:p>
    <w:bookmarkEnd w:id="536"/>
    <w:bookmarkStart w:name="z559" w:id="537"/>
    <w:p>
      <w:pPr>
        <w:spacing w:after="0"/>
        <w:ind w:left="0"/>
        <w:jc w:val="both"/>
      </w:pPr>
      <w:r>
        <w:rPr>
          <w:rFonts w:ascii="Times New Roman"/>
          <w:b w:val="false"/>
          <w:i w:val="false"/>
          <w:color w:val="000000"/>
          <w:sz w:val="28"/>
        </w:rPr>
        <w:t>
      Оказание поддержки молодым ученым (до 35 лет) организаций медицинского образования и науки за счет собственных и внебюджетных средств, включая реализацию внутренних грантов, формирование устойчивых научных траекторий, развитие программ PhD и постдокторантуры, карьерное консультирование и наставничество, стимулирование публикационной активности, проведение научных мероприятий.</w:t>
      </w:r>
    </w:p>
    <w:bookmarkEnd w:id="537"/>
    <w:bookmarkStart w:name="z560" w:id="538"/>
    <w:p>
      <w:pPr>
        <w:spacing w:after="0"/>
        <w:ind w:left="0"/>
        <w:jc w:val="both"/>
      </w:pPr>
      <w:r>
        <w:rPr>
          <w:rFonts w:ascii="Times New Roman"/>
          <w:b w:val="false"/>
          <w:i w:val="false"/>
          <w:color w:val="000000"/>
          <w:sz w:val="28"/>
        </w:rPr>
        <w:t>
      Формирование устойчивой экосистемы научно обоснованного государственного управления в здравоохранении через институционализацию механизмов государственной политики, основанной на доказательствах (Evidence-Informed Policy Making), и развитие кадрового потенциала на стыке "наука - политика".</w:t>
      </w:r>
    </w:p>
    <w:bookmarkEnd w:id="538"/>
    <w:bookmarkStart w:name="z561" w:id="53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Направление 9. Прогрессивная модель устойчивого финансирования здравоохранения, </w:t>
      </w:r>
      <w:r>
        <w:rPr>
          <w:rFonts w:ascii="Times New Roman"/>
          <w:b w:val="false"/>
          <w:i w:val="false"/>
          <w:color w:val="000000"/>
          <w:sz w:val="28"/>
        </w:rPr>
        <w:t>включающая:</w:t>
      </w:r>
    </w:p>
    <w:bookmarkEnd w:id="539"/>
    <w:bookmarkStart w:name="z562" w:id="540"/>
    <w:p>
      <w:pPr>
        <w:spacing w:after="0"/>
        <w:ind w:left="0"/>
        <w:jc w:val="both"/>
      </w:pPr>
      <w:r>
        <w:rPr>
          <w:rFonts w:ascii="Times New Roman"/>
          <w:b w:val="false"/>
          <w:i w:val="false"/>
          <w:color w:val="000000"/>
          <w:sz w:val="28"/>
        </w:rPr>
        <w:t>
      финансовую защиту населения от катастрофических расходов на услуги здравоохранения;</w:t>
      </w:r>
    </w:p>
    <w:bookmarkEnd w:id="540"/>
    <w:bookmarkStart w:name="z563" w:id="541"/>
    <w:p>
      <w:pPr>
        <w:spacing w:after="0"/>
        <w:ind w:left="0"/>
        <w:jc w:val="both"/>
      </w:pPr>
      <w:r>
        <w:rPr>
          <w:rFonts w:ascii="Times New Roman"/>
          <w:b w:val="false"/>
          <w:i w:val="false"/>
          <w:color w:val="000000"/>
          <w:sz w:val="28"/>
        </w:rPr>
        <w:t>
      модернизацию механизмов финансирования, оплаты и тарифной политики для обеспечения устойчивого финансирования в условиях новых подходов бюджетирования и налогообложения;</w:t>
      </w:r>
    </w:p>
    <w:bookmarkEnd w:id="541"/>
    <w:bookmarkStart w:name="z564" w:id="542"/>
    <w:p>
      <w:pPr>
        <w:spacing w:after="0"/>
        <w:ind w:left="0"/>
        <w:jc w:val="both"/>
      </w:pPr>
      <w:r>
        <w:rPr>
          <w:rFonts w:ascii="Times New Roman"/>
          <w:b w:val="false"/>
          <w:i w:val="false"/>
          <w:color w:val="000000"/>
          <w:sz w:val="28"/>
        </w:rPr>
        <w:t>
      развитие конкуренции и эффективного управления организациями здравоохранения.</w:t>
      </w:r>
    </w:p>
    <w:bookmarkEnd w:id="542"/>
    <w:bookmarkStart w:name="z565" w:id="543"/>
    <w:p>
      <w:pPr>
        <w:spacing w:after="0"/>
        <w:ind w:left="0"/>
        <w:jc w:val="both"/>
      </w:pPr>
      <w:r>
        <w:rPr>
          <w:rFonts w:ascii="Times New Roman"/>
          <w:b w:val="false"/>
          <w:i w:val="false"/>
          <w:color w:val="000000"/>
          <w:sz w:val="28"/>
        </w:rPr>
        <w:t>
      Изменение механизмов финансирования организаций здравоохранения в части размещения объемов услуг и (или) объемов средств в рамках ГОБМП и (или) системы ОСМС.</w:t>
      </w:r>
    </w:p>
    <w:bookmarkEnd w:id="543"/>
    <w:bookmarkStart w:name="z566" w:id="544"/>
    <w:p>
      <w:pPr>
        <w:spacing w:after="0"/>
        <w:ind w:left="0"/>
        <w:jc w:val="both"/>
      </w:pPr>
      <w:r>
        <w:rPr>
          <w:rFonts w:ascii="Times New Roman"/>
          <w:b w:val="false"/>
          <w:i w:val="false"/>
          <w:color w:val="000000"/>
          <w:sz w:val="28"/>
        </w:rPr>
        <w:t>
      Исключение возможности нерегулярными самостоятельными поставщиками уплаты взносов в ОСМС за 12 месяцев вперед для ограничения разового входа в систему ОСМС с целью получения дорогостоящего лечения для лиц с видом на жительство.</w:t>
      </w:r>
    </w:p>
    <w:bookmarkEnd w:id="544"/>
    <w:bookmarkStart w:name="z567" w:id="545"/>
    <w:p>
      <w:pPr>
        <w:spacing w:after="0"/>
        <w:ind w:left="0"/>
        <w:jc w:val="both"/>
      </w:pPr>
      <w:r>
        <w:rPr>
          <w:rFonts w:ascii="Times New Roman"/>
          <w:b w:val="false"/>
          <w:i w:val="false"/>
          <w:color w:val="000000"/>
          <w:sz w:val="28"/>
        </w:rPr>
        <w:t>
      Установление нормы по 5-летнему сроку регулярных взносов (или эквивалента по разовому взносу) для предоставления медицинской помощи в системе ОСМС иностранцам и лицам без гражданства, постоянно проживающим на территории Республики Казахстан, а также членам их семей.</w:t>
      </w:r>
    </w:p>
    <w:bookmarkEnd w:id="545"/>
    <w:bookmarkStart w:name="z568" w:id="546"/>
    <w:p>
      <w:pPr>
        <w:spacing w:after="0"/>
        <w:ind w:left="0"/>
        <w:jc w:val="both"/>
      </w:pPr>
      <w:r>
        <w:rPr>
          <w:rFonts w:ascii="Times New Roman"/>
          <w:b w:val="false"/>
          <w:i w:val="false"/>
          <w:color w:val="000000"/>
          <w:sz w:val="28"/>
        </w:rPr>
        <w:t>
      Усиление многоуровневого аудита, включающего внутренний контроль в медицинских организациях, мониторинг со стороны ФСМС по принципу экстерриториальности с внедрением инструментов искусственного интеллекта.</w:t>
      </w:r>
    </w:p>
    <w:bookmarkEnd w:id="546"/>
    <w:bookmarkStart w:name="z569" w:id="547"/>
    <w:p>
      <w:pPr>
        <w:spacing w:after="0"/>
        <w:ind w:left="0"/>
        <w:jc w:val="both"/>
      </w:pPr>
      <w:r>
        <w:rPr>
          <w:rFonts w:ascii="Times New Roman"/>
          <w:b w:val="false"/>
          <w:i w:val="false"/>
          <w:color w:val="000000"/>
          <w:sz w:val="28"/>
        </w:rPr>
        <w:t>
      Разработка предложений по законодательному определению роли добровольного медицинского страхования: добровольное медицинское страхование в Казахстане осуществляет вспомогательную роль, способствуя расширению охвата услугами здравоохранения для отдельных групп сверх ГОБМП и ОСМС.</w:t>
      </w:r>
    </w:p>
    <w:bookmarkEnd w:id="547"/>
    <w:bookmarkStart w:name="z570" w:id="548"/>
    <w:p>
      <w:pPr>
        <w:spacing w:after="0"/>
        <w:ind w:left="0"/>
        <w:jc w:val="both"/>
      </w:pPr>
      <w:r>
        <w:rPr>
          <w:rFonts w:ascii="Times New Roman"/>
          <w:b w:val="false"/>
          <w:i w:val="false"/>
          <w:color w:val="000000"/>
          <w:sz w:val="28"/>
        </w:rPr>
        <w:t>
      Совершенствование механизмов оценки медицинских технологий в рамках формирования гарантий.</w:t>
      </w:r>
    </w:p>
    <w:bookmarkEnd w:id="548"/>
    <w:bookmarkStart w:name="z571" w:id="549"/>
    <w:p>
      <w:pPr>
        <w:spacing w:after="0"/>
        <w:ind w:left="0"/>
        <w:jc w:val="both"/>
      </w:pPr>
      <w:r>
        <w:rPr>
          <w:rFonts w:ascii="Times New Roman"/>
          <w:b w:val="false"/>
          <w:i w:val="false"/>
          <w:color w:val="000000"/>
          <w:sz w:val="28"/>
        </w:rPr>
        <w:t>
      Продолжится усиление многоуровневого аудита, включающего внутренний контроль в медицинских организациях, мониторинг со стороны ФСМС по принципу экстерриториальности и СУР.</w:t>
      </w:r>
    </w:p>
    <w:bookmarkEnd w:id="549"/>
    <w:bookmarkStart w:name="z572" w:id="550"/>
    <w:p>
      <w:pPr>
        <w:spacing w:after="0"/>
        <w:ind w:left="0"/>
        <w:jc w:val="both"/>
      </w:pPr>
      <w:r>
        <w:rPr>
          <w:rFonts w:ascii="Times New Roman"/>
          <w:b w:val="false"/>
          <w:i w:val="false"/>
          <w:color w:val="000000"/>
          <w:sz w:val="28"/>
        </w:rPr>
        <w:t xml:space="preserve">
      </w:t>
      </w:r>
      <w:r>
        <w:rPr>
          <w:rFonts w:ascii="Times New Roman"/>
          <w:b w:val="false"/>
          <w:i/>
          <w:color w:val="000000"/>
          <w:sz w:val="28"/>
        </w:rPr>
        <w:t>Модернизация механизмов финансирования, оплаты и тарифной политики для обеспечения устойчивого финансирования в условиях новых подходов бюджетирования и налогообложения</w:t>
      </w:r>
    </w:p>
    <w:bookmarkEnd w:id="550"/>
    <w:bookmarkStart w:name="z573" w:id="551"/>
    <w:p>
      <w:pPr>
        <w:spacing w:after="0"/>
        <w:ind w:left="0"/>
        <w:jc w:val="both"/>
      </w:pPr>
      <w:r>
        <w:rPr>
          <w:rFonts w:ascii="Times New Roman"/>
          <w:b w:val="false"/>
          <w:i w:val="false"/>
          <w:color w:val="000000"/>
          <w:sz w:val="28"/>
        </w:rPr>
        <w:t>
      Совершенствование методологических основ планирования медицинских услуг в рамках ГОБМП и в системе ОСМС на основе демографического прогноза.</w:t>
      </w:r>
    </w:p>
    <w:bookmarkEnd w:id="551"/>
    <w:bookmarkStart w:name="z574" w:id="552"/>
    <w:p>
      <w:pPr>
        <w:spacing w:after="0"/>
        <w:ind w:left="0"/>
        <w:jc w:val="both"/>
      </w:pPr>
      <w:r>
        <w:rPr>
          <w:rFonts w:ascii="Times New Roman"/>
          <w:b w:val="false"/>
          <w:i w:val="false"/>
          <w:color w:val="000000"/>
          <w:sz w:val="28"/>
        </w:rPr>
        <w:t>
      Повышение вовлеченности населения и уровня доверия к системе ОСМС через:</w:t>
      </w:r>
    </w:p>
    <w:bookmarkEnd w:id="552"/>
    <w:bookmarkStart w:name="z575" w:id="553"/>
    <w:p>
      <w:pPr>
        <w:spacing w:after="0"/>
        <w:ind w:left="0"/>
        <w:jc w:val="both"/>
      </w:pPr>
      <w:r>
        <w:rPr>
          <w:rFonts w:ascii="Times New Roman"/>
          <w:b w:val="false"/>
          <w:i w:val="false"/>
          <w:color w:val="000000"/>
          <w:sz w:val="28"/>
        </w:rPr>
        <w:t>
      проведение информационных кампаний о правах и гарантиях застрахованных в ОСМС лиц;</w:t>
      </w:r>
    </w:p>
    <w:bookmarkEnd w:id="553"/>
    <w:bookmarkStart w:name="z576" w:id="554"/>
    <w:p>
      <w:pPr>
        <w:spacing w:after="0"/>
        <w:ind w:left="0"/>
        <w:jc w:val="both"/>
      </w:pPr>
      <w:r>
        <w:rPr>
          <w:rFonts w:ascii="Times New Roman"/>
          <w:b w:val="false"/>
          <w:i w:val="false"/>
          <w:color w:val="000000"/>
          <w:sz w:val="28"/>
        </w:rPr>
        <w:t>
      создание и продвижение инструментов обратной связи и горячей линии ФСМС;</w:t>
      </w:r>
    </w:p>
    <w:bookmarkEnd w:id="554"/>
    <w:bookmarkStart w:name="z577" w:id="555"/>
    <w:p>
      <w:pPr>
        <w:spacing w:after="0"/>
        <w:ind w:left="0"/>
        <w:jc w:val="both"/>
      </w:pPr>
      <w:r>
        <w:rPr>
          <w:rFonts w:ascii="Times New Roman"/>
          <w:b w:val="false"/>
          <w:i w:val="false"/>
          <w:color w:val="000000"/>
          <w:sz w:val="28"/>
        </w:rPr>
        <w:t>
      интеграцию коммуникации с программами профилактики (вакцинация, скрининг, ЗОЖ);</w:t>
      </w:r>
    </w:p>
    <w:bookmarkEnd w:id="555"/>
    <w:bookmarkStart w:name="z578" w:id="556"/>
    <w:p>
      <w:pPr>
        <w:spacing w:after="0"/>
        <w:ind w:left="0"/>
        <w:jc w:val="both"/>
      </w:pPr>
      <w:r>
        <w:rPr>
          <w:rFonts w:ascii="Times New Roman"/>
          <w:b w:val="false"/>
          <w:i w:val="false"/>
          <w:color w:val="000000"/>
          <w:sz w:val="28"/>
        </w:rPr>
        <w:t>
      усиление работы в отдаленных регионах через мобильные группы, телемедицину и местные СМИ;</w:t>
      </w:r>
    </w:p>
    <w:bookmarkEnd w:id="556"/>
    <w:bookmarkStart w:name="z579" w:id="557"/>
    <w:p>
      <w:pPr>
        <w:spacing w:after="0"/>
        <w:ind w:left="0"/>
        <w:jc w:val="both"/>
      </w:pPr>
      <w:r>
        <w:rPr>
          <w:rFonts w:ascii="Times New Roman"/>
          <w:b w:val="false"/>
          <w:i w:val="false"/>
          <w:color w:val="000000"/>
          <w:sz w:val="28"/>
        </w:rPr>
        <w:t>
      формирование диалоговых площадок с участием пациентов, медицинских работников, НПО и государственных органов.</w:t>
      </w:r>
    </w:p>
    <w:bookmarkEnd w:id="557"/>
    <w:bookmarkStart w:name="z580" w:id="558"/>
    <w:p>
      <w:pPr>
        <w:spacing w:after="0"/>
        <w:ind w:left="0"/>
        <w:jc w:val="both"/>
      </w:pPr>
      <w:r>
        <w:rPr>
          <w:rFonts w:ascii="Times New Roman"/>
          <w:b w:val="false"/>
          <w:i w:val="false"/>
          <w:color w:val="000000"/>
          <w:sz w:val="28"/>
        </w:rPr>
        <w:t>
      Внесение предложений по формированию тарифов на медицинские услуги с учетом фактических затрат медицинских организаций, макроэкономических показателей, региональных особенностей и приоритетности заболеваний.</w:t>
      </w:r>
    </w:p>
    <w:bookmarkEnd w:id="558"/>
    <w:bookmarkStart w:name="z581" w:id="559"/>
    <w:p>
      <w:pPr>
        <w:spacing w:after="0"/>
        <w:ind w:left="0"/>
        <w:jc w:val="both"/>
      </w:pPr>
      <w:r>
        <w:rPr>
          <w:rFonts w:ascii="Times New Roman"/>
          <w:b w:val="false"/>
          <w:i w:val="false"/>
          <w:color w:val="000000"/>
          <w:sz w:val="28"/>
        </w:rPr>
        <w:t xml:space="preserve">
      </w:t>
      </w:r>
      <w:r>
        <w:rPr>
          <w:rFonts w:ascii="Times New Roman"/>
          <w:b w:val="false"/>
          <w:i/>
          <w:color w:val="000000"/>
          <w:sz w:val="28"/>
        </w:rPr>
        <w:t>Развитие конкуренции и эффективно</w:t>
      </w:r>
      <w:r>
        <w:rPr>
          <w:rFonts w:ascii="Times New Roman"/>
          <w:b w:val="false"/>
          <w:i/>
          <w:color w:val="000000"/>
          <w:sz w:val="28"/>
        </w:rPr>
        <w:t xml:space="preserve">е управление </w:t>
      </w:r>
      <w:r>
        <w:rPr>
          <w:rFonts w:ascii="Times New Roman"/>
          <w:b w:val="false"/>
          <w:i/>
          <w:color w:val="000000"/>
          <w:sz w:val="28"/>
        </w:rPr>
        <w:t>организациями здравоохранения</w:t>
      </w:r>
    </w:p>
    <w:bookmarkEnd w:id="559"/>
    <w:bookmarkStart w:name="z582" w:id="560"/>
    <w:p>
      <w:pPr>
        <w:spacing w:after="0"/>
        <w:ind w:left="0"/>
        <w:jc w:val="both"/>
      </w:pPr>
      <w:r>
        <w:rPr>
          <w:rFonts w:ascii="Times New Roman"/>
          <w:b w:val="false"/>
          <w:i w:val="false"/>
          <w:color w:val="000000"/>
          <w:sz w:val="28"/>
        </w:rPr>
        <w:t xml:space="preserve">
      Разработка требований к поставщикам медицинской помощи по обязательному персонифицированному учету и предоставлению доступа к информации по расходам в рамках ГОБМП и в системе ОСМС. </w:t>
      </w:r>
    </w:p>
    <w:bookmarkEnd w:id="560"/>
    <w:bookmarkStart w:name="z583" w:id="561"/>
    <w:p>
      <w:pPr>
        <w:spacing w:after="0"/>
        <w:ind w:left="0"/>
        <w:jc w:val="both"/>
      </w:pPr>
      <w:r>
        <w:rPr>
          <w:rFonts w:ascii="Times New Roman"/>
          <w:b w:val="false"/>
          <w:i w:val="false"/>
          <w:color w:val="000000"/>
          <w:sz w:val="28"/>
        </w:rPr>
        <w:t>
      Совершенствование управленческих подходов с акцентом на трансформацию организаций (всеобщее управление качеством, подходы бережливого производства):</w:t>
      </w:r>
    </w:p>
    <w:bookmarkEnd w:id="561"/>
    <w:bookmarkStart w:name="z584" w:id="562"/>
    <w:p>
      <w:pPr>
        <w:spacing w:after="0"/>
        <w:ind w:left="0"/>
        <w:jc w:val="both"/>
      </w:pPr>
      <w:r>
        <w:rPr>
          <w:rFonts w:ascii="Times New Roman"/>
          <w:b w:val="false"/>
          <w:i w:val="false"/>
          <w:color w:val="000000"/>
          <w:sz w:val="28"/>
        </w:rPr>
        <w:t>
      формирование организационной приверженности через включение эффективных управленческих подходов в видение и состав документов развития организаций здравоохранения;</w:t>
      </w:r>
    </w:p>
    <w:bookmarkEnd w:id="562"/>
    <w:bookmarkStart w:name="z585" w:id="563"/>
    <w:p>
      <w:pPr>
        <w:spacing w:after="0"/>
        <w:ind w:left="0"/>
        <w:jc w:val="both"/>
      </w:pPr>
      <w:r>
        <w:rPr>
          <w:rFonts w:ascii="Times New Roman"/>
          <w:b w:val="false"/>
          <w:i w:val="false"/>
          <w:color w:val="000000"/>
          <w:sz w:val="28"/>
        </w:rPr>
        <w:t>
      поддержка проектов внедрения современных управленческих подходов, в том числе в рамках модернизации инфраструктуры здравоохранения;</w:t>
      </w:r>
    </w:p>
    <w:bookmarkEnd w:id="563"/>
    <w:bookmarkStart w:name="z586" w:id="564"/>
    <w:p>
      <w:pPr>
        <w:spacing w:after="0"/>
        <w:ind w:left="0"/>
        <w:jc w:val="both"/>
      </w:pPr>
      <w:r>
        <w:rPr>
          <w:rFonts w:ascii="Times New Roman"/>
          <w:b w:val="false"/>
          <w:i w:val="false"/>
          <w:color w:val="000000"/>
          <w:sz w:val="28"/>
        </w:rPr>
        <w:t>
      формирование системы критериев и механизмов признания организаций, внедривших культуру всеобщего управления качеством и подходы бережливого производства, с присвоением отличительной маркировки, размещаемой рядом с брендом, в целях повышения доверия и узнаваемости.</w:t>
      </w:r>
    </w:p>
    <w:bookmarkEnd w:id="564"/>
    <w:bookmarkStart w:name="z587" w:id="565"/>
    <w:p>
      <w:pPr>
        <w:spacing w:after="0"/>
        <w:ind w:left="0"/>
        <w:jc w:val="both"/>
      </w:pPr>
      <w:r>
        <w:rPr>
          <w:rFonts w:ascii="Times New Roman"/>
          <w:b w:val="false"/>
          <w:i w:val="false"/>
          <w:color w:val="000000"/>
          <w:sz w:val="28"/>
        </w:rPr>
        <w:t>
      Дальнейшее совершенствование корпоративного управления в организациях здравоохранения, в том числе через усиление ответственности органа управления перед бенефициарами.</w:t>
      </w:r>
    </w:p>
    <w:bookmarkEnd w:id="565"/>
    <w:bookmarkStart w:name="z588" w:id="566"/>
    <w:p>
      <w:pPr>
        <w:spacing w:after="0"/>
        <w:ind w:left="0"/>
        <w:jc w:val="left"/>
      </w:pPr>
      <w:r>
        <w:rPr>
          <w:rFonts w:ascii="Times New Roman"/>
          <w:b/>
          <w:i w:val="false"/>
          <w:color w:val="000000"/>
        </w:rPr>
        <w:t xml:space="preserve"> Комплексная оценка системы здравоохранения</w:t>
      </w:r>
    </w:p>
    <w:bookmarkEnd w:id="566"/>
    <w:bookmarkStart w:name="z589" w:id="567"/>
    <w:p>
      <w:pPr>
        <w:spacing w:after="0"/>
        <w:ind w:left="0"/>
        <w:jc w:val="both"/>
      </w:pPr>
      <w:r>
        <w:rPr>
          <w:rFonts w:ascii="Times New Roman"/>
          <w:b w:val="false"/>
          <w:i w:val="false"/>
          <w:color w:val="000000"/>
          <w:sz w:val="28"/>
        </w:rPr>
        <w:t>
      Итоговая комплексная оценка (Public Health System Assessment) будет проведена в последний год реализации Концепции развития здравоохранения Республики Казахстан на 2022 – 2029 годы с целью определения достигнутых результатов и планирования дальнейшего развития системы здравоохранения, в том числе:</w:t>
      </w:r>
    </w:p>
    <w:bookmarkEnd w:id="567"/>
    <w:bookmarkStart w:name="z590" w:id="568"/>
    <w:p>
      <w:pPr>
        <w:spacing w:after="0"/>
        <w:ind w:left="0"/>
        <w:jc w:val="both"/>
      </w:pPr>
      <w:r>
        <w:rPr>
          <w:rFonts w:ascii="Times New Roman"/>
          <w:b w:val="false"/>
          <w:i w:val="false"/>
          <w:color w:val="000000"/>
          <w:sz w:val="28"/>
        </w:rPr>
        <w:t>
      определения методологии оценки по блокам: управление, кадровый потенциал, финансирование, оказание медицинских услуг, цифровые технологии, участие населения, данные;</w:t>
      </w:r>
    </w:p>
    <w:bookmarkEnd w:id="568"/>
    <w:bookmarkStart w:name="z591" w:id="569"/>
    <w:p>
      <w:pPr>
        <w:spacing w:after="0"/>
        <w:ind w:left="0"/>
        <w:jc w:val="both"/>
      </w:pPr>
      <w:r>
        <w:rPr>
          <w:rFonts w:ascii="Times New Roman"/>
          <w:b w:val="false"/>
          <w:i w:val="false"/>
          <w:color w:val="000000"/>
          <w:sz w:val="28"/>
        </w:rPr>
        <w:t>
      разработки целевых планов улучшения для каждого блока на основе результатов оценки;</w:t>
      </w:r>
    </w:p>
    <w:bookmarkEnd w:id="569"/>
    <w:bookmarkStart w:name="z592" w:id="570"/>
    <w:p>
      <w:pPr>
        <w:spacing w:after="0"/>
        <w:ind w:left="0"/>
        <w:jc w:val="both"/>
      </w:pPr>
      <w:r>
        <w:rPr>
          <w:rFonts w:ascii="Times New Roman"/>
          <w:b w:val="false"/>
          <w:i w:val="false"/>
          <w:color w:val="000000"/>
          <w:sz w:val="28"/>
        </w:rPr>
        <w:t>
      интеграции результатов оценки в стратегическое планирование.</w:t>
      </w:r>
    </w:p>
    <w:bookmarkEnd w:id="570"/>
    <w:bookmarkStart w:name="z593" w:id="571"/>
    <w:p>
      <w:pPr>
        <w:spacing w:after="0"/>
        <w:ind w:left="0"/>
        <w:jc w:val="left"/>
      </w:pPr>
      <w:r>
        <w:rPr>
          <w:rFonts w:ascii="Times New Roman"/>
          <w:b/>
          <w:i w:val="false"/>
          <w:color w:val="000000"/>
        </w:rPr>
        <w:t xml:space="preserve"> Раздел 6. Целевые индикаторы и ожидаемые результаты</w:t>
      </w:r>
    </w:p>
    <w:bookmarkEnd w:id="571"/>
    <w:bookmarkStart w:name="z594" w:id="572"/>
    <w:p>
      <w:pPr>
        <w:spacing w:after="0"/>
        <w:ind w:left="0"/>
        <w:jc w:val="left"/>
      </w:pPr>
      <w:r>
        <w:rPr>
          <w:rFonts w:ascii="Times New Roman"/>
          <w:b/>
          <w:i w:val="false"/>
          <w:color w:val="000000"/>
        </w:rPr>
        <w:t xml:space="preserve"> Ожидаемые результаты</w:t>
      </w:r>
    </w:p>
    <w:bookmarkEnd w:id="572"/>
    <w:bookmarkStart w:name="z595" w:id="573"/>
    <w:p>
      <w:pPr>
        <w:spacing w:after="0"/>
        <w:ind w:left="0"/>
        <w:jc w:val="both"/>
      </w:pPr>
      <w:r>
        <w:rPr>
          <w:rFonts w:ascii="Times New Roman"/>
          <w:b w:val="false"/>
          <w:i w:val="false"/>
          <w:color w:val="000000"/>
          <w:sz w:val="28"/>
        </w:rPr>
        <w:t>
      В 2029 году планируются:</w:t>
      </w:r>
    </w:p>
    <w:bookmarkEnd w:id="573"/>
    <w:bookmarkStart w:name="z596" w:id="574"/>
    <w:p>
      <w:pPr>
        <w:spacing w:after="0"/>
        <w:ind w:left="0"/>
        <w:jc w:val="both"/>
      </w:pPr>
      <w:r>
        <w:rPr>
          <w:rFonts w:ascii="Times New Roman"/>
          <w:b w:val="false"/>
          <w:i w:val="false"/>
          <w:color w:val="000000"/>
          <w:sz w:val="28"/>
        </w:rPr>
        <w:t>
      1) увеличение ожидаемой продолжительности жизни населения при рождении до 77 лет;</w:t>
      </w:r>
    </w:p>
    <w:bookmarkEnd w:id="574"/>
    <w:bookmarkStart w:name="z597" w:id="575"/>
    <w:p>
      <w:pPr>
        <w:spacing w:after="0"/>
        <w:ind w:left="0"/>
        <w:jc w:val="both"/>
      </w:pPr>
      <w:r>
        <w:rPr>
          <w:rFonts w:ascii="Times New Roman"/>
          <w:b w:val="false"/>
          <w:i w:val="false"/>
          <w:color w:val="000000"/>
          <w:sz w:val="28"/>
        </w:rPr>
        <w:t>
      2) снижение преждевременной смертности лиц от 30 до 70 лет от сердечно-сосудистых заболеваний, рака, диабета, хронических респираторных заболеваний.</w:t>
      </w:r>
    </w:p>
    <w:bookmarkEnd w:id="575"/>
    <w:bookmarkStart w:name="z598" w:id="576"/>
    <w:p>
      <w:pPr>
        <w:spacing w:after="0"/>
        <w:ind w:left="0"/>
        <w:jc w:val="left"/>
      </w:pPr>
      <w:r>
        <w:rPr>
          <w:rFonts w:ascii="Times New Roman"/>
          <w:b/>
          <w:i w:val="false"/>
          <w:color w:val="000000"/>
        </w:rPr>
        <w:t xml:space="preserve"> Целевые индикаторы</w:t>
      </w:r>
    </w:p>
    <w:bookmarkEnd w:id="5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год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год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2028 год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2029 год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1. Переход к единой интегрированной системе формирования культуры здоровья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Стандартизованная по возрасту распространенность употребления табачных изделий лицами в возрасте от 15 лет, в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Употребление алкоголя на душу населения (в возрасте 15 лет и старше) в литрах чистого спирта в календарный год (в литрах чистого алкоголя)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доли граждан Казахстана, ведущих здоровый образ жизни,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Среднесуточное употребление соли среди взрослого населения, грамм в сутки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strik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strik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strik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заболеваемости ожирением среди детей (0-14 лет), на 100 тысяч населения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2. Первичная медико-санитарная помощь нового поколения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доли посещений первичной медико-санитарной помощи по поводу профилактических осмотров,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охваченного услугами передвижных медицинских комплексов, количество населения, млн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удельного веса злокачественных новообразований, выявленных на 0-І стадиях,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охвата населения, подлежащего скрининговому осмотру против рака шейки матки,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охвата населения, подлежащего скрининговому осмотру против рака молочной железы,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охвата населения, подлежащего скрининговому осмотру колоректального рака,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удельного веса скрининговой колоноскопией в качестве 2 этапа скрининга,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пациентов, взятых на динамическое наблюдение по поводу выявленного сахарного диабета, от общего числа пациентов с выявленным сахарным диабетом,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динамическим наблюдением лиц с хроническими заболеваниями, подлежащих динамическому наблюдению,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программой управления заболеваниями лиц, состоящих на динамическом наблюдении по нозологиям программы управления заболеваниями,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самостоятельного сестринского приема от общего количества приемов по динамическому наблюдению пациентов с хроническими заболеваниями,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пациентов, госпитализированных в круглосуточный стационар с диагнозами артериальная гипертензия, ишемическая болезнь сердца, хроническая сердечная недостаточность, сахарный диабет, хроническая обструктивная болезнь легких (за исключением планового оперативного лечения), из числа пациентов, состоящих на динамическом наблюдении,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вызовов скорой медицинской помощи 4-й категории срочности по поводу обострения хронических заболеваний от общего количества вызовов 4-й категории срочности,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3. Человекоориентированная и доступная медицинская помощь</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стандартизованного коэффициента смертности, на 1000 населения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стандартизованного коэффициента смертности от болезней системы кровообращения, на 100 тысяч населения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стандартизованного коэффициента смертности от злокачественных новообразований, на 100 тысяч населения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Смертность от самоубийств, на 100 тысяч населения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медицинских организаций ниже районного уровня, охваченных телемедицинскими комплексами,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вызовов скорой помощи, обслуженных в установленное нормативами время,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срок начала лечения злокачественных новообразований с момента постановки предварительного диагноза (дней)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новых заражений ВИЧ, на 1000 неинфицированных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77"/>
          <w:p>
            <w:pPr>
              <w:spacing w:after="20"/>
              <w:ind w:left="20"/>
              <w:jc w:val="both"/>
            </w:pPr>
            <w:r>
              <w:rPr>
                <w:rFonts w:ascii="Times New Roman"/>
                <w:b w:val="false"/>
                <w:i w:val="false"/>
                <w:color w:val="000000"/>
                <w:sz w:val="20"/>
              </w:rPr>
              <w:t>
0,25</w:t>
            </w:r>
          </w:p>
          <w:bookmarkEnd w:id="577"/>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новых зараженных ВИЧ в структуре выявления с парентеральным путем передачи,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населения качеством и доступностью медицинских услуг, предоставляемых медицинскими учреждениями,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Удовлетворенность населения качеством услуг, оказываемых государственными медицинскими учреждениями,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аккредитованных поставщиков медицинских услуг в рамках ГОБМП и ОСМС, подлежащих аккредитации,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службы поддержки пациентов и внутренней экспертизы в субъектах здравоохранения вне зависимости от форм собственности,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общей 5-летней выживаемости злокачественными новообразованиями,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заболеваемости психическими поведенческими расстройствами (заболеваниями), вследствие употребления психоактивных веществ, на 100 тысяч населения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Распространенность туберкулеза, на 100 тысяч населения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пациентов, ожидавших плановую госпитализацию более 10 дней,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Смертность в результате дорожно-транспортных происшествий, на 100 тысяч населения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Ежегодное количество новых и модернизированных объектов здравоохранения, соответствующих мировым стандартам оказания медицинской помощи, количество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4. Семейное благополучие – новый стратегический ориентир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младенческой смертности, на 1000 родившихся живыми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неонатальной смертности, на 1000 родившихся живыми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детской смертности в возрасте до 5 лет, на 1000 родившихся живыми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материнской смертности, на 100 тысяч родившихся живыми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рождаемости среди девочек подростков, на 1000 девочек в возрасте 15-17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аборта среди девочек подростков, на 1000 девочек в возрасте 15-17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заболеваемости анемией среди беременных женщин в возрасте 15-49 лет,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женщин, взятых на учет по беременности, охваченных прегравидарной подготовкой,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5. Устойчивость и безопасность системы здравоохранения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достоверности лабораторных исследований СЭС,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интегральный балл готовности к соблюдению международных медико-санитарных правил (SPAR)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целевой группы населения в возрасте до 16 лет, охваченного иммунизацией, согласно Национальному календарю профилактических прививок, не менее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аккредитованных лабораторий на соответствие международным стандартам,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готовности медицинских организаций, органов и организаций санитарно-эпидемиологической службы к ликвидациям ситуации природно-техногенного характера,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6. Развитие персонализированной и высокотехнологичной медицины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медицинских организаций, использующих инструменты с искусственным интеллектом в повседневной практике,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радиологических исследований, обработанных с помощью инструментов искусственного интеллекта до их интерпретации врачами,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медицинских организаций, обеспечивающих обмен данными с ядром e-Densaulyq,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субъектов здравоохранения вне зависимости от форм собственности, интегрированных с единым хранилищем медицинских данных в части обеспечения обмена данными,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7. Технологическое развитие фармацевтической и медицинской промышленности, устойчивое лекарственное обеспечение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новых производств по выпуску лекарственных средств и медицинских изделий,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лекарственных средств и медицинских изделий казахстанского производства на локальном фармацевтическом рынке,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логистических цепочек лекарственных средств (в том числе вакцин) цифровым мониторингом (холодовая цепь),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закупа единым дистрибьютором казахстанских лекарственных средств и медицинских изделий в денежном выражении к общему объему закупа,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основной капитал в здравоохранении, % реального роста к уровню 2019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аккредитованных лабораторий/центров на соответствие международным стандартам, % (GLP и ISO-17025) (проводится 1 раз в 2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Валовый приток прямых инвестиций от иностранных прямых инвесторов в производство основных фармацевтических продуктов и препаратов, млн долларов США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лекарственных средств, движение которых отслеживается в режиме реального времени,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дефицита лекарственных средств от годовой потребности организаций первичной медико-санитарной помощи в рамках амбулаторного лекарственного обеспечения,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доля обеспеченности пациентов в рамках перечня амбулаторного лекарственного обеспечения,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Суммарная доля обеспечения неснижаемого запаса лекарственных средств и медицинских изделий,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8. Трансформация системы кадрового обеспечения и развитие науки как основа устойчивого и эффективного здравоохранения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уровня обеспеченности медицинскими работниками сельского населения в соответствии с минимальными нормативами обеспеченности медицинскими работниками регионов, на 10 тысяч населения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индекс Хирша персонала организаций медицинского образования и науки, индекс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медицинских сестер к количеству врачей в организациях здравоохранения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медицинских сестер первичной медико-санитарной помощи, выполняющих расширенные клинические функции,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количества врачей, обученных в ведущих мировых центрах, в том числе по интенсивной терапии, количество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количества образовательных грантов резидентуры по остродефицитным специальностям, количество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выпускников интернатуры и резидентуры, показавших высокий уровень знаний по результатам независимой экзаменации (≥80% от максимального балла)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клинических исследований, проводимых в Республике Казахстан, в расчете на миллион населения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доходов от научной и инновационной деятельности в общем бюджете ОВПО,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доходов от научной и инновационной деятельности в общем бюджете НИИ / НЦ клинического профиля,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доходов от научной и инновационной деятельности в общем бюджете НИИ / НЦ неклинического профиля,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патентов организаций медицинского образования и науки, полученных за последние 5 лет </w:t>
            </w:r>
            <w:r>
              <w:rPr>
                <w:rFonts w:ascii="Times New Roman"/>
                <w:b w:val="false"/>
                <w:i/>
                <w:color w:val="000000"/>
                <w:sz w:val="20"/>
              </w:rPr>
              <w:t xml:space="preserve">(в рамках грантового или программно-целевого финансирования) </w:t>
            </w:r>
            <w:r>
              <w:rPr>
                <w:rFonts w:ascii="Times New Roman"/>
                <w:b w:val="false"/>
                <w:i w:val="false"/>
                <w:color w:val="000000"/>
                <w:sz w:val="20"/>
              </w:rPr>
              <w:t>и доведенных до стадии производства / клинического применения</w:t>
            </w:r>
            <w:r>
              <w:rPr>
                <w:rFonts w:ascii="Times New Roman"/>
                <w:b w:val="false"/>
                <w:i/>
                <w:color w:val="000000"/>
                <w:sz w:val="20"/>
              </w:rPr>
              <w:t xml:space="preserve"> (включая регистрацию лекарственного средства/медицинского изделия, одобрение технологии здравоохранения, включение в клинические протоколы)</w:t>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адаптированных зарубежных технологий от общего количества внедренных новых технологий,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9. Прогрессивная модель устойчивого финансирования здравоохранения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охвата населения в системе ОСМС,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государственных расходов на здравоохранение,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общих расходов на здравоохранение от ВВП,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"карманных" расходов в структуре общих расходов на здравоохранение,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bl>
    <w:bookmarkStart w:name="z600" w:id="578"/>
    <w:p>
      <w:pPr>
        <w:spacing w:after="0"/>
        <w:ind w:left="0"/>
        <w:jc w:val="both"/>
      </w:pPr>
      <w:r>
        <w:rPr>
          <w:rFonts w:ascii="Times New Roman"/>
          <w:b w:val="false"/>
          <w:i w:val="false"/>
          <w:color w:val="000000"/>
          <w:sz w:val="28"/>
        </w:rPr>
        <w:t>
      ________________________________________</w:t>
      </w:r>
    </w:p>
    <w:bookmarkEnd w:id="5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Концепции развития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на 2022 – 2029 годы</w:t>
            </w:r>
          </w:p>
        </w:tc>
      </w:tr>
    </w:tbl>
    <w:bookmarkStart w:name="z602" w:id="579"/>
    <w:p>
      <w:pPr>
        <w:spacing w:after="0"/>
        <w:ind w:left="0"/>
        <w:jc w:val="left"/>
      </w:pPr>
      <w:r>
        <w:rPr>
          <w:rFonts w:ascii="Times New Roman"/>
          <w:b/>
          <w:i w:val="false"/>
          <w:color w:val="000000"/>
        </w:rPr>
        <w:t xml:space="preserve"> Раздел 7. План действий </w:t>
      </w:r>
      <w:r>
        <w:br/>
      </w:r>
      <w:r>
        <w:rPr>
          <w:rFonts w:ascii="Times New Roman"/>
          <w:b/>
          <w:i w:val="false"/>
          <w:color w:val="000000"/>
        </w:rPr>
        <w:t>по реализации Концепции развития здравоохранения Республики Казахстан на 2022 – 2029 годы</w:t>
      </w:r>
    </w:p>
    <w:bookmarkEnd w:id="5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80"/>
          <w:p>
            <w:pPr>
              <w:spacing w:after="20"/>
              <w:ind w:left="20"/>
              <w:jc w:val="both"/>
            </w:pPr>
            <w:r>
              <w:rPr>
                <w:rFonts w:ascii="Times New Roman"/>
                <w:b w:val="false"/>
                <w:i w:val="false"/>
                <w:color w:val="000000"/>
                <w:sz w:val="20"/>
              </w:rPr>
              <w:t>
№</w:t>
            </w:r>
          </w:p>
          <w:bookmarkEnd w:id="580"/>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завершения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финансирования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1. Переход к единой интегрированной системе формирования культуры здоровья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81"/>
          <w:p>
            <w:pPr>
              <w:spacing w:after="20"/>
              <w:ind w:left="20"/>
              <w:jc w:val="both"/>
            </w:pPr>
            <w:r>
              <w:rPr>
                <w:rFonts w:ascii="Times New Roman"/>
                <w:b w:val="false"/>
                <w:i w:val="false"/>
                <w:color w:val="000000"/>
                <w:sz w:val="20"/>
              </w:rPr>
              <w:t>
Целевой индикатор 1. Стандартизованная по возрасту распространенность употребления табачных изделий лицами в возрасте от 15 лет, % (2025 год – 19,0, 2029 год – 19,5)</w:t>
            </w:r>
          </w:p>
          <w:bookmarkEnd w:id="581"/>
          <w:p>
            <w:pPr>
              <w:spacing w:after="20"/>
              <w:ind w:left="20"/>
              <w:jc w:val="both"/>
            </w:pPr>
            <w:r>
              <w:rPr>
                <w:rFonts w:ascii="Times New Roman"/>
                <w:b w:val="false"/>
                <w:i w:val="false"/>
                <w:color w:val="000000"/>
                <w:sz w:val="20"/>
              </w:rPr>
              <w:t>
</w:t>
            </w:r>
            <w:r>
              <w:rPr>
                <w:rFonts w:ascii="Times New Roman"/>
                <w:b w:val="false"/>
                <w:i w:val="false"/>
                <w:color w:val="000000"/>
                <w:sz w:val="20"/>
              </w:rPr>
              <w:t>Целевой индикатор 2. Употребление алкоголя на душу населения (в возрасте 15 лет и старше) в литрах чистого спирта в календарный год (в литрах чистого алкоголя) (2029 год – 4,5)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Целевой индикатор 3. Увеличение доли граждан Казахстана, ведущих здоровый образ жизни, % (2022 год – 31,4, </w:t>
            </w:r>
          </w:p>
          <w:p>
            <w:pPr>
              <w:spacing w:after="20"/>
              <w:ind w:left="20"/>
              <w:jc w:val="both"/>
            </w:pPr>
            <w:r>
              <w:rPr>
                <w:rFonts w:ascii="Times New Roman"/>
                <w:b w:val="false"/>
                <w:i w:val="false"/>
                <w:color w:val="000000"/>
                <w:sz w:val="20"/>
              </w:rPr>
              <w:t>2023 год – 34,2, 2024 год – 31,0, 2025 год – 32,0, 2026 год – 33,0, 2027 год – 35,0, 2028 год – 36,0, 2029 год – 37,0)</w:t>
            </w:r>
          </w:p>
          <w:p>
            <w:pPr>
              <w:spacing w:after="20"/>
              <w:ind w:left="20"/>
              <w:jc w:val="both"/>
            </w:pPr>
            <w:r>
              <w:rPr>
                <w:rFonts w:ascii="Times New Roman"/>
                <w:b w:val="false"/>
                <w:i w:val="false"/>
                <w:color w:val="000000"/>
                <w:sz w:val="20"/>
              </w:rPr>
              <w:t>
</w:t>
            </w:r>
            <w:r>
              <w:rPr>
                <w:rFonts w:ascii="Times New Roman"/>
                <w:b w:val="false"/>
                <w:i w:val="false"/>
                <w:color w:val="000000"/>
                <w:sz w:val="20"/>
              </w:rPr>
              <w:t>Целевой индикатор 4. Среднесуточное употребление соли среди взрослого населения, грамм в сутки (2029 год – 15,0)</w:t>
            </w:r>
          </w:p>
          <w:p>
            <w:pPr>
              <w:spacing w:after="20"/>
              <w:ind w:left="20"/>
              <w:jc w:val="both"/>
            </w:pPr>
            <w:r>
              <w:rPr>
                <w:rFonts w:ascii="Times New Roman"/>
                <w:b w:val="false"/>
                <w:i w:val="false"/>
                <w:color w:val="000000"/>
                <w:sz w:val="20"/>
              </w:rPr>
              <w:t>
Целевой индикатор 5. Удержание заболеваемости ожирением среди детей (0–14 лет), на 100 тысяч населения (2022 год – 44,6, 2023 год – 42,1, 2024 год – 43,7, 2025 год – 37,8, 2026 год – 37,8, 2027 год – 37,8, 2028 год – 37,8, 2029 год – 37,8)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национального координатора по формированию культуры здоровья, в том числе с консолидацией бюджета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национальной информационной кампании "Саламатты шаңырақ"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МКИ, МП, МНВО,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предусмотренных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ежегодного информационно-аналитического отчета "Ұлт денсаулығы"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вопросов здорового питания, физической активности, психического здоровья, в том числе формирования навыков психоэмоциональной устойчивости, развития эмпатии и позитивного мышления, полового воспитания, социально-этических норм в программы воспитательной работы обучающихся организаций среднего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проведение детских, школьных и студенческих спортивных мероприятий, конкурсов, игровых программ, направленных на формирование устойчивой мотивации к активному образу жизни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МНВО, МЗ, МКИ, МТС,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созданию ситуационного центра по мониторингу, исследованию и профилактике наркомании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НЦОЗ (по согласованию), МВД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 принципов здорового образа жизни в систему труда путем повышения информационной грамотности работников о факторах риска НИЗ, вопросах здорового питания и физической активности, вреде избыточного потребления сахара, соли, нездоровых продуктов и пассивного образа жизни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методическое пособие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МТСЗН,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Национального центра гигиены труда и профессиональных заболеваний основным координатором по разработке и достижению целей в сфере медицины труда, гигиены и профпатологии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МТСЗН, НЦГТПЗ (по согласованию),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профилактике травматизма, в части поэтапного открытия региональных травматологических центров, расположенных вдоль аварийно-опасных участков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МВД, МЧС, МП, МКИ,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82"/>
          <w:p>
            <w:pPr>
              <w:spacing w:after="20"/>
              <w:ind w:left="20"/>
              <w:jc w:val="both"/>
            </w:pPr>
            <w:r>
              <w:rPr>
                <w:rFonts w:ascii="Times New Roman"/>
                <w:b w:val="false"/>
                <w:i w:val="false"/>
                <w:color w:val="000000"/>
                <w:sz w:val="20"/>
              </w:rPr>
              <w:t>
Разработка и реализация республиканского проекта "Саламатты орта" по поддержке создания среды, способствующей укреплению здоровья:</w:t>
            </w:r>
          </w:p>
          <w:bookmarkEnd w:id="582"/>
          <w:p>
            <w:pPr>
              <w:spacing w:after="20"/>
              <w:ind w:left="20"/>
              <w:jc w:val="both"/>
            </w:pPr>
            <w:r>
              <w:rPr>
                <w:rFonts w:ascii="Times New Roman"/>
                <w:b w:val="false"/>
                <w:i w:val="false"/>
                <w:color w:val="000000"/>
                <w:sz w:val="20"/>
              </w:rPr>
              <w:t>
</w:t>
            </w:r>
            <w:r>
              <w:rPr>
                <w:rFonts w:ascii="Times New Roman"/>
                <w:b w:val="false"/>
                <w:i w:val="false"/>
                <w:color w:val="000000"/>
                <w:sz w:val="20"/>
              </w:rPr>
              <w:t>определение национального координатора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разработка рамочных методологических подходов с учетом специфики различных сфер деятельности; </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пилота для апробации инструментов и подходов;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создание по результатам пилота цифровых инструментов для участников с функционалом самооценки, шаблонами типовых планов, отчетности и перечнем рекомендованных условий для внедрения;</w:t>
            </w:r>
          </w:p>
          <w:p>
            <w:pPr>
              <w:spacing w:after="20"/>
              <w:ind w:left="20"/>
              <w:jc w:val="both"/>
            </w:pPr>
            <w:r>
              <w:rPr>
                <w:rFonts w:ascii="Times New Roman"/>
                <w:b w:val="false"/>
                <w:i w:val="false"/>
                <w:color w:val="000000"/>
                <w:sz w:val="20"/>
              </w:rPr>
              <w:t>
проведение информационной кампании, популяризация и масштабирование проекта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количества городов, организаций, вовлеченных в инициативы ВОЗ "Здоровые города", "Школы, способствующие укреплению здоровья", "Здоровье на рабочем месте", "Университеты, способствующие здоровью"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вовлеченных городов, объектов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МЗ, МП, МНВО, МТСЗН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учетом обязательств Республики Казахстан в рамках Рамочной конвенции ВОЗ по борьбе против табака выработка законодательных подходов по усилению мер, по ограничению потребления табачных изделий в общественных местах, а также потребления табачных изделий с недостаточно изученным влиянием на здоровье при длительном употреблении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МВД, МФ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нормативно-технической базы по содержанию соли в продуктах питания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проекта Закона Республики Казахстан по внесению изменений в Закон Республики Казахстан "О рекламе" в части ограничения рекламы в масс-медиа продуктов с повышенным содержанием соли, сахара, насыщенных жиров, трансжиров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национального профиля питательных веществ, основанного на критериях содержания соли, сахара, насыщенных жиров и других ключевых компонентов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методических рекомендаций для внедрения маркировки "Полезный выбор"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МТИ, МСХ, МНЭ</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Поэтапное введение акциза на сахаросодержащие напитки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проекта Закона Республики Казахстан по введению административной ответственности за несоблюдение ограничений в отношении продажи энергетических напитков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МЗ, МНЭ</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мер по выявлению, профилактике и снижению негативного воздействия цифровой среды на психическое здоровье населения, в особенности детей и молодежи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МКИ, МП, МНВО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международного опыта по введению стимулирующих мер за приверженность здоровому образу жизни и здоровые формы поведения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МП, МНВО, МКИ,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2. Первичная медико-санитарная помощь нового поколения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583"/>
          <w:p>
            <w:pPr>
              <w:spacing w:after="20"/>
              <w:ind w:left="20"/>
              <w:jc w:val="both"/>
            </w:pPr>
            <w:r>
              <w:rPr>
                <w:rFonts w:ascii="Times New Roman"/>
                <w:b w:val="false"/>
                <w:i w:val="false"/>
                <w:color w:val="000000"/>
                <w:sz w:val="20"/>
              </w:rPr>
              <w:t>
Целевой индикатор 6. Увеличение доли посещений ПМСП по поводу профилактических осмотров, % (2026 год – 27, 2027 год – 29, 2028 год – 31, 2029 год – 33)</w:t>
            </w:r>
          </w:p>
          <w:bookmarkEnd w:id="583"/>
          <w:p>
            <w:pPr>
              <w:spacing w:after="20"/>
              <w:ind w:left="20"/>
              <w:jc w:val="both"/>
            </w:pPr>
            <w:r>
              <w:rPr>
                <w:rFonts w:ascii="Times New Roman"/>
                <w:b w:val="false"/>
                <w:i w:val="false"/>
                <w:color w:val="000000"/>
                <w:sz w:val="20"/>
              </w:rPr>
              <w:t>
</w:t>
            </w:r>
            <w:r>
              <w:rPr>
                <w:rFonts w:ascii="Times New Roman"/>
                <w:b w:val="false"/>
                <w:i w:val="false"/>
                <w:color w:val="000000"/>
                <w:sz w:val="20"/>
              </w:rPr>
              <w:t>Целевой индикатор 7. Численность населения, охваченного услугами передвижных медицинских комплексов, количество населения, млн (2022 год – 1,7, 2023 год – 1,7, 2024 год – 1,7, 2025 год – 2,0)</w:t>
            </w:r>
          </w:p>
          <w:p>
            <w:pPr>
              <w:spacing w:after="20"/>
              <w:ind w:left="20"/>
              <w:jc w:val="both"/>
            </w:pPr>
            <w:r>
              <w:rPr>
                <w:rFonts w:ascii="Times New Roman"/>
                <w:b w:val="false"/>
                <w:i w:val="false"/>
                <w:color w:val="000000"/>
                <w:sz w:val="20"/>
              </w:rPr>
              <w:t>
</w:t>
            </w:r>
            <w:r>
              <w:rPr>
                <w:rFonts w:ascii="Times New Roman"/>
                <w:b w:val="false"/>
                <w:i w:val="false"/>
                <w:color w:val="000000"/>
                <w:sz w:val="20"/>
              </w:rPr>
              <w:t>Целевой индикатор 8. Увеличение удельного веса злокачественных новообразований, выявленных на 0–І стадиях, % (2026 год – 33,8, 2027 год – 35,0, 2028 год – 35,1, 2029 год – 35,2)</w:t>
            </w:r>
          </w:p>
          <w:p>
            <w:pPr>
              <w:spacing w:after="20"/>
              <w:ind w:left="20"/>
              <w:jc w:val="both"/>
            </w:pPr>
            <w:r>
              <w:rPr>
                <w:rFonts w:ascii="Times New Roman"/>
                <w:b w:val="false"/>
                <w:i w:val="false"/>
                <w:color w:val="000000"/>
                <w:sz w:val="20"/>
              </w:rPr>
              <w:t>
</w:t>
            </w:r>
            <w:r>
              <w:rPr>
                <w:rFonts w:ascii="Times New Roman"/>
                <w:b w:val="false"/>
                <w:i w:val="false"/>
                <w:color w:val="000000"/>
                <w:sz w:val="20"/>
              </w:rPr>
              <w:t>Целевой индикатор 9. Увеличение охвата населения, подлежащего скрининговому осмотру против рака шейки матки, % (2026 год – 80,0, 2027 год – 83,0, 2028 год – 87,0, 2029 год – 90,0)</w:t>
            </w:r>
          </w:p>
          <w:p>
            <w:pPr>
              <w:spacing w:after="20"/>
              <w:ind w:left="20"/>
              <w:jc w:val="both"/>
            </w:pPr>
            <w:r>
              <w:rPr>
                <w:rFonts w:ascii="Times New Roman"/>
                <w:b w:val="false"/>
                <w:i w:val="false"/>
                <w:color w:val="000000"/>
                <w:sz w:val="20"/>
              </w:rPr>
              <w:t>
</w:t>
            </w:r>
            <w:r>
              <w:rPr>
                <w:rFonts w:ascii="Times New Roman"/>
                <w:b w:val="false"/>
                <w:i w:val="false"/>
                <w:color w:val="000000"/>
                <w:sz w:val="20"/>
              </w:rPr>
              <w:t>Целевой индикатор 10. Увеличение охвата населения, подлежащего скрининговому осмотру против рака молочной железы, % (2026 год – 70,0, 2027 год – 77,0, 2028 год – 84,0, 2029 год – 90,0)</w:t>
            </w:r>
          </w:p>
          <w:p>
            <w:pPr>
              <w:spacing w:after="20"/>
              <w:ind w:left="20"/>
              <w:jc w:val="both"/>
            </w:pPr>
            <w:r>
              <w:rPr>
                <w:rFonts w:ascii="Times New Roman"/>
                <w:b w:val="false"/>
                <w:i w:val="false"/>
                <w:color w:val="000000"/>
                <w:sz w:val="20"/>
              </w:rPr>
              <w:t>
</w:t>
            </w:r>
            <w:r>
              <w:rPr>
                <w:rFonts w:ascii="Times New Roman"/>
                <w:b w:val="false"/>
                <w:i w:val="false"/>
                <w:color w:val="000000"/>
                <w:sz w:val="20"/>
              </w:rPr>
              <w:t>Целевой индикатор 11. Увеличение охвата населения, подлежащего скрининговому осмотру колоректального рака, % (2026 год – 70,0, 2027 год – 77,0, 2028 год – 84,0, 2029 год – 90,0)</w:t>
            </w:r>
          </w:p>
          <w:p>
            <w:pPr>
              <w:spacing w:after="20"/>
              <w:ind w:left="20"/>
              <w:jc w:val="both"/>
            </w:pPr>
            <w:r>
              <w:rPr>
                <w:rFonts w:ascii="Times New Roman"/>
                <w:b w:val="false"/>
                <w:i w:val="false"/>
                <w:color w:val="000000"/>
                <w:sz w:val="20"/>
              </w:rPr>
              <w:t>
</w:t>
            </w:r>
            <w:r>
              <w:rPr>
                <w:rFonts w:ascii="Times New Roman"/>
                <w:b w:val="false"/>
                <w:i w:val="false"/>
                <w:color w:val="000000"/>
                <w:sz w:val="20"/>
              </w:rPr>
              <w:t>Целевой индикатор 12. Увеличение удельного веса скрининговой колоноскопией в качестве 2 этапа, % (2026 год – 60,0, 2027 год – 67,0, 2028 год – 74,0, 2029 год – 80,0)</w:t>
            </w:r>
          </w:p>
          <w:p>
            <w:pPr>
              <w:spacing w:after="20"/>
              <w:ind w:left="20"/>
              <w:jc w:val="both"/>
            </w:pPr>
            <w:r>
              <w:rPr>
                <w:rFonts w:ascii="Times New Roman"/>
                <w:b w:val="false"/>
                <w:i w:val="false"/>
                <w:color w:val="000000"/>
                <w:sz w:val="20"/>
              </w:rPr>
              <w:t>
</w:t>
            </w:r>
            <w:r>
              <w:rPr>
                <w:rFonts w:ascii="Times New Roman"/>
                <w:b w:val="false"/>
                <w:i w:val="false"/>
                <w:color w:val="000000"/>
                <w:sz w:val="20"/>
              </w:rPr>
              <w:t>Целевой индикатор 13. Доля пациентов, взятых на динамическое наблюдение по поводу выявленного сахарного диабета, от общего числа пациентов с выявленным сахарным диабетом, % (2026 год – 90, 2027 год – 92, 2028 год – 93, 2029 год – 95)</w:t>
            </w:r>
          </w:p>
          <w:p>
            <w:pPr>
              <w:spacing w:after="20"/>
              <w:ind w:left="20"/>
              <w:jc w:val="both"/>
            </w:pPr>
            <w:r>
              <w:rPr>
                <w:rFonts w:ascii="Times New Roman"/>
                <w:b w:val="false"/>
                <w:i w:val="false"/>
                <w:color w:val="000000"/>
                <w:sz w:val="20"/>
              </w:rPr>
              <w:t>
</w:t>
            </w:r>
            <w:r>
              <w:rPr>
                <w:rFonts w:ascii="Times New Roman"/>
                <w:b w:val="false"/>
                <w:i w:val="false"/>
                <w:color w:val="000000"/>
                <w:sz w:val="20"/>
              </w:rPr>
              <w:t>Целевой индикатор 14. Охват динамическим наблюдением лиц с хроническими заболеваниями, подлежащих динамическому наблюдению, % (2026 год – 30, 2027 год – 35, 2028 год – 40, 2029 год – 45)</w:t>
            </w:r>
          </w:p>
          <w:p>
            <w:pPr>
              <w:spacing w:after="20"/>
              <w:ind w:left="20"/>
              <w:jc w:val="both"/>
            </w:pPr>
            <w:r>
              <w:rPr>
                <w:rFonts w:ascii="Times New Roman"/>
                <w:b w:val="false"/>
                <w:i w:val="false"/>
                <w:color w:val="000000"/>
                <w:sz w:val="20"/>
              </w:rPr>
              <w:t>
</w:t>
            </w:r>
            <w:r>
              <w:rPr>
                <w:rFonts w:ascii="Times New Roman"/>
                <w:b w:val="false"/>
                <w:i w:val="false"/>
                <w:color w:val="000000"/>
                <w:sz w:val="20"/>
              </w:rPr>
              <w:t>Целевой индикатор 15. Охват программой управления заболеваниями лиц, состоящих на динамическом наблюдении по нозологиям программы управления заболеваниями, % (2026 год – 8, 2027 год – 12, 2028 год – 17, 2029 год – 20)</w:t>
            </w:r>
          </w:p>
          <w:p>
            <w:pPr>
              <w:spacing w:after="20"/>
              <w:ind w:left="20"/>
              <w:jc w:val="both"/>
            </w:pPr>
            <w:r>
              <w:rPr>
                <w:rFonts w:ascii="Times New Roman"/>
                <w:b w:val="false"/>
                <w:i w:val="false"/>
                <w:color w:val="000000"/>
                <w:sz w:val="20"/>
              </w:rPr>
              <w:t>
</w:t>
            </w:r>
            <w:r>
              <w:rPr>
                <w:rFonts w:ascii="Times New Roman"/>
                <w:b w:val="false"/>
                <w:i w:val="false"/>
                <w:color w:val="000000"/>
                <w:sz w:val="20"/>
              </w:rPr>
              <w:t>Целевой индикатор 16. Доля самостоятельного сестринского приема от общего количества приемов по динамическому наблюдению пациентов с хроническими заболеваниями, % (2026 год – 3, 2027 год – 7, 2028 год – 15, 2029 год – 20)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Целевой индикатор 17. Доля пациентов, госпитализированных в круглосуточный стационар с диагнозами артериальная гипертензия, ишемическая болезнь сердца, хроническая сердечная недостаточность, сахарный диабет, хроническая обструктивная болезнь легких (за исключением планового оперативного лечения), из числа пациентов, состоящих на динамическом наблюдении, % (2026 год – 10, 2027 год – 9, 2028 год – 8, 2029 год – 7) </w:t>
            </w:r>
          </w:p>
          <w:p>
            <w:pPr>
              <w:spacing w:after="20"/>
              <w:ind w:left="20"/>
              <w:jc w:val="both"/>
            </w:pPr>
            <w:r>
              <w:rPr>
                <w:rFonts w:ascii="Times New Roman"/>
                <w:b w:val="false"/>
                <w:i w:val="false"/>
                <w:color w:val="000000"/>
                <w:sz w:val="20"/>
              </w:rPr>
              <w:t>
Целевой индикатор 18. Доля вызовов скорой медицинской помощи 4-й категории срочности по поводу обострения хронических заболеваний от общего количества вызовов 4-й категории срочности, % (2026 год – 70, 2027 год – 60, 2028 год – 50, 2029 год –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Пересмотр индикаторов профилактических услуг, также учитывающих охват динамическим наблюдением лиц с хроническими заболеваниями в рамках стимулирующего компонента системы оплаты ПМСП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584"/>
          <w:p>
            <w:pPr>
              <w:spacing w:after="20"/>
              <w:ind w:left="20"/>
              <w:jc w:val="both"/>
            </w:pPr>
            <w:r>
              <w:rPr>
                <w:rFonts w:ascii="Times New Roman"/>
                <w:b w:val="false"/>
                <w:i w:val="false"/>
                <w:color w:val="000000"/>
                <w:sz w:val="20"/>
              </w:rPr>
              <w:t>
Повышение навыков специалистов ПМСП в вопросах профилактики и ранней диагностики заболеваний путем:</w:t>
            </w:r>
          </w:p>
          <w:bookmarkEnd w:id="584"/>
          <w:p>
            <w:pPr>
              <w:spacing w:after="20"/>
              <w:ind w:left="20"/>
              <w:jc w:val="both"/>
            </w:pPr>
            <w:r>
              <w:rPr>
                <w:rFonts w:ascii="Times New Roman"/>
                <w:b w:val="false"/>
                <w:i w:val="false"/>
                <w:color w:val="000000"/>
                <w:sz w:val="20"/>
              </w:rPr>
              <w:t>
</w:t>
            </w:r>
            <w:r>
              <w:rPr>
                <w:rFonts w:ascii="Times New Roman"/>
                <w:b w:val="false"/>
                <w:i w:val="false"/>
                <w:color w:val="000000"/>
                <w:sz w:val="20"/>
              </w:rPr>
              <w:t>обучения специалистов ПМСП методам мотивационного консультирования по вопросам формирования культуры здоровья, профилактики и устойчивого изменения поведения и иммунизации;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развития навыков и обучения алгоритмам раннего выявления онкологических заболеваний, сахарного диабета у врачей ПМСП;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ведения пациентов с предиабетом с включением мер по профилактике, обучению навыкам самоконтроля; </w:t>
            </w:r>
          </w:p>
          <w:p>
            <w:pPr>
              <w:spacing w:after="20"/>
              <w:ind w:left="20"/>
              <w:jc w:val="both"/>
            </w:pPr>
            <w:r>
              <w:rPr>
                <w:rFonts w:ascii="Times New Roman"/>
                <w:b w:val="false"/>
                <w:i w:val="false"/>
                <w:color w:val="000000"/>
                <w:sz w:val="20"/>
              </w:rPr>
              <w:t>
усиления деятельности школ здоровья на уровне ПМСП и в стационарах путем методического сопровождения и повышения уровня квалификации медицинских работников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предусмотренных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источники (средства организаций здравоохранения)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услуги "запланированного профилактического приема" ПМСП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МИИЦР,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цифровых инструментов по учету и мониторингу скринингов, проактивной записи на профилактический прием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тестирования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2027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МИИЦР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предложений по созданию национального института качества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вопроса передачи процедуры проведения аккредитации медицинских организаций из конкурентной среды в государственную систему либо в единую саморегулирующую организацию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МНЭ, НПП "Атамекен"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медицинских услуг, оказываемых передвижными медицинскими комплексами, оборудованными для проведения скрининговых обследований на местах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предусмотренных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новых скринингов после рассмотрения клинико-экономической эффективности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МЗ, решения ОКК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Объединение стран ВОЗ на площадке коалиции по ПМСП для распространения эффективных моделей и лучших практик при лидерстве Казахстана в секретариате Коалиции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итоги работы Коалиции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585"/>
          <w:p>
            <w:pPr>
              <w:spacing w:after="20"/>
              <w:ind w:left="20"/>
              <w:jc w:val="both"/>
            </w:pPr>
            <w:r>
              <w:rPr>
                <w:rFonts w:ascii="Times New Roman"/>
                <w:b w:val="false"/>
                <w:i w:val="false"/>
                <w:color w:val="000000"/>
                <w:sz w:val="20"/>
              </w:rPr>
              <w:t>
Внедрение цифровых инструментов для координации и маршрутизации медицинской помощи со стороны ПМСП, в том числе:</w:t>
            </w:r>
          </w:p>
          <w:bookmarkEnd w:id="585"/>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систем уведомлений и напоминаний (в том числе через СМС на номер, зарегистрированный на портале egov.kz) для повышения приверженности лечению и своевременности посещений;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учет индивидуальных особенностей пациента при назначении консультации профильных специалистов и манипуляций;</w:t>
            </w:r>
          </w:p>
          <w:p>
            <w:pPr>
              <w:spacing w:after="20"/>
              <w:ind w:left="20"/>
              <w:jc w:val="both"/>
            </w:pPr>
            <w:r>
              <w:rPr>
                <w:rFonts w:ascii="Times New Roman"/>
                <w:b w:val="false"/>
                <w:i w:val="false"/>
                <w:color w:val="000000"/>
                <w:sz w:val="20"/>
              </w:rPr>
              <w:t>
разработка адаптивных маршрутов для пожилых людей, лиц с ограниченными возможностями и других уязвимых групп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МИИЦР,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международного опыта для определения необходимости внедрения новых позиций, таких как ассистент врача общей практики, способствующих повышению производительности квалифицированного труда врача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аналитический отчет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охвата пациентов в программе управления заболеваниями, в том числе за счет пациентов с факторами рисков хронических неинфекционных заболеваний (с 5% до 20 %)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586"/>
          <w:p>
            <w:pPr>
              <w:spacing w:after="20"/>
              <w:ind w:left="20"/>
              <w:jc w:val="both"/>
            </w:pPr>
            <w:r>
              <w:rPr>
                <w:rFonts w:ascii="Times New Roman"/>
                <w:b w:val="false"/>
                <w:i w:val="false"/>
                <w:color w:val="000000"/>
                <w:sz w:val="20"/>
              </w:rPr>
              <w:t>
в рамках предусмотренных средств</w:t>
            </w:r>
          </w:p>
          <w:bookmarkEnd w:id="586"/>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587"/>
          <w:p>
            <w:pPr>
              <w:spacing w:after="20"/>
              <w:ind w:left="20"/>
              <w:jc w:val="both"/>
            </w:pPr>
            <w:r>
              <w:rPr>
                <w:rFonts w:ascii="Times New Roman"/>
                <w:b w:val="false"/>
                <w:i w:val="false"/>
                <w:color w:val="000000"/>
                <w:sz w:val="20"/>
              </w:rPr>
              <w:t xml:space="preserve">
Развитие центров лучших практик и трансформация ПМСП на основе масштабирования эффективных, устойчивых и человекоориентированных моделей оказания медицинской помощи, </w:t>
            </w:r>
          </w:p>
          <w:bookmarkEnd w:id="587"/>
          <w:p>
            <w:pPr>
              <w:spacing w:after="20"/>
              <w:ind w:left="20"/>
              <w:jc w:val="both"/>
            </w:pPr>
            <w:r>
              <w:rPr>
                <w:rFonts w:ascii="Times New Roman"/>
                <w:b w:val="false"/>
                <w:i w:val="false"/>
                <w:color w:val="000000"/>
                <w:sz w:val="20"/>
              </w:rPr>
              <w:t>в том числе через:</w:t>
            </w:r>
          </w:p>
          <w:p>
            <w:pPr>
              <w:spacing w:after="20"/>
              <w:ind w:left="20"/>
              <w:jc w:val="both"/>
            </w:pPr>
            <w:r>
              <w:rPr>
                <w:rFonts w:ascii="Times New Roman"/>
                <w:b w:val="false"/>
                <w:i w:val="false"/>
                <w:color w:val="000000"/>
                <w:sz w:val="20"/>
              </w:rPr>
              <w:t>
</w:t>
            </w:r>
            <w:r>
              <w:rPr>
                <w:rFonts w:ascii="Times New Roman"/>
                <w:b w:val="false"/>
                <w:i w:val="false"/>
                <w:color w:val="000000"/>
                <w:sz w:val="20"/>
              </w:rPr>
              <w:t>реализацию, апробацию и масштабирование инновационных проектов и решений;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усиление роли мультидисциплинарных команд ПМСП региона с распределением функций между врачами, медсестрами, социальными работниками и психологами;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организацию профессионального развития медицинских кадров через наставничество, обучение на базе центров компетенций и обмен опытом;</w:t>
            </w:r>
          </w:p>
          <w:p>
            <w:pPr>
              <w:spacing w:after="20"/>
              <w:ind w:left="20"/>
              <w:jc w:val="both"/>
            </w:pPr>
            <w:r>
              <w:rPr>
                <w:rFonts w:ascii="Times New Roman"/>
                <w:b w:val="false"/>
                <w:i w:val="false"/>
                <w:color w:val="000000"/>
                <w:sz w:val="20"/>
              </w:rPr>
              <w:t>
</w:t>
            </w:r>
            <w:r>
              <w:rPr>
                <w:rFonts w:ascii="Times New Roman"/>
                <w:b w:val="false"/>
                <w:i w:val="false"/>
                <w:color w:val="000000"/>
                <w:sz w:val="20"/>
              </w:rPr>
              <w:t>методическую поддержку медицинским организациям в адаптации и применении лучших практик с учетом региональных особенностей;</w:t>
            </w:r>
          </w:p>
          <w:p>
            <w:pPr>
              <w:spacing w:after="20"/>
              <w:ind w:left="20"/>
              <w:jc w:val="both"/>
            </w:pPr>
            <w:r>
              <w:rPr>
                <w:rFonts w:ascii="Times New Roman"/>
                <w:b w:val="false"/>
                <w:i w:val="false"/>
                <w:color w:val="000000"/>
                <w:sz w:val="20"/>
              </w:rPr>
              <w:t>
координацию и оценку организаций здравоохранения региона для достижения национальных целей развития ПМСП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республиканского координационного центра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3. Человекоориентированная и доступная медицинская помощь</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588"/>
          <w:p>
            <w:pPr>
              <w:spacing w:after="20"/>
              <w:ind w:left="20"/>
              <w:jc w:val="both"/>
            </w:pPr>
            <w:r>
              <w:rPr>
                <w:rFonts w:ascii="Times New Roman"/>
                <w:b w:val="false"/>
                <w:i w:val="false"/>
                <w:color w:val="000000"/>
                <w:sz w:val="20"/>
              </w:rPr>
              <w:t>
Целевой индикатор 19. Снижение стандартизованного коэффициента смертности, на 1000 населения (2026 год – 8,01, 2027 год – 8,00, 2028 год – 7,85, 2029 год – 7,5)</w:t>
            </w:r>
          </w:p>
          <w:bookmarkEnd w:id="588"/>
          <w:p>
            <w:pPr>
              <w:spacing w:after="20"/>
              <w:ind w:left="20"/>
              <w:jc w:val="both"/>
            </w:pPr>
            <w:r>
              <w:rPr>
                <w:rFonts w:ascii="Times New Roman"/>
                <w:b w:val="false"/>
                <w:i w:val="false"/>
                <w:color w:val="000000"/>
                <w:sz w:val="20"/>
              </w:rPr>
              <w:t>
</w:t>
            </w:r>
            <w:r>
              <w:rPr>
                <w:rFonts w:ascii="Times New Roman"/>
                <w:b w:val="false"/>
                <w:i w:val="false"/>
                <w:color w:val="000000"/>
                <w:sz w:val="20"/>
              </w:rPr>
              <w:t>Целевой индикатор 20. Снижение стандартизованного коэффициента смертности от болезней системы кровообращения, на 100 тысяч населения (2022 год – 130,2, 2023 год – 177,17, 2024 год – 175,5, 2025 год – 170,8, 2026 год – 165,2, 2027 год – 160,8, 2028 год – 158,0, 2029 год – 156,0)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Целевой индикатор 21. Снижение стандартизованного коэффициента смертности от злокачественных новообразований, на 100 тысяч населения (2022 год – 59,45, 2023 год – 83,01, 2024 год – 81,2, 2025 год – 80,2, 2026 год – 78,1, 2027 год – 76,0, </w:t>
            </w:r>
          </w:p>
          <w:p>
            <w:pPr>
              <w:spacing w:after="20"/>
              <w:ind w:left="20"/>
              <w:jc w:val="both"/>
            </w:pPr>
            <w:r>
              <w:rPr>
                <w:rFonts w:ascii="Times New Roman"/>
                <w:b w:val="false"/>
                <w:i w:val="false"/>
                <w:color w:val="000000"/>
                <w:sz w:val="20"/>
              </w:rPr>
              <w:t>2028 год – 74,0, 2029 год – 72,0)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Целевой индикатор 22. Смертность от самоубийств, на 100 тысяч населения (2026 год – 7,3, 2027 год – 7,23, 2028 год – 7,1, 2029 год – 7,0) </w:t>
            </w:r>
          </w:p>
          <w:p>
            <w:pPr>
              <w:spacing w:after="20"/>
              <w:ind w:left="20"/>
              <w:jc w:val="both"/>
            </w:pPr>
            <w:r>
              <w:rPr>
                <w:rFonts w:ascii="Times New Roman"/>
                <w:b w:val="false"/>
                <w:i w:val="false"/>
                <w:color w:val="000000"/>
                <w:sz w:val="20"/>
              </w:rPr>
              <w:t>
</w:t>
            </w:r>
            <w:r>
              <w:rPr>
                <w:rFonts w:ascii="Times New Roman"/>
                <w:b w:val="false"/>
                <w:i w:val="false"/>
                <w:color w:val="000000"/>
                <w:sz w:val="20"/>
              </w:rPr>
              <w:t>Целевой индикатор 23. Доля медицинских организаций ниже районного уровня, охваченных телемедицинскими комплексами, % (2026 год – 10, 2027 год – 20, 2028 год – 30, 2029 год – 50)</w:t>
            </w:r>
          </w:p>
          <w:p>
            <w:pPr>
              <w:spacing w:after="20"/>
              <w:ind w:left="20"/>
              <w:jc w:val="both"/>
            </w:pPr>
            <w:r>
              <w:rPr>
                <w:rFonts w:ascii="Times New Roman"/>
                <w:b w:val="false"/>
                <w:i w:val="false"/>
                <w:color w:val="000000"/>
                <w:sz w:val="20"/>
              </w:rPr>
              <w:t>
</w:t>
            </w:r>
            <w:r>
              <w:rPr>
                <w:rFonts w:ascii="Times New Roman"/>
                <w:b w:val="false"/>
                <w:i w:val="false"/>
                <w:color w:val="000000"/>
                <w:sz w:val="20"/>
              </w:rPr>
              <w:t>Целевой индикатор 24. Доля вызовов скорой помощи, обслуженных в установленное нормативами время, % (2026 год – 79, 2027 год – 82, 2028 год – 86, 2029 год – 90)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Целевой индикатор 25. Средний срок начала лечения подтвержденных злокачественных новообразований с момента постановки предварительного диагноза (дней) (2026 год – 24, 2027 год – 20, 2028 год – 18, 2029 год – 14) </w:t>
            </w:r>
          </w:p>
          <w:p>
            <w:pPr>
              <w:spacing w:after="20"/>
              <w:ind w:left="20"/>
              <w:jc w:val="both"/>
            </w:pPr>
            <w:r>
              <w:rPr>
                <w:rFonts w:ascii="Times New Roman"/>
                <w:b w:val="false"/>
                <w:i w:val="false"/>
                <w:color w:val="000000"/>
                <w:sz w:val="20"/>
              </w:rPr>
              <w:t>
</w:t>
            </w:r>
            <w:r>
              <w:rPr>
                <w:rFonts w:ascii="Times New Roman"/>
                <w:b w:val="false"/>
                <w:i w:val="false"/>
                <w:color w:val="000000"/>
                <w:sz w:val="20"/>
              </w:rPr>
              <w:t>Целевой индикатор 26. Число новых зараженных ВИЧ, на 1000 неинфицированных (2026 год – 0,24, 2027 год – 0,25, 2028 год – 0,26, 2029 год – 0,26)</w:t>
            </w:r>
          </w:p>
          <w:p>
            <w:pPr>
              <w:spacing w:after="20"/>
              <w:ind w:left="20"/>
              <w:jc w:val="both"/>
            </w:pPr>
            <w:r>
              <w:rPr>
                <w:rFonts w:ascii="Times New Roman"/>
                <w:b w:val="false"/>
                <w:i w:val="false"/>
                <w:color w:val="000000"/>
                <w:sz w:val="20"/>
              </w:rPr>
              <w:t>
</w:t>
            </w:r>
            <w:r>
              <w:rPr>
                <w:rFonts w:ascii="Times New Roman"/>
                <w:b w:val="false"/>
                <w:i w:val="false"/>
                <w:color w:val="000000"/>
                <w:sz w:val="20"/>
              </w:rPr>
              <w:t>Целевой индикатор 27. Доля новых зараженных ВИЧ в структуре выявления с парентеральным путем передачи, % (2026 год – 19,0, 2027 год – 18,7, 2028 год – 18,4, 2029 год – 18,0)</w:t>
            </w:r>
          </w:p>
          <w:p>
            <w:pPr>
              <w:spacing w:after="20"/>
              <w:ind w:left="20"/>
              <w:jc w:val="both"/>
            </w:pPr>
            <w:r>
              <w:rPr>
                <w:rFonts w:ascii="Times New Roman"/>
                <w:b w:val="false"/>
                <w:i w:val="false"/>
                <w:color w:val="000000"/>
                <w:sz w:val="20"/>
              </w:rPr>
              <w:t>
</w:t>
            </w:r>
            <w:r>
              <w:rPr>
                <w:rFonts w:ascii="Times New Roman"/>
                <w:b w:val="false"/>
                <w:i w:val="false"/>
                <w:color w:val="000000"/>
                <w:sz w:val="20"/>
              </w:rPr>
              <w:t>Целевой индикатор 28. Уровень удовлетворенности населения качеством и доступностью медицинских услуг, предоставляемых медицинскими учреждениями, % (2022 год – 69,6, 2023 год – 73,0, 2024 год – 76,5, 2025 год – 80,0)</w:t>
            </w:r>
          </w:p>
          <w:p>
            <w:pPr>
              <w:spacing w:after="20"/>
              <w:ind w:left="20"/>
              <w:jc w:val="both"/>
            </w:pPr>
            <w:r>
              <w:rPr>
                <w:rFonts w:ascii="Times New Roman"/>
                <w:b w:val="false"/>
                <w:i w:val="false"/>
                <w:color w:val="000000"/>
                <w:sz w:val="20"/>
              </w:rPr>
              <w:t>
</w:t>
            </w:r>
            <w:r>
              <w:rPr>
                <w:rFonts w:ascii="Times New Roman"/>
                <w:b w:val="false"/>
                <w:i w:val="false"/>
                <w:color w:val="000000"/>
                <w:sz w:val="20"/>
              </w:rPr>
              <w:t>Целевой индикатор 29. Удовлетворенность населения качеством услуг, оказываемых государственными медицинскими учреждениями, % (2026 год – 41,5, 2027 год – 42,0, 2028 год – 42,5, 2029 год – 43,0)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Целевой индикатор 30. Доля аккредитованных поставщиков медицинских услуг в рамках ГОБМП и ОСМС, подлежащих аккредитации, % (2026 год – 60, 2027 год – 62, 2028 год – 64, 2029 год – 66) </w:t>
            </w:r>
          </w:p>
          <w:p>
            <w:pPr>
              <w:spacing w:after="20"/>
              <w:ind w:left="20"/>
              <w:jc w:val="both"/>
            </w:pPr>
            <w:r>
              <w:rPr>
                <w:rFonts w:ascii="Times New Roman"/>
                <w:b w:val="false"/>
                <w:i w:val="false"/>
                <w:color w:val="000000"/>
                <w:sz w:val="20"/>
              </w:rPr>
              <w:t>
</w:t>
            </w:r>
            <w:r>
              <w:rPr>
                <w:rFonts w:ascii="Times New Roman"/>
                <w:b w:val="false"/>
                <w:i w:val="false"/>
                <w:color w:val="000000"/>
                <w:sz w:val="20"/>
              </w:rPr>
              <w:t>Целевой индикатор 31. Наличие службы поддержки пациентов и внутренней экспертизы в субъектах здравоохранения вне зависимости от форм собственности, % (2026 год – 20, 2027 год – 40, 2028 год – 65, 2029 год – 95)</w:t>
            </w:r>
          </w:p>
          <w:p>
            <w:pPr>
              <w:spacing w:after="20"/>
              <w:ind w:left="20"/>
              <w:jc w:val="both"/>
            </w:pPr>
            <w:r>
              <w:rPr>
                <w:rFonts w:ascii="Times New Roman"/>
                <w:b w:val="false"/>
                <w:i w:val="false"/>
                <w:color w:val="000000"/>
                <w:sz w:val="20"/>
              </w:rPr>
              <w:t>
</w:t>
            </w:r>
            <w:r>
              <w:rPr>
                <w:rFonts w:ascii="Times New Roman"/>
                <w:b w:val="false"/>
                <w:i w:val="false"/>
                <w:color w:val="000000"/>
                <w:sz w:val="20"/>
              </w:rPr>
              <w:t>Целевой индикатор 32. Увеличение общей 5‑летней выживаемости злокачественными новообразованиями, % (2026 год – 55,4, 2027 год – 55,7, 2028 год – 56,1, 2029 год – 56,5)</w:t>
            </w:r>
          </w:p>
          <w:p>
            <w:pPr>
              <w:spacing w:after="20"/>
              <w:ind w:left="20"/>
              <w:jc w:val="both"/>
            </w:pPr>
            <w:r>
              <w:rPr>
                <w:rFonts w:ascii="Times New Roman"/>
                <w:b w:val="false"/>
                <w:i w:val="false"/>
                <w:color w:val="000000"/>
                <w:sz w:val="20"/>
              </w:rPr>
              <w:t>
</w:t>
            </w:r>
            <w:r>
              <w:rPr>
                <w:rFonts w:ascii="Times New Roman"/>
                <w:b w:val="false"/>
                <w:i w:val="false"/>
                <w:color w:val="000000"/>
                <w:sz w:val="20"/>
              </w:rPr>
              <w:t>Целевой индикатор 33. Снижение заболеваемости психическими поведенческими расстройствами (заболеваниями), вследствие употребления психоактивных веществ, на 100 тысяч населения (2026 год – 67,32, 2027 год – 67,12, 2028 год – 66,92, 2029 год – 66,72)</w:t>
            </w:r>
          </w:p>
          <w:p>
            <w:pPr>
              <w:spacing w:after="20"/>
              <w:ind w:left="20"/>
              <w:jc w:val="both"/>
            </w:pPr>
            <w:r>
              <w:rPr>
                <w:rFonts w:ascii="Times New Roman"/>
                <w:b w:val="false"/>
                <w:i w:val="false"/>
                <w:color w:val="000000"/>
                <w:sz w:val="20"/>
              </w:rPr>
              <w:t>
</w:t>
            </w:r>
            <w:r>
              <w:rPr>
                <w:rFonts w:ascii="Times New Roman"/>
                <w:b w:val="false"/>
                <w:i w:val="false"/>
                <w:color w:val="000000"/>
                <w:sz w:val="20"/>
              </w:rPr>
              <w:t>Целевой индикатор 34. Распространенность туберкулеза, на 100 тысяч населения (2026 год – 43,9, 2027 год – 43,8, 2028 год – 43,7, 2029 год – 43,5)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Целевой индикатор 35. Доля пациентов, ожидавших плановую госпитализацию более 10 дней, % (2026 год – 15,0, </w:t>
            </w:r>
          </w:p>
          <w:p>
            <w:pPr>
              <w:spacing w:after="20"/>
              <w:ind w:left="20"/>
              <w:jc w:val="both"/>
            </w:pPr>
            <w:r>
              <w:rPr>
                <w:rFonts w:ascii="Times New Roman"/>
                <w:b w:val="false"/>
                <w:i w:val="false"/>
                <w:color w:val="000000"/>
                <w:sz w:val="20"/>
              </w:rPr>
              <w:t>2027 год – 13,0, 2028 год – 11,0, 2029 год – 10,0)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Целевой индикатор 36. Смертность в результате дорожно‑транспортных происшествий, на 100 тысяч населения (2026 год – 11,6, 2027 год – 11,5, 2028 год – 11,4, 2029 год – 11,3) </w:t>
            </w:r>
          </w:p>
          <w:p>
            <w:pPr>
              <w:spacing w:after="20"/>
              <w:ind w:left="20"/>
              <w:jc w:val="both"/>
            </w:pPr>
            <w:r>
              <w:rPr>
                <w:rFonts w:ascii="Times New Roman"/>
                <w:b w:val="false"/>
                <w:i w:val="false"/>
                <w:color w:val="000000"/>
                <w:sz w:val="20"/>
              </w:rPr>
              <w:t>
Целевой индикатор 37. Ежегодное количество новых и модернизированных объектов здравоохранения, соответствующих мировым стандартам оказания медицинской помощи, количество единиц (2022 год – 3, 2023 год – 5, 2024 год – 32, 2025 год –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589"/>
          <w:p>
            <w:pPr>
              <w:spacing w:after="20"/>
              <w:ind w:left="20"/>
              <w:jc w:val="both"/>
            </w:pPr>
            <w:r>
              <w:rPr>
                <w:rFonts w:ascii="Times New Roman"/>
                <w:b w:val="false"/>
                <w:i w:val="false"/>
                <w:color w:val="000000"/>
                <w:sz w:val="20"/>
              </w:rPr>
              <w:t>
Масштабирование мультидисциплинарного подхода через расширение сети референс-центров и подразделений специализированной медицинской помощи путем:</w:t>
            </w:r>
          </w:p>
          <w:bookmarkEnd w:id="589"/>
          <w:p>
            <w:pPr>
              <w:spacing w:after="20"/>
              <w:ind w:left="20"/>
              <w:jc w:val="both"/>
            </w:pPr>
            <w:r>
              <w:rPr>
                <w:rFonts w:ascii="Times New Roman"/>
                <w:b w:val="false"/>
                <w:i w:val="false"/>
                <w:color w:val="000000"/>
                <w:sz w:val="20"/>
              </w:rPr>
              <w:t>
</w:t>
            </w:r>
            <w:r>
              <w:rPr>
                <w:rFonts w:ascii="Times New Roman"/>
                <w:b w:val="false"/>
                <w:i w:val="false"/>
                <w:color w:val="000000"/>
                <w:sz w:val="20"/>
              </w:rPr>
              <w:t>внедрения проектного управления в работе координационных советов;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развития сети и интеграции республиканских и региональных центров компетенций по ключевым профилям;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развития возможностей телемедицины, интегрированной с информационной системой здравоохранения, в том числе сервисов для удаленного наблюдения и консультирования пациентов с хроническими НИЗ; </w:t>
            </w:r>
          </w:p>
          <w:p>
            <w:pPr>
              <w:spacing w:after="20"/>
              <w:ind w:left="20"/>
              <w:jc w:val="both"/>
            </w:pPr>
            <w:r>
              <w:rPr>
                <w:rFonts w:ascii="Times New Roman"/>
                <w:b w:val="false"/>
                <w:i w:val="false"/>
                <w:color w:val="000000"/>
                <w:sz w:val="20"/>
              </w:rPr>
              <w:t>
</w:t>
            </w:r>
            <w:r>
              <w:rPr>
                <w:rFonts w:ascii="Times New Roman"/>
                <w:b w:val="false"/>
                <w:i w:val="false"/>
                <w:color w:val="000000"/>
                <w:sz w:val="20"/>
              </w:rPr>
              <w:t>актуализации перечня медицинских услуг, которые могут оказываться дистанционно;</w:t>
            </w:r>
          </w:p>
          <w:p>
            <w:pPr>
              <w:spacing w:after="20"/>
              <w:ind w:left="20"/>
              <w:jc w:val="both"/>
            </w:pPr>
            <w:r>
              <w:rPr>
                <w:rFonts w:ascii="Times New Roman"/>
                <w:b w:val="false"/>
                <w:i w:val="false"/>
                <w:color w:val="000000"/>
                <w:sz w:val="20"/>
              </w:rPr>
              <w:t>
</w:t>
            </w:r>
            <w:r>
              <w:rPr>
                <w:rFonts w:ascii="Times New Roman"/>
                <w:b w:val="false"/>
                <w:i w:val="false"/>
                <w:color w:val="000000"/>
                <w:sz w:val="20"/>
              </w:rPr>
              <w:t>внедрения механизмов наставничества: стажировки, разбора клинических случаев, ротации специалистов и управленческого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регулярной адаптации маршрутов и клинических протоколов с учетом мониторинга данных, отзывов медицинских работников, пациентов и пациентских организаций;</w:t>
            </w:r>
          </w:p>
          <w:p>
            <w:pPr>
              <w:spacing w:after="20"/>
              <w:ind w:left="20"/>
              <w:jc w:val="both"/>
            </w:pPr>
            <w:r>
              <w:rPr>
                <w:rFonts w:ascii="Times New Roman"/>
                <w:b w:val="false"/>
                <w:i w:val="false"/>
                <w:color w:val="000000"/>
                <w:sz w:val="20"/>
              </w:rPr>
              <w:t>
внедрения цифровых интерфейсов обратной связи и поддержки пациентов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координационных советов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 МИИЦР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автоматизированного контроля сроков "зеленого коридора" при злокачественных новообразованиях и уведомление служб поддержки пациента и органов мониторинга качества с последующим распространением и на заболевания, представляющие опасность для окружающих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реализованный функционал мониторинга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МИИЦР,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590"/>
          <w:p>
            <w:pPr>
              <w:spacing w:after="20"/>
              <w:ind w:left="20"/>
              <w:jc w:val="both"/>
            </w:pPr>
            <w:r>
              <w:rPr>
                <w:rFonts w:ascii="Times New Roman"/>
                <w:b w:val="false"/>
                <w:i w:val="false"/>
                <w:color w:val="000000"/>
                <w:sz w:val="20"/>
              </w:rPr>
              <w:t>
Выработка мер по повышению доступности помощи пожилым людям, направленной на сохранение функциональной способности, в том числе:</w:t>
            </w:r>
          </w:p>
          <w:bookmarkEnd w:id="590"/>
          <w:p>
            <w:pPr>
              <w:spacing w:after="20"/>
              <w:ind w:left="20"/>
              <w:jc w:val="both"/>
            </w:pPr>
            <w:r>
              <w:rPr>
                <w:rFonts w:ascii="Times New Roman"/>
                <w:b w:val="false"/>
                <w:i w:val="false"/>
                <w:color w:val="000000"/>
                <w:sz w:val="20"/>
              </w:rPr>
              <w:t>
</w:t>
            </w:r>
            <w:r>
              <w:rPr>
                <w:rFonts w:ascii="Times New Roman"/>
                <w:b w:val="false"/>
                <w:i w:val="false"/>
                <w:color w:val="000000"/>
                <w:sz w:val="20"/>
              </w:rPr>
              <w:t>профессиональная переподготовка медицинских работников для устойчивого покрытия потребностей пожилого населения, особенно в условиях сельской местности;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повышение доступности долгосрочного ухода, в том числе на дому;</w:t>
            </w:r>
          </w:p>
          <w:p>
            <w:pPr>
              <w:spacing w:after="20"/>
              <w:ind w:left="20"/>
              <w:jc w:val="both"/>
            </w:pPr>
            <w:r>
              <w:rPr>
                <w:rFonts w:ascii="Times New Roman"/>
                <w:b w:val="false"/>
                <w:i w:val="false"/>
                <w:color w:val="000000"/>
                <w:sz w:val="20"/>
              </w:rPr>
              <w:t>
распространение положительного опыта центров активного долголетия по психологической поддержке пожилых людей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Перепрофилирование свободных коек для создания специализированных отделений сестринского ухода в регионах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персонализированного подхода при назначении антиретровирусной терапии с учетом генотипической резистентности и носительства аллели HLA B*5701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КНЦДИЗ (по согласованию) МЗ,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591"/>
          <w:p>
            <w:pPr>
              <w:spacing w:after="20"/>
              <w:ind w:left="20"/>
              <w:jc w:val="both"/>
            </w:pPr>
            <w:r>
              <w:rPr>
                <w:rFonts w:ascii="Times New Roman"/>
                <w:b w:val="false"/>
                <w:i w:val="false"/>
                <w:color w:val="000000"/>
                <w:sz w:val="20"/>
              </w:rPr>
              <w:t>
Обеспечение охвата медицинской помощью в рамках достижения цели 95-95-95 Глобальной стратегии до 2030 года:</w:t>
            </w:r>
          </w:p>
          <w:bookmarkEnd w:id="591"/>
          <w:p>
            <w:pPr>
              <w:spacing w:after="20"/>
              <w:ind w:left="20"/>
              <w:jc w:val="both"/>
            </w:pPr>
            <w:r>
              <w:rPr>
                <w:rFonts w:ascii="Times New Roman"/>
                <w:b w:val="false"/>
                <w:i w:val="false"/>
                <w:color w:val="000000"/>
                <w:sz w:val="20"/>
              </w:rPr>
              <w:t>
</w:t>
            </w:r>
            <w:r>
              <w:rPr>
                <w:rFonts w:ascii="Times New Roman"/>
                <w:b w:val="false"/>
                <w:i w:val="false"/>
                <w:color w:val="000000"/>
                <w:sz w:val="20"/>
              </w:rPr>
              <w:t>95% всех лиц, живущих с ВИЧ, должны знать свой ВИЧ-статус;</w:t>
            </w:r>
          </w:p>
          <w:p>
            <w:pPr>
              <w:spacing w:after="20"/>
              <w:ind w:left="20"/>
              <w:jc w:val="both"/>
            </w:pPr>
            <w:r>
              <w:rPr>
                <w:rFonts w:ascii="Times New Roman"/>
                <w:b w:val="false"/>
                <w:i w:val="false"/>
                <w:color w:val="000000"/>
                <w:sz w:val="20"/>
              </w:rPr>
              <w:t>
</w:t>
            </w:r>
            <w:r>
              <w:rPr>
                <w:rFonts w:ascii="Times New Roman"/>
                <w:b w:val="false"/>
                <w:i w:val="false"/>
                <w:color w:val="000000"/>
                <w:sz w:val="20"/>
              </w:rPr>
              <w:t>95% всех, у кого диагностирована ВИЧ-инфекция, должны стабильно получать антиретровирусную терапию;</w:t>
            </w:r>
          </w:p>
          <w:p>
            <w:pPr>
              <w:spacing w:after="20"/>
              <w:ind w:left="20"/>
              <w:jc w:val="both"/>
            </w:pPr>
            <w:r>
              <w:rPr>
                <w:rFonts w:ascii="Times New Roman"/>
                <w:b w:val="false"/>
                <w:i w:val="false"/>
                <w:color w:val="000000"/>
                <w:sz w:val="20"/>
              </w:rPr>
              <w:t>
95% лиц, получающих терапию, должны быть с подавленной вирусной нагрузкой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КНЦДИЗ (по согласованию) МЗ,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 потребности круглосуточного стационара при учреждениях уголовно-исполнительной системы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МВД,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Проработка механизмов обеспечения лиц, содержащихся в учреждениях уголовно- исполнительной системы, психологической помощью и экстренной стоматологической помощью в соответствии с минимальными стандартами и правилами обращения с заключенными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МВД,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Перевод медицинских данных лиц, содержащихся в учреждениях уголовно-исполнительной системы, в цифровой формат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МВД, МИИЦР,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цифровых инструментов в деятельность служб медицинской реабилитации, включая учет ограничения жизнедеятельности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МИИЦР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592"/>
          <w:p>
            <w:pPr>
              <w:spacing w:after="20"/>
              <w:ind w:left="20"/>
              <w:jc w:val="both"/>
            </w:pPr>
            <w:r>
              <w:rPr>
                <w:rFonts w:ascii="Times New Roman"/>
                <w:b w:val="false"/>
                <w:i w:val="false"/>
                <w:color w:val="000000"/>
                <w:sz w:val="20"/>
              </w:rPr>
              <w:t>
Мониторинг качества обеспечения медицинской помощью пациентов с орфанными заболеваниями.</w:t>
            </w:r>
          </w:p>
          <w:bookmarkEnd w:id="592"/>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республиканского центра орфанных заболеваний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593"/>
          <w:p>
            <w:pPr>
              <w:spacing w:after="20"/>
              <w:ind w:left="20"/>
              <w:jc w:val="both"/>
            </w:pPr>
            <w:r>
              <w:rPr>
                <w:rFonts w:ascii="Times New Roman"/>
                <w:b w:val="false"/>
                <w:i w:val="false"/>
                <w:color w:val="000000"/>
                <w:sz w:val="20"/>
              </w:rPr>
              <w:t>
МЗ, МИО, Республиканский центр орфанных заболеваний</w:t>
            </w:r>
          </w:p>
          <w:bookmarkEnd w:id="593"/>
          <w:p>
            <w:pPr>
              <w:spacing w:after="20"/>
              <w:ind w:left="20"/>
              <w:jc w:val="both"/>
            </w:pPr>
            <w:r>
              <w:rPr>
                <w:rFonts w:ascii="Times New Roman"/>
                <w:b w:val="false"/>
                <w:i w:val="false"/>
                <w:color w:val="000000"/>
                <w:sz w:val="20"/>
              </w:rPr>
              <w:t>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медицинского туризма в Республике Казахстан через открытие отделов по медицинскому туризму в НИИ, НЦ и продвижение бренда здравоохранения Казахстана на международных площадках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предусмотренных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источники (средства организаций здравоохранения)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594"/>
          <w:p>
            <w:pPr>
              <w:spacing w:after="20"/>
              <w:ind w:left="20"/>
              <w:jc w:val="both"/>
            </w:pPr>
            <w:r>
              <w:rPr>
                <w:rFonts w:ascii="Times New Roman"/>
                <w:b w:val="false"/>
                <w:i w:val="false"/>
                <w:color w:val="000000"/>
                <w:sz w:val="20"/>
              </w:rPr>
              <w:t>
Развитие санаторно-курортной отрасли в Республике Казахстан путем:</w:t>
            </w:r>
          </w:p>
          <w:bookmarkEnd w:id="594"/>
          <w:p>
            <w:pPr>
              <w:spacing w:after="20"/>
              <w:ind w:left="20"/>
              <w:jc w:val="both"/>
            </w:pPr>
            <w:r>
              <w:rPr>
                <w:rFonts w:ascii="Times New Roman"/>
                <w:b w:val="false"/>
                <w:i w:val="false"/>
                <w:color w:val="000000"/>
                <w:sz w:val="20"/>
              </w:rPr>
              <w:t>
</w:t>
            </w:r>
            <w:r>
              <w:rPr>
                <w:rFonts w:ascii="Times New Roman"/>
                <w:b w:val="false"/>
                <w:i w:val="false"/>
                <w:color w:val="000000"/>
                <w:sz w:val="20"/>
              </w:rPr>
              <w:t>создания атласа природных лечебно-климатических и бальнеологических ресурсов и передовых организаций здравоохранения Казахстана;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межсекторального взаимодействия по развитию территорий с высоким природным рекреационным потенциалом, способствующего продвижению медицинского туризма и курортной сети;</w:t>
            </w:r>
          </w:p>
          <w:p>
            <w:pPr>
              <w:spacing w:after="20"/>
              <w:ind w:left="20"/>
              <w:jc w:val="both"/>
            </w:pPr>
            <w:r>
              <w:rPr>
                <w:rFonts w:ascii="Times New Roman"/>
                <w:b w:val="false"/>
                <w:i w:val="false"/>
                <w:color w:val="000000"/>
                <w:sz w:val="20"/>
              </w:rPr>
              <w:t>
повышения нормативных требований к санаторно-курортной деятельности в целях приближения к международному уровню с ориентиром на стандарты EuroSPA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НИИКМР (по согласованию)МЗ,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возможности использования передвижных стационаров для повышения доступности медицинской помощи в отдаленных и труднодоступных регионах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единого регистра для регистрации и анализа нежелательных инцидентов и ошибок в оказании медицинской помощи, основанной на принципах "справедливой культуры"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регистр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механизмов вовлечения пациентов и их представителей в оценку качества и безопасности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национальной системы мониторинга индикаторов качества и безопасности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пациенториентированности службы поддержки пациентов и устранение конфликта интересов при совмещении с функциями внутренней экспертизы качества в медицинских организациях через их разъединение и расширение функций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охвата аккредитацией медицинских организаций, осуществляющих оказание специализированной медицинской помощи по следующим направлениям: гемодиализ, фтизиатрия, вспомогательные репродуктивные технологии, онкогематология, стоматология, лечение ВИЧ, психическое здоровье и актуализация стандартов аккредитации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обязательной аккредитации для поставщиков ГОБМП и ОСМС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Мониторинг деятельности организаций, аккредитующих медицинские организации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постаккредитационного мониторинга, в том числе внедрение рандомной выборки организаций государственным органом в сфере оказания медицинских услуг (помощи) не позднее 6 месяцев с момента прохождения аккредитации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комфортных условий пребывания пациентов в медицинских организациях, в том числе по качеству питания, комфорту койка-места, окружающей пациента обстановки, доброжелательности персонала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2028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4. Семейное благополучие – новый стратегический ориентир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595"/>
          <w:p>
            <w:pPr>
              <w:spacing w:after="20"/>
              <w:ind w:left="20"/>
              <w:jc w:val="both"/>
            </w:pPr>
            <w:r>
              <w:rPr>
                <w:rFonts w:ascii="Times New Roman"/>
                <w:b w:val="false"/>
                <w:i w:val="false"/>
                <w:color w:val="000000"/>
                <w:sz w:val="20"/>
              </w:rPr>
              <w:t>
Целевой индикатор 38. Снижение младенческой смертности, на 1000 родившихся живыми (2022 год – 7,68, 2023 год – 7,67, 2024 год – 7,50, 2025 год – 7,40, 2026 год – 7,3; 2027 год – 7,2; 2028 год – 7,1; 2029 год – 7,0)</w:t>
            </w:r>
          </w:p>
          <w:bookmarkEnd w:id="595"/>
          <w:p>
            <w:pPr>
              <w:spacing w:after="20"/>
              <w:ind w:left="20"/>
              <w:jc w:val="both"/>
            </w:pPr>
            <w:r>
              <w:rPr>
                <w:rFonts w:ascii="Times New Roman"/>
                <w:b w:val="false"/>
                <w:i w:val="false"/>
                <w:color w:val="000000"/>
                <w:sz w:val="20"/>
              </w:rPr>
              <w:t>
</w:t>
            </w:r>
            <w:r>
              <w:rPr>
                <w:rFonts w:ascii="Times New Roman"/>
                <w:b w:val="false"/>
                <w:i w:val="false"/>
                <w:color w:val="000000"/>
                <w:sz w:val="20"/>
              </w:rPr>
              <w:t>Целевой индикатор 39. Коэффициент неонатальной смертности, на 1000 родившихся живыми (2026 год – 4,1; 2027 год – 4,0; 2028 год – 3,9; 2029 год – 3,8)</w:t>
            </w:r>
          </w:p>
          <w:p>
            <w:pPr>
              <w:spacing w:after="20"/>
              <w:ind w:left="20"/>
              <w:jc w:val="both"/>
            </w:pPr>
            <w:r>
              <w:rPr>
                <w:rFonts w:ascii="Times New Roman"/>
                <w:b w:val="false"/>
                <w:i w:val="false"/>
                <w:color w:val="000000"/>
                <w:sz w:val="20"/>
              </w:rPr>
              <w:t>
</w:t>
            </w:r>
            <w:r>
              <w:rPr>
                <w:rFonts w:ascii="Times New Roman"/>
                <w:b w:val="false"/>
                <w:i w:val="false"/>
                <w:color w:val="000000"/>
                <w:sz w:val="20"/>
              </w:rPr>
              <w:t>Целевой индикатор 40. Коэффициент детской смертности в возрасте до 5 лет, на 1000 родившихся живыми (2026 год – 9,7; 2027 год – 9,65; 2028 год – 9,60; 2029 год – 9,55)</w:t>
            </w:r>
          </w:p>
          <w:p>
            <w:pPr>
              <w:spacing w:after="20"/>
              <w:ind w:left="20"/>
              <w:jc w:val="both"/>
            </w:pPr>
            <w:r>
              <w:rPr>
                <w:rFonts w:ascii="Times New Roman"/>
                <w:b w:val="false"/>
                <w:i w:val="false"/>
                <w:color w:val="000000"/>
                <w:sz w:val="20"/>
              </w:rPr>
              <w:t>
</w:t>
            </w:r>
            <w:r>
              <w:rPr>
                <w:rFonts w:ascii="Times New Roman"/>
                <w:b w:val="false"/>
                <w:i w:val="false"/>
                <w:color w:val="000000"/>
                <w:sz w:val="20"/>
              </w:rPr>
              <w:t>Целевой индикатор 41. Снижение материнской смертности, на 100 тысяч родившихся живыми (2022 год – 17,0, 2023 год – 11,4, 2024 год – 11,4, 2025 год – 11,3, 2026 год – 11,2; 2027 год – 11,1; 2028 год – 11,0; 2029 год – 10,9)</w:t>
            </w:r>
          </w:p>
          <w:p>
            <w:pPr>
              <w:spacing w:after="20"/>
              <w:ind w:left="20"/>
              <w:jc w:val="both"/>
            </w:pPr>
            <w:r>
              <w:rPr>
                <w:rFonts w:ascii="Times New Roman"/>
                <w:b w:val="false"/>
                <w:i w:val="false"/>
                <w:color w:val="000000"/>
                <w:sz w:val="20"/>
              </w:rPr>
              <w:t>
</w:t>
            </w:r>
            <w:r>
              <w:rPr>
                <w:rFonts w:ascii="Times New Roman"/>
                <w:b w:val="false"/>
                <w:i w:val="false"/>
                <w:color w:val="000000"/>
                <w:sz w:val="20"/>
              </w:rPr>
              <w:t>Целевой индикатор 42. Коэффициент рождаемости среди девочек‑подростков, на 1000 девочек в возрасте 15–17 лет (2026 год – 2,9; 2027 год – 2,8; 2028 год – 2,7; 2029 год – 2,6)</w:t>
            </w:r>
          </w:p>
          <w:p>
            <w:pPr>
              <w:spacing w:after="20"/>
              <w:ind w:left="20"/>
              <w:jc w:val="both"/>
            </w:pPr>
            <w:r>
              <w:rPr>
                <w:rFonts w:ascii="Times New Roman"/>
                <w:b w:val="false"/>
                <w:i w:val="false"/>
                <w:color w:val="000000"/>
                <w:sz w:val="20"/>
              </w:rPr>
              <w:t>
</w:t>
            </w:r>
            <w:r>
              <w:rPr>
                <w:rFonts w:ascii="Times New Roman"/>
                <w:b w:val="false"/>
                <w:i w:val="false"/>
                <w:color w:val="000000"/>
                <w:sz w:val="20"/>
              </w:rPr>
              <w:t>Целевой индикатор 43. Коэффициент аборта среди девочек‑подростков, на 1000 девочек в возрасте 15–17 лет (2026 год – 0,70; 2027 год – 0,65; 2028 год – 0,60; 2029 год – 0,50)</w:t>
            </w:r>
          </w:p>
          <w:p>
            <w:pPr>
              <w:spacing w:after="20"/>
              <w:ind w:left="20"/>
              <w:jc w:val="both"/>
            </w:pPr>
            <w:r>
              <w:rPr>
                <w:rFonts w:ascii="Times New Roman"/>
                <w:b w:val="false"/>
                <w:i w:val="false"/>
                <w:color w:val="000000"/>
                <w:sz w:val="20"/>
              </w:rPr>
              <w:t>
</w:t>
            </w:r>
            <w:r>
              <w:rPr>
                <w:rFonts w:ascii="Times New Roman"/>
                <w:b w:val="false"/>
                <w:i w:val="false"/>
                <w:color w:val="000000"/>
                <w:sz w:val="20"/>
              </w:rPr>
              <w:t>Целевой индикатор 44. Снижение заболеваемости анемией среди беременных женщин в возрасте 15–49 лет, % (2026 год – 25,0; 2027 год – 24,5; 2028 год – 24,0; 2029 год – 23,5)</w:t>
            </w:r>
          </w:p>
          <w:p>
            <w:pPr>
              <w:spacing w:after="20"/>
              <w:ind w:left="20"/>
              <w:jc w:val="both"/>
            </w:pPr>
            <w:r>
              <w:rPr>
                <w:rFonts w:ascii="Times New Roman"/>
                <w:b w:val="false"/>
                <w:i w:val="false"/>
                <w:color w:val="000000"/>
                <w:sz w:val="20"/>
              </w:rPr>
              <w:t>
Целевой индикатор 45. Доля женщин, взятых на учет по беременности, охваченных прегравидарной подготовкой, % (2026 год – 50; 2027 год – 55; 2028 год – 60; 2029 год – 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Укомплектование отделений интенсивной терапии новорожденных организаций родовспоможения средними медицинскими работниками с поэтапным доведением до соотношения 1 медсестра на 1 новорожденного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2027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 ННЦРЗ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Открытие коек неонатальной хирургии для оперативного вмешательства новорожденных в региональных организациях родовспоможения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2027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НЦПДХ (по согласованию)МЗ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596"/>
          <w:p>
            <w:pPr>
              <w:spacing w:after="20"/>
              <w:ind w:left="20"/>
              <w:jc w:val="both"/>
            </w:pPr>
            <w:r>
              <w:rPr>
                <w:rFonts w:ascii="Times New Roman"/>
                <w:b w:val="false"/>
                <w:i w:val="false"/>
                <w:color w:val="000000"/>
                <w:sz w:val="20"/>
              </w:rPr>
              <w:t>
Внедрение дополнительных мер по сопровождению развития ребенка с рождения:</w:t>
            </w:r>
          </w:p>
          <w:bookmarkEnd w:id="596"/>
          <w:p>
            <w:pPr>
              <w:spacing w:after="20"/>
              <w:ind w:left="20"/>
              <w:jc w:val="both"/>
            </w:pPr>
            <w:r>
              <w:rPr>
                <w:rFonts w:ascii="Times New Roman"/>
                <w:b w:val="false"/>
                <w:i w:val="false"/>
                <w:color w:val="000000"/>
                <w:sz w:val="20"/>
              </w:rPr>
              <w:t>
</w:t>
            </w:r>
            <w:r>
              <w:rPr>
                <w:rFonts w:ascii="Times New Roman"/>
                <w:b w:val="false"/>
                <w:i w:val="false"/>
                <w:color w:val="000000"/>
                <w:sz w:val="20"/>
              </w:rPr>
              <w:t>мониторинг укомплектованности патронажными кадрами на территориальных участках ПМСП;</w:t>
            </w:r>
          </w:p>
          <w:p>
            <w:pPr>
              <w:spacing w:after="20"/>
              <w:ind w:left="20"/>
              <w:jc w:val="both"/>
            </w:pPr>
            <w:r>
              <w:rPr>
                <w:rFonts w:ascii="Times New Roman"/>
                <w:b w:val="false"/>
                <w:i w:val="false"/>
                <w:color w:val="000000"/>
                <w:sz w:val="20"/>
              </w:rPr>
              <w:t>
</w:t>
            </w:r>
            <w:r>
              <w:rPr>
                <w:rFonts w:ascii="Times New Roman"/>
                <w:b w:val="false"/>
                <w:i w:val="false"/>
                <w:color w:val="000000"/>
                <w:sz w:val="20"/>
              </w:rPr>
              <w:t>обучение специалистов ПМСП коммуникативным навыкам, включая работу с уязвимыми семьями, и алгоритму взаимодействия со службами социальной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обеспечение специалистов ПМСП доступом к данным, связанным со здоровьем и благополучием ребенка, в том числе из информационных систем образования и социальной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автоматизированный мониторинг соблюдения временных нормативов для патронажа и этапов маршрутизации новорожденных;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выявление и регистрация медицинских и социальных педиатрических рисков, связанных с питанием, развитием ребенка, безопасностью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раннее выявление нарушений в развитии и своевременное направление детей на необходимую помощь в организациях ПМСП;</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открытие центров развития и раннего вмешательства в организациях ПМСП; </w:t>
            </w:r>
          </w:p>
          <w:p>
            <w:pPr>
              <w:spacing w:after="20"/>
              <w:ind w:left="20"/>
              <w:jc w:val="both"/>
            </w:pPr>
            <w:r>
              <w:rPr>
                <w:rFonts w:ascii="Times New Roman"/>
                <w:b w:val="false"/>
                <w:i w:val="false"/>
                <w:color w:val="000000"/>
                <w:sz w:val="20"/>
              </w:rPr>
              <w:t>
обучение кадров ПМСП современным подходам, основанным на доказательной базе и международных руководствах ВОЗ, в том числе применение карманного справочника ВОЗ ПМСП для детей и подростков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НЦПДХ (по согласованию) МЗ, МТЗСН, МП, МКИ,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новых методов медицинской реабилитации и их трансферт из национальных научных центров в регионы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стандарта оказания медицинской помощи детям в дошкольных организациях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республиканской акции "Саламатты мектеп" (на 2026 – 2028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карта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непрерывных поставок, в том числе барьерных контрацептивов через ПМСП / молодежные центры здоровья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597"/>
          <w:p>
            <w:pPr>
              <w:spacing w:after="20"/>
              <w:ind w:left="20"/>
              <w:jc w:val="both"/>
            </w:pPr>
            <w:r>
              <w:rPr>
                <w:rFonts w:ascii="Times New Roman"/>
                <w:b w:val="false"/>
                <w:i w:val="false"/>
                <w:color w:val="000000"/>
                <w:sz w:val="20"/>
              </w:rPr>
              <w:t>
Увеличение охвата прегравидарной подготовкой женщин, планирующих беременность, а также улучшение выявляемости заболеваний для оздоровления до планируемой беременности, в том числе через:</w:t>
            </w:r>
          </w:p>
          <w:bookmarkEnd w:id="597"/>
          <w:p>
            <w:pPr>
              <w:spacing w:after="20"/>
              <w:ind w:left="20"/>
              <w:jc w:val="both"/>
            </w:pPr>
            <w:r>
              <w:rPr>
                <w:rFonts w:ascii="Times New Roman"/>
                <w:b w:val="false"/>
                <w:i w:val="false"/>
                <w:color w:val="000000"/>
                <w:sz w:val="20"/>
              </w:rPr>
              <w:t>
</w:t>
            </w:r>
            <w:r>
              <w:rPr>
                <w:rFonts w:ascii="Times New Roman"/>
                <w:b w:val="false"/>
                <w:i w:val="false"/>
                <w:color w:val="000000"/>
                <w:sz w:val="20"/>
              </w:rPr>
              <w:t>профилактические обследования юношей и девушек, планирующих вступление в брак;</w:t>
            </w:r>
          </w:p>
          <w:p>
            <w:pPr>
              <w:spacing w:after="20"/>
              <w:ind w:left="20"/>
              <w:jc w:val="both"/>
            </w:pPr>
            <w:r>
              <w:rPr>
                <w:rFonts w:ascii="Times New Roman"/>
                <w:b w:val="false"/>
                <w:i w:val="false"/>
                <w:color w:val="000000"/>
                <w:sz w:val="20"/>
              </w:rPr>
              <w:t>
</w:t>
            </w:r>
            <w:r>
              <w:rPr>
                <w:rFonts w:ascii="Times New Roman"/>
                <w:b w:val="false"/>
                <w:i w:val="false"/>
                <w:color w:val="000000"/>
                <w:sz w:val="20"/>
              </w:rPr>
              <w:t>выявление и лечение инфекционных и хронических заболеваний до зачатия;</w:t>
            </w:r>
          </w:p>
          <w:p>
            <w:pPr>
              <w:spacing w:after="20"/>
              <w:ind w:left="20"/>
              <w:jc w:val="both"/>
            </w:pPr>
            <w:r>
              <w:rPr>
                <w:rFonts w:ascii="Times New Roman"/>
                <w:b w:val="false"/>
                <w:i w:val="false"/>
                <w:color w:val="000000"/>
                <w:sz w:val="20"/>
              </w:rPr>
              <w:t>
</w:t>
            </w:r>
            <w:r>
              <w:rPr>
                <w:rFonts w:ascii="Times New Roman"/>
                <w:b w:val="false"/>
                <w:i w:val="false"/>
                <w:color w:val="000000"/>
                <w:sz w:val="20"/>
              </w:rPr>
              <w:t>выявление рисков и предупреждение рождения детей с наследственными хромосомными и генетическими аутосомно-рецессивными болезнями;</w:t>
            </w:r>
          </w:p>
          <w:p>
            <w:pPr>
              <w:spacing w:after="20"/>
              <w:ind w:left="20"/>
              <w:jc w:val="both"/>
            </w:pPr>
            <w:r>
              <w:rPr>
                <w:rFonts w:ascii="Times New Roman"/>
                <w:b w:val="false"/>
                <w:i w:val="false"/>
                <w:color w:val="000000"/>
                <w:sz w:val="20"/>
              </w:rPr>
              <w:t>
</w:t>
            </w:r>
            <w:r>
              <w:rPr>
                <w:rFonts w:ascii="Times New Roman"/>
                <w:b w:val="false"/>
                <w:i w:val="false"/>
                <w:color w:val="000000"/>
                <w:sz w:val="20"/>
              </w:rPr>
              <w:t>внедрение новых, клинико-экономически обоснованных подходов к диагностике и лечению репродуктивных нарушений;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 охвата беременных учетом и наблюдением до 10 недель;</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мультидисциплинарный подход к ведению женщин с факторами риска, включая ЭГЗ;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расширение доступности безопасного прерывания беременности; </w:t>
            </w:r>
          </w:p>
          <w:p>
            <w:pPr>
              <w:spacing w:after="20"/>
              <w:ind w:left="20"/>
              <w:jc w:val="both"/>
            </w:pPr>
            <w:r>
              <w:rPr>
                <w:rFonts w:ascii="Times New Roman"/>
                <w:b w:val="false"/>
                <w:i w:val="false"/>
                <w:color w:val="000000"/>
                <w:sz w:val="20"/>
              </w:rPr>
              <w:t>
мониторинг охвата антианемическими препаратами посредством цифровых инструментов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проекта "Паспорт здоровья беременной женщины" по переводу обменной карты беременных женщин в электронный формат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МИИЦР,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применения современных, безопасных и экономически эффективных технологий перинатального скрининга для предотвращения рождения детей с врожденными пороками развития и хромосомными аномалиями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предусмотренных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Проактивное определение маршрута беременной с учетом индивидуальных рисков и доступности медицинской инфраструктуры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 2026 – 2027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Проработка проекта "Здоровая мама" по открытию (за счет местного бюджета) на территории областных перинатальных центров мест временного пребывания для заблаговременного нахождения беременных группы высокого риска из отдаленной сельской местности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механизмов обеспечения доступности услуг социальных работников в родовспомогательных организациях для своевременной оценки социальных рисков, профилактики отказов от новорожденных с разъяснением мер государственной поддержки и доступных социальных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598"/>
          <w:p>
            <w:pPr>
              <w:spacing w:after="20"/>
              <w:ind w:left="20"/>
              <w:jc w:val="both"/>
            </w:pPr>
            <w:r>
              <w:rPr>
                <w:rFonts w:ascii="Times New Roman"/>
                <w:b w:val="false"/>
                <w:i w:val="false"/>
                <w:color w:val="000000"/>
                <w:sz w:val="20"/>
              </w:rPr>
              <w:t>
информация в Правительство Республики Казахстан</w:t>
            </w:r>
          </w:p>
          <w:bookmarkEnd w:id="598"/>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2028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барьеров в доступе к медицинской помощи беременным из географически отдаленных районов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2028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599"/>
          <w:p>
            <w:pPr>
              <w:spacing w:after="20"/>
              <w:ind w:left="20"/>
              <w:jc w:val="both"/>
            </w:pPr>
            <w:r>
              <w:rPr>
                <w:rFonts w:ascii="Times New Roman"/>
                <w:b w:val="false"/>
                <w:i w:val="false"/>
                <w:color w:val="000000"/>
                <w:sz w:val="20"/>
              </w:rPr>
              <w:t>
Повышение безопасности родов и снижение материнских рисков за счет реализации мер по снижению акушерских рисков, в том числе за счет:</w:t>
            </w:r>
          </w:p>
          <w:bookmarkEnd w:id="599"/>
          <w:p>
            <w:pPr>
              <w:spacing w:after="20"/>
              <w:ind w:left="20"/>
              <w:jc w:val="both"/>
            </w:pPr>
            <w:r>
              <w:rPr>
                <w:rFonts w:ascii="Times New Roman"/>
                <w:b w:val="false"/>
                <w:i w:val="false"/>
                <w:color w:val="000000"/>
                <w:sz w:val="20"/>
              </w:rPr>
              <w:t>
</w:t>
            </w:r>
            <w:r>
              <w:rPr>
                <w:rFonts w:ascii="Times New Roman"/>
                <w:b w:val="false"/>
                <w:i w:val="false"/>
                <w:color w:val="000000"/>
                <w:sz w:val="20"/>
              </w:rPr>
              <w:t>расширения новых клинических практик, технологий и методов лечения, в том числе совместно с интервенционной радиологией;</w:t>
            </w:r>
          </w:p>
          <w:p>
            <w:pPr>
              <w:spacing w:after="20"/>
              <w:ind w:left="20"/>
              <w:jc w:val="both"/>
            </w:pPr>
            <w:r>
              <w:rPr>
                <w:rFonts w:ascii="Times New Roman"/>
                <w:b w:val="false"/>
                <w:i w:val="false"/>
                <w:color w:val="000000"/>
                <w:sz w:val="20"/>
              </w:rPr>
              <w:t>
</w:t>
            </w:r>
            <w:r>
              <w:rPr>
                <w:rFonts w:ascii="Times New Roman"/>
                <w:b w:val="false"/>
                <w:i w:val="false"/>
                <w:color w:val="000000"/>
                <w:sz w:val="20"/>
              </w:rPr>
              <w:t>повышения готовности персонала и медицинских организаций к критическим ситуациям;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обеспечения акушерского сопровождения по принципу "две беременные – одна акушерка", партнерских родов, реабилитации после тяжелых родов;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проведения конфиденциального аудита материнской смертности;</w:t>
            </w:r>
          </w:p>
          <w:p>
            <w:pPr>
              <w:spacing w:after="20"/>
              <w:ind w:left="20"/>
              <w:jc w:val="both"/>
            </w:pPr>
            <w:r>
              <w:rPr>
                <w:rFonts w:ascii="Times New Roman"/>
                <w:b w:val="false"/>
                <w:i w:val="false"/>
                <w:color w:val="000000"/>
                <w:sz w:val="20"/>
              </w:rPr>
              <w:t xml:space="preserve">
внедрения новых технологий и методов лечения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2027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предусмотренных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сети региональных центров передового опыта родовспоможения на базе действующих организаций, включающего практико-ориентированное обучение и тренинговые площадки для специалистов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проекта "Обмен опытом между перинатальными референс- центрами": перекрестные визиты ведущих специалистов в соседние регионы для оказания организационно-методологической помощи и обмена опытом в целях перенятие лучших практик и методов развития службы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600"/>
          <w:p>
            <w:pPr>
              <w:spacing w:after="20"/>
              <w:ind w:left="20"/>
              <w:jc w:val="both"/>
            </w:pPr>
            <w:r>
              <w:rPr>
                <w:rFonts w:ascii="Times New Roman"/>
                <w:b w:val="false"/>
                <w:i w:val="false"/>
                <w:color w:val="000000"/>
                <w:sz w:val="20"/>
              </w:rPr>
              <w:t>
Реализация программы "Стоп инфекция в организациях родовспоможения", в том числе:</w:t>
            </w:r>
          </w:p>
          <w:bookmarkEnd w:id="600"/>
          <w:p>
            <w:pPr>
              <w:spacing w:after="20"/>
              <w:ind w:left="20"/>
              <w:jc w:val="both"/>
            </w:pPr>
            <w:r>
              <w:rPr>
                <w:rFonts w:ascii="Times New Roman"/>
                <w:b w:val="false"/>
                <w:i w:val="false"/>
                <w:color w:val="000000"/>
                <w:sz w:val="20"/>
              </w:rPr>
              <w:t>
</w:t>
            </w:r>
            <w:r>
              <w:rPr>
                <w:rFonts w:ascii="Times New Roman"/>
                <w:b w:val="false"/>
                <w:i w:val="false"/>
                <w:color w:val="000000"/>
                <w:sz w:val="20"/>
              </w:rPr>
              <w:t>определение координаторов из госпитальных эпидемиологов службы родовспоможения;</w:t>
            </w:r>
          </w:p>
          <w:p>
            <w:pPr>
              <w:spacing w:after="20"/>
              <w:ind w:left="20"/>
              <w:jc w:val="both"/>
            </w:pPr>
            <w:r>
              <w:rPr>
                <w:rFonts w:ascii="Times New Roman"/>
                <w:b w:val="false"/>
                <w:i w:val="false"/>
                <w:color w:val="000000"/>
                <w:sz w:val="20"/>
              </w:rPr>
              <w:t>
обучение и мониторинговые визиты в областные перинатальные центры для оценки инфекционного контроля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открытия ситуационных центров по мониторингу службы родовспоможения в организациях родовспоможения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2029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комплекса мер по укреплению мужского здоровья (скрининги, грамотность в отношении здоровья, психологическая помощь, в том числе лицам, содержащимся в УУИС)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601"/>
          <w:p>
            <w:pPr>
              <w:spacing w:after="20"/>
              <w:ind w:left="20"/>
              <w:jc w:val="both"/>
            </w:pPr>
            <w:r>
              <w:rPr>
                <w:rFonts w:ascii="Times New Roman"/>
                <w:b w:val="false"/>
                <w:i w:val="false"/>
                <w:color w:val="000000"/>
                <w:sz w:val="20"/>
              </w:rPr>
              <w:t>
Формирование у подростков устойчивых форм здорового поведения и обеспечение доступности психологической и социальной помощи путем:</w:t>
            </w:r>
          </w:p>
          <w:bookmarkEnd w:id="601"/>
          <w:p>
            <w:pPr>
              <w:spacing w:after="20"/>
              <w:ind w:left="20"/>
              <w:jc w:val="both"/>
            </w:pPr>
            <w:r>
              <w:rPr>
                <w:rFonts w:ascii="Times New Roman"/>
                <w:b w:val="false"/>
                <w:i w:val="false"/>
                <w:color w:val="000000"/>
                <w:sz w:val="20"/>
              </w:rPr>
              <w:t>
</w:t>
            </w:r>
            <w:r>
              <w:rPr>
                <w:rFonts w:ascii="Times New Roman"/>
                <w:b w:val="false"/>
                <w:i w:val="false"/>
                <w:color w:val="000000"/>
                <w:sz w:val="20"/>
              </w:rPr>
              <w:t>укрепления компетенции специалистов, работающих с подростками, в вопросах ментального и репродуктивного здоровья, коммуникации, профилактики рисков и формирования доверия;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разработки унифицированных, научно обоснованных подходов к укреплению здоровья подростков, включая физическую активность и профилактику поведенческих рисков;</w:t>
            </w:r>
          </w:p>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обеспечения каждому подростку равного доступа к дружественным, безопасным и конфиденциальным услугам, особенно для уязвимых групп;</w:t>
            </w:r>
          </w:p>
          <w:p>
            <w:pPr>
              <w:spacing w:after="20"/>
              <w:ind w:left="20"/>
              <w:jc w:val="both"/>
            </w:pPr>
            <w:r>
              <w:rPr>
                <w:rFonts w:ascii="Times New Roman"/>
                <w:b w:val="false"/>
                <w:i w:val="false"/>
                <w:color w:val="000000"/>
                <w:sz w:val="20"/>
              </w:rPr>
              <w:t>
</w:t>
            </w:r>
            <w:r>
              <w:rPr>
                <w:rFonts w:ascii="Times New Roman"/>
                <w:b w:val="false"/>
                <w:i w:val="false"/>
                <w:color w:val="000000"/>
                <w:sz w:val="20"/>
              </w:rPr>
              <w:t>реализации адаптивной модели помощи, отвечающей реальным запросам подростков, включая эмоциональные и поведенческие трудности, координацию и обеспечение достоверной информацией;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усиления медиа присутствия МЦЗ как надежного источника информации и поддержки, ориентированного на подростков;</w:t>
            </w:r>
          </w:p>
          <w:p>
            <w:pPr>
              <w:spacing w:after="20"/>
              <w:ind w:left="20"/>
              <w:jc w:val="both"/>
            </w:pPr>
            <w:r>
              <w:rPr>
                <w:rFonts w:ascii="Times New Roman"/>
                <w:b w:val="false"/>
                <w:i w:val="false"/>
                <w:color w:val="000000"/>
                <w:sz w:val="20"/>
              </w:rPr>
              <w:t>
</w:t>
            </w:r>
            <w:r>
              <w:rPr>
                <w:rFonts w:ascii="Times New Roman"/>
                <w:b w:val="false"/>
                <w:i w:val="false"/>
                <w:color w:val="000000"/>
                <w:sz w:val="20"/>
              </w:rPr>
              <w:t>внедрения системы оценки качества услуг на основе мнения подростков, прозрачности, цифровых решений и соблюдения принципов уважения и конфиденциальности;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укрепления репродуктивного здоровья с подросткового возраста через доверительную, научно обоснованную и доступную медицинскую помощь и просвещение;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доступности консультации и помощи в состояниях тревожности, депрессии и при стрессовых расстройствах;</w:t>
            </w:r>
          </w:p>
          <w:p>
            <w:pPr>
              <w:spacing w:after="20"/>
              <w:ind w:left="20"/>
              <w:jc w:val="both"/>
            </w:pPr>
            <w:r>
              <w:rPr>
                <w:rFonts w:ascii="Times New Roman"/>
                <w:b w:val="false"/>
                <w:i w:val="false"/>
                <w:color w:val="000000"/>
                <w:sz w:val="20"/>
              </w:rPr>
              <w:t>
развития цифровых форматов помощи, включая дистанционное консультирование и онлайн-инструменты психологической поддержки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602"/>
          <w:p>
            <w:pPr>
              <w:spacing w:after="20"/>
              <w:ind w:left="20"/>
              <w:jc w:val="both"/>
            </w:pPr>
            <w:r>
              <w:rPr>
                <w:rFonts w:ascii="Times New Roman"/>
                <w:b w:val="false"/>
                <w:i w:val="false"/>
                <w:color w:val="000000"/>
                <w:sz w:val="20"/>
              </w:rPr>
              <w:t>
МИО, МЗ</w:t>
            </w:r>
          </w:p>
          <w:bookmarkEnd w:id="602"/>
          <w:p>
            <w:pPr>
              <w:spacing w:after="20"/>
              <w:ind w:left="20"/>
              <w:jc w:val="both"/>
            </w:pPr>
            <w:r>
              <w:rPr>
                <w:rFonts w:ascii="Times New Roman"/>
                <w:b w:val="false"/>
                <w:i w:val="false"/>
                <w:color w:val="000000"/>
                <w:sz w:val="20"/>
              </w:rPr>
              <w:t>
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предусмотренных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Направление 5. Устойчивость и безопасность системы здравоохранения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603"/>
          <w:p>
            <w:pPr>
              <w:spacing w:after="20"/>
              <w:ind w:left="20"/>
              <w:jc w:val="both"/>
            </w:pPr>
            <w:r>
              <w:rPr>
                <w:rFonts w:ascii="Times New Roman"/>
                <w:b w:val="false"/>
                <w:i w:val="false"/>
                <w:color w:val="000000"/>
                <w:sz w:val="20"/>
              </w:rPr>
              <w:t>
Целевой индикатор 46. Показатель достоверности лабораторных исследований СЭС, % (2022 год – 92; 2023 год – 95; 2024 год – 95; 2025 год – 95)</w:t>
            </w:r>
          </w:p>
          <w:bookmarkEnd w:id="603"/>
          <w:p>
            <w:pPr>
              <w:spacing w:after="20"/>
              <w:ind w:left="20"/>
              <w:jc w:val="both"/>
            </w:pPr>
            <w:r>
              <w:rPr>
                <w:rFonts w:ascii="Times New Roman"/>
                <w:b w:val="false"/>
                <w:i w:val="false"/>
                <w:color w:val="000000"/>
                <w:sz w:val="20"/>
              </w:rPr>
              <w:t>
</w:t>
            </w:r>
            <w:r>
              <w:rPr>
                <w:rFonts w:ascii="Times New Roman"/>
                <w:b w:val="false"/>
                <w:i w:val="false"/>
                <w:color w:val="000000"/>
                <w:sz w:val="20"/>
              </w:rPr>
              <w:t>Целевой индикатор 47. Средний интегральный балл готовности к соблюдению международных медико‑санитарных правил (SPAR) (2026 год – 77; 2027 год – 82; 2028 год – 86; 2029 год – 90)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Целевой индикатор 48. Доля целевой группы населения в возрасте до 16 лет, охваченного иммунизацией, согласно Национальному календарю профилактических прививок, не менее 95% (2026 год – 95; 2027 год – 95; 2028 год – 95; 2029 год – 95) </w:t>
            </w:r>
          </w:p>
          <w:p>
            <w:pPr>
              <w:spacing w:after="20"/>
              <w:ind w:left="20"/>
              <w:jc w:val="both"/>
            </w:pPr>
            <w:r>
              <w:rPr>
                <w:rFonts w:ascii="Times New Roman"/>
                <w:b w:val="false"/>
                <w:i w:val="false"/>
                <w:color w:val="000000"/>
                <w:sz w:val="20"/>
              </w:rPr>
              <w:t>
</w:t>
            </w:r>
            <w:r>
              <w:rPr>
                <w:rFonts w:ascii="Times New Roman"/>
                <w:b w:val="false"/>
                <w:i w:val="false"/>
                <w:color w:val="000000"/>
                <w:sz w:val="20"/>
              </w:rPr>
              <w:t>Целевой индикатор 49. Доля аккредитованных лабораторий на соответствие международным стандартам, % (2026 год – 68; 2027 год – 70; 2028 год – 72; 2029 год – 73)</w:t>
            </w:r>
          </w:p>
          <w:p>
            <w:pPr>
              <w:spacing w:after="20"/>
              <w:ind w:left="20"/>
              <w:jc w:val="both"/>
            </w:pPr>
            <w:r>
              <w:rPr>
                <w:rFonts w:ascii="Times New Roman"/>
                <w:b w:val="false"/>
                <w:i w:val="false"/>
                <w:color w:val="000000"/>
                <w:sz w:val="20"/>
              </w:rPr>
              <w:t>
Целевой индикатор 50. Степень готовности медицинских организаций, органов и организаций санитарно‑эпидемиологической службы к ликвидации ситуаций природно‑техногенного характера, % (2026 год – 83,55; 2027 год – 87,45; 2028 год – 91,25; 2029 год – 95,5)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604"/>
          <w:p>
            <w:pPr>
              <w:spacing w:after="20"/>
              <w:ind w:left="20"/>
              <w:jc w:val="both"/>
            </w:pPr>
            <w:r>
              <w:rPr>
                <w:rFonts w:ascii="Times New Roman"/>
                <w:b w:val="false"/>
                <w:i w:val="false"/>
                <w:color w:val="000000"/>
                <w:sz w:val="20"/>
              </w:rPr>
              <w:t>
Совершенствование механизмов риск-ориентированного государственного санитарно-эпидемиологического контроля через:</w:t>
            </w:r>
          </w:p>
          <w:bookmarkEnd w:id="604"/>
          <w:p>
            <w:pPr>
              <w:spacing w:after="20"/>
              <w:ind w:left="20"/>
              <w:jc w:val="both"/>
            </w:pPr>
            <w:r>
              <w:rPr>
                <w:rFonts w:ascii="Times New Roman"/>
                <w:b w:val="false"/>
                <w:i w:val="false"/>
                <w:color w:val="000000"/>
                <w:sz w:val="20"/>
              </w:rPr>
              <w:t>
</w:t>
            </w:r>
            <w:r>
              <w:rPr>
                <w:rFonts w:ascii="Times New Roman"/>
                <w:b w:val="false"/>
                <w:i w:val="false"/>
                <w:color w:val="000000"/>
                <w:sz w:val="20"/>
              </w:rPr>
              <w:t>развитие механизмов межсекторального обмена информацией, мониторинга, оценки рисков и совместного реагирования;</w:t>
            </w:r>
          </w:p>
          <w:p>
            <w:pPr>
              <w:spacing w:after="20"/>
              <w:ind w:left="20"/>
              <w:jc w:val="both"/>
            </w:pPr>
            <w:r>
              <w:rPr>
                <w:rFonts w:ascii="Times New Roman"/>
                <w:b w:val="false"/>
                <w:i w:val="false"/>
                <w:color w:val="000000"/>
                <w:sz w:val="20"/>
              </w:rPr>
              <w:t>
регулярную оценку результатов и совершенствование подходов и норм на основе реализовавшихся рисков и последствий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Правительство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2027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НЦОЗ (по согласованию),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радиологического надзора посредством проведения радонового картирования в населенных местах, особенно в северных регионах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Правительство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 и внедрение информационной системы "Эпидемиолог" для обеспечения эффективности эпидемиологического надзора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 модификации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МИИЦР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предусмотренных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Внедрение информационной системы в области обеспечения биологической безопасности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2029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МИИЦР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предусмотренных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605"/>
          <w:p>
            <w:pPr>
              <w:spacing w:after="20"/>
              <w:ind w:left="20"/>
              <w:jc w:val="both"/>
            </w:pPr>
            <w:r>
              <w:rPr>
                <w:rFonts w:ascii="Times New Roman"/>
                <w:b w:val="false"/>
                <w:i w:val="false"/>
                <w:color w:val="000000"/>
                <w:sz w:val="20"/>
              </w:rPr>
              <w:t>
Совершенствование национального календаря профилактических прививок Республики Казахстан путем:</w:t>
            </w:r>
          </w:p>
          <w:bookmarkEnd w:id="605"/>
          <w:p>
            <w:pPr>
              <w:spacing w:after="20"/>
              <w:ind w:left="20"/>
              <w:jc w:val="both"/>
            </w:pPr>
            <w:r>
              <w:rPr>
                <w:rFonts w:ascii="Times New Roman"/>
                <w:b w:val="false"/>
                <w:i w:val="false"/>
                <w:color w:val="000000"/>
                <w:sz w:val="20"/>
              </w:rPr>
              <w:t>
</w:t>
            </w:r>
            <w:r>
              <w:rPr>
                <w:rFonts w:ascii="Times New Roman"/>
                <w:b w:val="false"/>
                <w:i w:val="false"/>
                <w:color w:val="000000"/>
                <w:sz w:val="20"/>
              </w:rPr>
              <w:t>внедрения вакцинации против вируса папилломы человека мальчиков в возрасте 11 лет;</w:t>
            </w:r>
          </w:p>
          <w:p>
            <w:pPr>
              <w:spacing w:after="20"/>
              <w:ind w:left="20"/>
              <w:jc w:val="both"/>
            </w:pPr>
            <w:r>
              <w:rPr>
                <w:rFonts w:ascii="Times New Roman"/>
                <w:b w:val="false"/>
                <w:i w:val="false"/>
                <w:color w:val="000000"/>
                <w:sz w:val="20"/>
              </w:rPr>
              <w:t>
расширения целевой группы населения, подлежащего вакцинации против коклюша, с включением подростков в возрасте 16 лет и беременных женщин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постановления Правительства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31401152 тысяч тенге, в том числе: 2028 год – 15700576 тысяч тенге, 2029 год – 15700576 тысяч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геномных исследований за возбудителями инфекционных заболеваний (корь, грипп, SARS-CoV-2, энтеровирусная инфекция, Конго-крымская геморрагическая лихорадка, метапневмовирусы, коклюш, сальмонеллезные инфекции, бруцеллез, АМР и др.) на базе референс-лаборатории НЦОЗ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НЦОЗ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2027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НЦОЗ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эпидемиологических исследований за сточными водами (энтеровирус, SARS-CoV-2, АМР и т.д.)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2027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медицинских организациях в разрезе регионов, внедривших школы передовых практик по профилактике инфекций и инфекционного контроля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исследования на наличие безопасных условий (водоснабжение, санитария и гигиена, утилизация медицинских отходов и уборки) в медицинских организациях для обеспечения практики ПИИК в части управления услугами WASH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проведении исследовании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Внедрение контроля использования противомикробных препаратов в медицинских организациях согласно стратегии контроля антимикробной терапии (СКАТ)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2027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контроля антимикробной терапии, мониторинга по потреблению противомикробных препаратов на уровне ПМСП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Правительство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2027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606"/>
          <w:p>
            <w:pPr>
              <w:spacing w:after="20"/>
              <w:ind w:left="20"/>
              <w:jc w:val="both"/>
            </w:pPr>
            <w:r>
              <w:rPr>
                <w:rFonts w:ascii="Times New Roman"/>
                <w:b w:val="false"/>
                <w:i w:val="false"/>
                <w:color w:val="000000"/>
                <w:sz w:val="20"/>
              </w:rPr>
              <w:t>
МЗ, НЦОЗ (по согласованию), МИО</w:t>
            </w:r>
          </w:p>
          <w:bookmarkEnd w:id="606"/>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количества лабораторий в сфере здравоохранения, вовлеченных в эпидемиологический надзор за устойчивостью к антимикробным препаратам, от общего количества лабораторий, проводящих бактериологические исследования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НЦОЗ (по согласованию), МЗ,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607"/>
          <w:p>
            <w:pPr>
              <w:spacing w:after="20"/>
              <w:ind w:left="20"/>
              <w:jc w:val="both"/>
            </w:pPr>
            <w:r>
              <w:rPr>
                <w:rFonts w:ascii="Times New Roman"/>
                <w:b w:val="false"/>
                <w:i w:val="false"/>
                <w:color w:val="000000"/>
                <w:sz w:val="20"/>
              </w:rPr>
              <w:t>
Подготовка и внесение предложений по проведению прикладных научных исследований по следующим направлениям:</w:t>
            </w:r>
          </w:p>
          <w:bookmarkEnd w:id="607"/>
          <w:p>
            <w:pPr>
              <w:spacing w:after="20"/>
              <w:ind w:left="20"/>
              <w:jc w:val="both"/>
            </w:pPr>
            <w:r>
              <w:rPr>
                <w:rFonts w:ascii="Times New Roman"/>
                <w:b w:val="false"/>
                <w:i w:val="false"/>
                <w:color w:val="000000"/>
                <w:sz w:val="20"/>
              </w:rPr>
              <w:t>
</w:t>
            </w:r>
            <w:r>
              <w:rPr>
                <w:rFonts w:ascii="Times New Roman"/>
                <w:b w:val="false"/>
                <w:i w:val="false"/>
                <w:color w:val="000000"/>
                <w:sz w:val="20"/>
              </w:rPr>
              <w:t>гигиена организованных коллективов (школы, детсады, учреждения для пожилых);</w:t>
            </w:r>
          </w:p>
          <w:p>
            <w:pPr>
              <w:spacing w:after="20"/>
              <w:ind w:left="20"/>
              <w:jc w:val="both"/>
            </w:pPr>
            <w:r>
              <w:rPr>
                <w:rFonts w:ascii="Times New Roman"/>
                <w:b w:val="false"/>
                <w:i w:val="false"/>
                <w:color w:val="000000"/>
                <w:sz w:val="20"/>
              </w:rPr>
              <w:t>
</w:t>
            </w:r>
            <w:r>
              <w:rPr>
                <w:rFonts w:ascii="Times New Roman"/>
                <w:b w:val="false"/>
                <w:i w:val="false"/>
                <w:color w:val="000000"/>
                <w:sz w:val="20"/>
              </w:rPr>
              <w:t>оценка состояния окружающей среды и качества питьевой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влияние факторов окружающей среды на здоровье детей и подростков;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радиационная безопасность и профилактика воздействия ионизирующего излучения;</w:t>
            </w:r>
          </w:p>
          <w:p>
            <w:pPr>
              <w:spacing w:after="20"/>
              <w:ind w:left="20"/>
              <w:jc w:val="both"/>
            </w:pPr>
            <w:r>
              <w:rPr>
                <w:rFonts w:ascii="Times New Roman"/>
                <w:b w:val="false"/>
                <w:i w:val="false"/>
                <w:color w:val="000000"/>
                <w:sz w:val="20"/>
              </w:rPr>
              <w:t xml:space="preserve">
влияние пестицидов, содержащихся в пищевой продукции, на развитие аутизма у детей в соответствии с рекомендациями Продовольственной и сельскохозяйственной организации ООН (Food and Agriculture Organization)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МНВО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МНВО,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предложений по проведению исследования по влиянию электромагнитных излучений в части влияния базовых станций сетей связи 5 поколения (5G) на здоровье населения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МНВО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2028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МНВО, МИИЦР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системы оценки рисков ("Санитарно-эпидемиологический надзор") с интеграцией с информационными системами государственных органов (ИС "е-Лицензирование", ИС ЕРСОП и ЕРАП, ИС НОБД), автоматизация сбора, обработки и визуализации эпидемиологических и лабораторных данных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2027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МИИЦР, МНЭ, 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253584 тысяч тенге, в том числе: 2027 год – 108086 тысяч тенге, 2028 год – 72749 тысяч тенге, 2029 год – 72749 тысяч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608"/>
          <w:p>
            <w:pPr>
              <w:spacing w:after="20"/>
              <w:ind w:left="20"/>
              <w:jc w:val="both"/>
            </w:pPr>
            <w:r>
              <w:rPr>
                <w:rFonts w:ascii="Times New Roman"/>
                <w:b w:val="false"/>
                <w:i w:val="false"/>
                <w:color w:val="000000"/>
                <w:sz w:val="20"/>
              </w:rPr>
              <w:t>
Модернизация объектов санитарно-эпидемиологической службы, в том числе:</w:t>
            </w:r>
          </w:p>
          <w:bookmarkEnd w:id="608"/>
          <w:p>
            <w:pPr>
              <w:spacing w:after="20"/>
              <w:ind w:left="20"/>
              <w:jc w:val="both"/>
            </w:pPr>
            <w:r>
              <w:rPr>
                <w:rFonts w:ascii="Times New Roman"/>
                <w:b w:val="false"/>
                <w:i w:val="false"/>
                <w:color w:val="000000"/>
                <w:sz w:val="20"/>
              </w:rPr>
              <w:t>
</w:t>
            </w:r>
            <w:r>
              <w:rPr>
                <w:rFonts w:ascii="Times New Roman"/>
                <w:b w:val="false"/>
                <w:i w:val="false"/>
                <w:color w:val="000000"/>
                <w:sz w:val="20"/>
              </w:rPr>
              <w:t>разработка ПСД на строительство 7 лаборатории противочумных 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строительство 7 лаборатории противочумных 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разработка ПСД на капитальный ремонт Талдыкорганской ПЧС;</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капитальный ремонт Уральской ПЧС; </w:t>
            </w:r>
          </w:p>
          <w:p>
            <w:pPr>
              <w:spacing w:after="20"/>
              <w:ind w:left="20"/>
              <w:jc w:val="both"/>
            </w:pPr>
            <w:r>
              <w:rPr>
                <w:rFonts w:ascii="Times New Roman"/>
                <w:b w:val="false"/>
                <w:i w:val="false"/>
                <w:color w:val="000000"/>
                <w:sz w:val="20"/>
              </w:rPr>
              <w:t>
</w:t>
            </w:r>
            <w:r>
              <w:rPr>
                <w:rFonts w:ascii="Times New Roman"/>
                <w:b w:val="false"/>
                <w:i w:val="false"/>
                <w:color w:val="000000"/>
                <w:sz w:val="20"/>
              </w:rPr>
              <w:t>закуп лабораторного оборудования;</w:t>
            </w:r>
          </w:p>
          <w:p>
            <w:pPr>
              <w:spacing w:after="20"/>
              <w:ind w:left="20"/>
              <w:jc w:val="both"/>
            </w:pPr>
            <w:r>
              <w:rPr>
                <w:rFonts w:ascii="Times New Roman"/>
                <w:b w:val="false"/>
                <w:i w:val="false"/>
                <w:color w:val="000000"/>
                <w:sz w:val="20"/>
              </w:rPr>
              <w:t>
закуп автотранспорта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2027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13932617 тысяч тенге, в том числе: 2027 год – 1540819 тысяч тенге, 2028 год – 6193056 тысяч тенге, 2029 год – 6198742 тысяч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количества показателей, предусмотренных в области аккредитации лабораторий санитарно-эпидемиологической экспертизы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609"/>
          <w:p>
            <w:pPr>
              <w:spacing w:after="20"/>
              <w:ind w:left="20"/>
              <w:jc w:val="both"/>
            </w:pPr>
            <w:r>
              <w:rPr>
                <w:rFonts w:ascii="Times New Roman"/>
                <w:b w:val="false"/>
                <w:i w:val="false"/>
                <w:color w:val="000000"/>
                <w:sz w:val="20"/>
              </w:rPr>
              <w:t>
аттестат аккредитации</w:t>
            </w:r>
          </w:p>
          <w:bookmarkEnd w:id="609"/>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количества показателей лабораторных исследований, регламентированных техническими регламентами ЕАЭС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внедрения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вопроса введения должности главного санитарного врача Республики Казахстан в состав Совета безопасности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готовности и реагирования на чрезвычайные ситуации в области общественного здравоохранения на 2026-2029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совместный приказ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МФ, МСХ, МТ, МЧС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региональных планов по обеспечению готовности и реагирования на чрезвычайные ситуации в области общественного здравоохранения на 2026-2029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утвержденные планы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базовой оценки территориальных департаментов КСЭК и медицинских организаций по готовности реагирования на чрезвычайные ситуации с участием экспертов ВОЗ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610"/>
          <w:p>
            <w:pPr>
              <w:spacing w:after="20"/>
              <w:ind w:left="20"/>
              <w:jc w:val="both"/>
            </w:pPr>
            <w:r>
              <w:rPr>
                <w:rFonts w:ascii="Times New Roman"/>
                <w:b w:val="false"/>
                <w:i w:val="false"/>
                <w:color w:val="000000"/>
                <w:sz w:val="20"/>
              </w:rPr>
              <w:t>
отчет об оценке</w:t>
            </w:r>
          </w:p>
          <w:bookmarkEnd w:id="610"/>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предусмотренных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Усиление санитарно-карантинного контроля на Государственной границе через проведение оценки пунктов въезда, пересмотр плана по выявлению и реагированию на угрозы, случаи, вспышки инфекционных заболеваний, особо опасных инфекций и других чрезвычайных ситуаций в области общественного здравоохранения, обновление инфраструктуры и разработка стандартных операционных процедур (СОП)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611"/>
          <w:p>
            <w:pPr>
              <w:spacing w:after="20"/>
              <w:ind w:left="20"/>
              <w:jc w:val="both"/>
            </w:pPr>
            <w:r>
              <w:rPr>
                <w:rFonts w:ascii="Times New Roman"/>
                <w:b w:val="false"/>
                <w:i w:val="false"/>
                <w:color w:val="000000"/>
                <w:sz w:val="20"/>
              </w:rPr>
              <w:t>
приказ МЗ</w:t>
            </w:r>
          </w:p>
          <w:bookmarkEnd w:id="611"/>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 МСХ, МТ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предусмотренных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6. Развитие персонализированной и высокотехнологичной медицины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612"/>
          <w:p>
            <w:pPr>
              <w:spacing w:after="20"/>
              <w:ind w:left="20"/>
              <w:jc w:val="both"/>
            </w:pPr>
            <w:r>
              <w:rPr>
                <w:rFonts w:ascii="Times New Roman"/>
                <w:b w:val="false"/>
                <w:i w:val="false"/>
                <w:color w:val="000000"/>
                <w:sz w:val="20"/>
              </w:rPr>
              <w:t>
Целевой индикатор 51. Доля медицинских организаций, использующих инструменты с искусственным интеллектом в повседневной практике, % (2026 год – 30; 2027 год – 35; 2028 год – 40; 2029 год – 45)</w:t>
            </w:r>
          </w:p>
          <w:bookmarkEnd w:id="612"/>
          <w:p>
            <w:pPr>
              <w:spacing w:after="20"/>
              <w:ind w:left="20"/>
              <w:jc w:val="both"/>
            </w:pPr>
            <w:r>
              <w:rPr>
                <w:rFonts w:ascii="Times New Roman"/>
                <w:b w:val="false"/>
                <w:i w:val="false"/>
                <w:color w:val="000000"/>
                <w:sz w:val="20"/>
              </w:rPr>
              <w:t>
</w:t>
            </w:r>
            <w:r>
              <w:rPr>
                <w:rFonts w:ascii="Times New Roman"/>
                <w:b w:val="false"/>
                <w:i w:val="false"/>
                <w:color w:val="000000"/>
                <w:sz w:val="20"/>
              </w:rPr>
              <w:t>Целевой индикатор 52. Доля радиологических исследований, обработанных с помощью инструментов искусственного интеллекта до их интерпретации врачами, % (2026 год – 5; 2027 год – 10; 2028 год – 15; 2029 год – 20)</w:t>
            </w:r>
          </w:p>
          <w:p>
            <w:pPr>
              <w:spacing w:after="20"/>
              <w:ind w:left="20"/>
              <w:jc w:val="both"/>
            </w:pPr>
            <w:r>
              <w:rPr>
                <w:rFonts w:ascii="Times New Roman"/>
                <w:b w:val="false"/>
                <w:i w:val="false"/>
                <w:color w:val="000000"/>
                <w:sz w:val="20"/>
              </w:rPr>
              <w:t>
</w:t>
            </w:r>
            <w:r>
              <w:rPr>
                <w:rFonts w:ascii="Times New Roman"/>
                <w:b w:val="false"/>
                <w:i w:val="false"/>
                <w:color w:val="000000"/>
                <w:sz w:val="20"/>
              </w:rPr>
              <w:t>Целевой индикатор 53. Доля медицинских организаций, обеспечивающих обмен данными с ядром e-Densaulyq, % (2022 год – 50; 2023 год – 65; 2024 год – 80; 2025 год – 100)</w:t>
            </w:r>
          </w:p>
          <w:p>
            <w:pPr>
              <w:spacing w:after="20"/>
              <w:ind w:left="20"/>
              <w:jc w:val="both"/>
            </w:pPr>
            <w:r>
              <w:rPr>
                <w:rFonts w:ascii="Times New Roman"/>
                <w:b w:val="false"/>
                <w:i w:val="false"/>
                <w:color w:val="000000"/>
                <w:sz w:val="20"/>
              </w:rPr>
              <w:t>
Целевой индикатор 54. Доля субъектов здравоохранения вне зависимости от форм собственности, интегрированных с единым хранилищем медицинских данных в части обеспечения обмена данными, % (2026 год – 20; 2027 год – 40; 2028 год – 65; 2029 год – 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персонализированной медицины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2027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МИИЦР, РЦЭЗ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собственных средств организаций здравоохранения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источники (средства организаций здравоохранения)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роботизированной ассистированной хирургии и применение робототехники в медицинской практике в части расширения спектра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613"/>
          <w:p>
            <w:pPr>
              <w:spacing w:after="20"/>
              <w:ind w:left="20"/>
              <w:jc w:val="both"/>
            </w:pPr>
            <w:r>
              <w:rPr>
                <w:rFonts w:ascii="Times New Roman"/>
                <w:b w:val="false"/>
                <w:i w:val="false"/>
                <w:color w:val="000000"/>
                <w:sz w:val="20"/>
              </w:rPr>
              <w:t>
информация в Правительство Республики Казахстан</w:t>
            </w:r>
          </w:p>
          <w:bookmarkEnd w:id="613"/>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на классификацию МКБ-11 для совместимости с новыми цифровыми технологиями, совместимости данных, учета генетических и цифровых аспектов здоровья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2028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ННЦРЗ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на статистический учет причин смерти с указанием конкретного кода МКБ-11 и всех факторов, приведших к смерти, в соответствии с рекомендациями ВОЗ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2029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цифровым компетенциям медицинских работников и специалистов служб поддержки пациентов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обучении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ОВПО, МП, МИО, РЦЭЗ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собственных средств организаций здравоохранения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источники (средства организаций здравоохранения)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интегрированных инструментов качества через централизованные сервисы для МИС, направленные на поддержку клинических решений (ИИ-ассистент, интерпретация, интеграция медицинских записей и клинических протоколов)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МИИЦР, МИО, РЦЭЗ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собственных средств организаций здравоохранения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источники (средства организаций здравоохранения)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удобного доступа к медицинским данным модуля eDensaulyq на платформе eGov и совместимости с портативными медицинскими устройствами и приложениями для самоменеджмента хронических заболеваний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2027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МИИЦР, МИО, РЦЭЗ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7. Технологическое развитие фармацевтической и медицинской промышленности, устойчивое лекарственное обеспечение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614"/>
          <w:p>
            <w:pPr>
              <w:spacing w:after="20"/>
              <w:ind w:left="20"/>
              <w:jc w:val="both"/>
            </w:pPr>
            <w:r>
              <w:rPr>
                <w:rFonts w:ascii="Times New Roman"/>
                <w:b w:val="false"/>
                <w:i w:val="false"/>
                <w:color w:val="000000"/>
                <w:sz w:val="20"/>
              </w:rPr>
              <w:t>
Целевой индикатор 55. Количество новых производств по выпуску лекарственных средств и медицинских изделий, единиц (2022 год – 5; 2023 год – 8; 2024 год – 14; 2025 год – 6)</w:t>
            </w:r>
          </w:p>
          <w:bookmarkEnd w:id="614"/>
          <w:p>
            <w:pPr>
              <w:spacing w:after="20"/>
              <w:ind w:left="20"/>
              <w:jc w:val="both"/>
            </w:pPr>
            <w:r>
              <w:rPr>
                <w:rFonts w:ascii="Times New Roman"/>
                <w:b w:val="false"/>
                <w:i w:val="false"/>
                <w:color w:val="000000"/>
                <w:sz w:val="20"/>
              </w:rPr>
              <w:t>
</w:t>
            </w:r>
            <w:r>
              <w:rPr>
                <w:rFonts w:ascii="Times New Roman"/>
                <w:b w:val="false"/>
                <w:i w:val="false"/>
                <w:color w:val="000000"/>
                <w:sz w:val="20"/>
              </w:rPr>
              <w:t>Целевой индикатор 56. Доля лекарственных средств и медицинских изделий казахстанского производства на локальном фармацевтическом рынке, % (2026 год – 30; 2027 год – 40; 2028 год – 45; 2029 год – 50)</w:t>
            </w:r>
          </w:p>
          <w:p>
            <w:pPr>
              <w:spacing w:after="20"/>
              <w:ind w:left="20"/>
              <w:jc w:val="both"/>
            </w:pPr>
            <w:r>
              <w:rPr>
                <w:rFonts w:ascii="Times New Roman"/>
                <w:b w:val="false"/>
                <w:i w:val="false"/>
                <w:color w:val="000000"/>
                <w:sz w:val="20"/>
              </w:rPr>
              <w:t>
</w:t>
            </w:r>
            <w:r>
              <w:rPr>
                <w:rFonts w:ascii="Times New Roman"/>
                <w:b w:val="false"/>
                <w:i w:val="false"/>
                <w:color w:val="000000"/>
                <w:sz w:val="20"/>
              </w:rPr>
              <w:t>Целевой индикатор 57. Охват логистических цепочек лекарственных средств (в том числе вакцин) цифровым мониторингом (холодовая цепь), % (2026 год – 50, 2027 год – 80, 2028 год – 90, 2029 год – 100)</w:t>
            </w:r>
          </w:p>
          <w:p>
            <w:pPr>
              <w:spacing w:after="20"/>
              <w:ind w:left="20"/>
              <w:jc w:val="both"/>
            </w:pPr>
            <w:r>
              <w:rPr>
                <w:rFonts w:ascii="Times New Roman"/>
                <w:b w:val="false"/>
                <w:i w:val="false"/>
                <w:color w:val="000000"/>
                <w:sz w:val="20"/>
              </w:rPr>
              <w:t>
</w:t>
            </w:r>
            <w:r>
              <w:rPr>
                <w:rFonts w:ascii="Times New Roman"/>
                <w:b w:val="false"/>
                <w:i w:val="false"/>
                <w:color w:val="000000"/>
                <w:sz w:val="20"/>
              </w:rPr>
              <w:t>Целевой индикатор 58. Доля закупа единым дистрибьютором казахстанских лекарственных средств и медицинских изделий в денежном выражении к общему объему закупа, % (2022 год – 33, 2023 год – 35, 2024 год – 29,75, 2025 год – 31, 2026 год – 32; 2027 год – 34; 2028 год – 35; 2029 год – 37)</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Целевой индикатор 59. Инвестиции в основной капитал в здравоохранении, % реального роста к уровню 2019 года </w:t>
            </w:r>
          </w:p>
          <w:p>
            <w:pPr>
              <w:spacing w:after="20"/>
              <w:ind w:left="20"/>
              <w:jc w:val="both"/>
            </w:pPr>
            <w:r>
              <w:rPr>
                <w:rFonts w:ascii="Times New Roman"/>
                <w:b w:val="false"/>
                <w:i w:val="false"/>
                <w:color w:val="000000"/>
                <w:sz w:val="20"/>
              </w:rPr>
              <w:t>(2022 год – 225,57, 2023 год – 302,1, 2024 год – 325,8, 2025 год – 372,2)</w:t>
            </w:r>
          </w:p>
          <w:p>
            <w:pPr>
              <w:spacing w:after="20"/>
              <w:ind w:left="20"/>
              <w:jc w:val="both"/>
            </w:pPr>
            <w:r>
              <w:rPr>
                <w:rFonts w:ascii="Times New Roman"/>
                <w:b w:val="false"/>
                <w:i w:val="false"/>
                <w:color w:val="000000"/>
                <w:sz w:val="20"/>
              </w:rPr>
              <w:t>
</w:t>
            </w:r>
            <w:r>
              <w:rPr>
                <w:rFonts w:ascii="Times New Roman"/>
                <w:b w:val="false"/>
                <w:i w:val="false"/>
                <w:color w:val="000000"/>
                <w:sz w:val="20"/>
              </w:rPr>
              <w:t>Целевой индикатор 60. Доля аккредитованных лабораторий/центров на соответствие международным стандартам, % (GLP и ISO-17025) (проводится 1 раз в 2 года) (2023 год – 60, 2025 год – 100)</w:t>
            </w:r>
          </w:p>
          <w:p>
            <w:pPr>
              <w:spacing w:after="20"/>
              <w:ind w:left="20"/>
              <w:jc w:val="both"/>
            </w:pPr>
            <w:r>
              <w:rPr>
                <w:rFonts w:ascii="Times New Roman"/>
                <w:b w:val="false"/>
                <w:i w:val="false"/>
                <w:color w:val="000000"/>
                <w:sz w:val="20"/>
              </w:rPr>
              <w:t>
</w:t>
            </w:r>
            <w:r>
              <w:rPr>
                <w:rFonts w:ascii="Times New Roman"/>
                <w:b w:val="false"/>
                <w:i w:val="false"/>
                <w:color w:val="000000"/>
                <w:sz w:val="20"/>
              </w:rPr>
              <w:t>Целевой индикатор 61. Валовый приток прямых инвестиций от прямых иностранных инвесторов в производство основных фармацевтических продуктов и препаратов, млн долларов США (2026 год – 110,5; 2027 год – 121,5; 2028 год – 133,7; 2029 год – 147,0)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Целевой индикатор 62. Доля лекарственных средств, движение которых отслеживается в режиме реального времени, % </w:t>
            </w:r>
          </w:p>
          <w:p>
            <w:pPr>
              <w:spacing w:after="20"/>
              <w:ind w:left="20"/>
              <w:jc w:val="both"/>
            </w:pPr>
            <w:r>
              <w:rPr>
                <w:rFonts w:ascii="Times New Roman"/>
                <w:b w:val="false"/>
                <w:i w:val="false"/>
                <w:color w:val="000000"/>
                <w:sz w:val="20"/>
              </w:rPr>
              <w:t>(2026 год – 75; 2027 год – 80; 2028 год – 85; 2029 год – 90)</w:t>
            </w:r>
          </w:p>
          <w:p>
            <w:pPr>
              <w:spacing w:after="20"/>
              <w:ind w:left="20"/>
              <w:jc w:val="both"/>
            </w:pPr>
            <w:r>
              <w:rPr>
                <w:rFonts w:ascii="Times New Roman"/>
                <w:b w:val="false"/>
                <w:i w:val="false"/>
                <w:color w:val="000000"/>
                <w:sz w:val="20"/>
              </w:rPr>
              <w:t>
</w:t>
            </w:r>
            <w:r>
              <w:rPr>
                <w:rFonts w:ascii="Times New Roman"/>
                <w:b w:val="false"/>
                <w:i w:val="false"/>
                <w:color w:val="000000"/>
                <w:sz w:val="20"/>
              </w:rPr>
              <w:t>Целевой индикатор 63. Доля дефицита лекарственных средств от годовой потребности организаций первичной медико-санитарной помощи в рамках амбулаторного лекарственного обеспечения, % (2026 год – 14; 2027 год – 13; 2028 год – 11; 2029 год – 10)</w:t>
            </w:r>
          </w:p>
          <w:p>
            <w:pPr>
              <w:spacing w:after="20"/>
              <w:ind w:left="20"/>
              <w:jc w:val="both"/>
            </w:pPr>
            <w:r>
              <w:rPr>
                <w:rFonts w:ascii="Times New Roman"/>
                <w:b w:val="false"/>
                <w:i w:val="false"/>
                <w:color w:val="000000"/>
                <w:sz w:val="20"/>
              </w:rPr>
              <w:t>
</w:t>
            </w:r>
            <w:r>
              <w:rPr>
                <w:rFonts w:ascii="Times New Roman"/>
                <w:b w:val="false"/>
                <w:i w:val="false"/>
                <w:color w:val="000000"/>
                <w:sz w:val="20"/>
              </w:rPr>
              <w:t>Целевой индикатор 64. Средняя доля обеспеченности пациентов в рамках перечня амбулаторного лекарственного обеспечения, % (2026 год – 35; 2027 год – 40; 2028 год – 45; 2029 год – 50)</w:t>
            </w:r>
          </w:p>
          <w:p>
            <w:pPr>
              <w:spacing w:after="20"/>
              <w:ind w:left="20"/>
              <w:jc w:val="both"/>
            </w:pPr>
            <w:r>
              <w:rPr>
                <w:rFonts w:ascii="Times New Roman"/>
                <w:b w:val="false"/>
                <w:i w:val="false"/>
                <w:color w:val="000000"/>
                <w:sz w:val="20"/>
              </w:rPr>
              <w:t>
Целевой индикатор 65. Суммарная доля обеспечения неснижаемого запаса лекарственных средств и медицинских изделий, % (2026 год – 25; 2027 год – 25; 2028 год – 25; 2029 год –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 деятельности кластеров фармацевтической и медицинской промышленности в городах Астане, Актобе и Шымкенте путем совершенствования образовательной и научной инфраструктуры, увеличения клинической практики и исследований, развития производства, сбыта и дистрибуции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615"/>
          <w:p>
            <w:pPr>
              <w:spacing w:after="20"/>
              <w:ind w:left="20"/>
              <w:jc w:val="both"/>
            </w:pPr>
            <w:r>
              <w:rPr>
                <w:rFonts w:ascii="Times New Roman"/>
                <w:b w:val="false"/>
                <w:i w:val="false"/>
                <w:color w:val="000000"/>
                <w:sz w:val="20"/>
              </w:rPr>
              <w:t>
МЗ, МНЭ, акиматы городов Астана, Шымкент и Актюбинской области</w:t>
            </w:r>
          </w:p>
          <w:bookmarkEnd w:id="615"/>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Усиление взаимодействия с научными организациями в области здравоохранения с целью проведения исследований и подготовки кадров для предприятий фармацевтической и медицинской промышленности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МНВО, ОВПО, НИИ, НЦ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перечня выпускаемой фармацевтической продукции казахстанскими производителями, в том числе инновационной, для лечения сердечно-сосудистых, онкологических, аутоиммунных и диабетических заболеваний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616"/>
          <w:p>
            <w:pPr>
              <w:spacing w:after="20"/>
              <w:ind w:left="20"/>
              <w:jc w:val="both"/>
            </w:pPr>
            <w:r>
              <w:rPr>
                <w:rFonts w:ascii="Times New Roman"/>
                <w:b w:val="false"/>
                <w:i w:val="false"/>
                <w:color w:val="000000"/>
                <w:sz w:val="20"/>
              </w:rPr>
              <w:t>
информация в Правительство Республики Казахстан</w:t>
            </w:r>
          </w:p>
          <w:bookmarkEnd w:id="616"/>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МНЭ,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инвестиций в фармацевтическую промышленность, в том числе и с использованием механизмов соглашений об инвестициях и инвестиционных контрактов для устойчивого роста доли продукции казахстанских производителей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МИД, МНЭ,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целостной фармацевтической политики, в том числе развитие партнерства с ведущими мировыми фармацевтическими производителями Big Pharma – Top 50 в целях обеспечения трансферта технологий и локализации производства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МИД, МНЭ</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методологии и процедур оценки технологий здравоохранения, в том числе требований к качеству отчета, методологических требований и валидации результатов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формулярного руководства по рациональному применению лекарственных средств, включенных в Казахстанский национальный лекарственный формуляр, содержащего информацию о лекарственных формах, показаниях, режимах дозирования, курсах и длительности лечения, возрастных ограничениях, побочных эффектах и противопоказаниях, включая применение лекарственных средств по показаниям, не утвержденным в инструкции по медицинскому применению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формулярное руководство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2028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расчета показателя "год жизни с поправкой на качество (Quality-Adjusted Life Year, QALY)" стандартизированной единицы измерения, используемой для количественной оценки ценности технологий здравоохранения, отражающей одновременное изменение продолжительности и качества жизни пациента и позволяющей принимать решения по амбулаторному лекарственному обеспечению с учетом ресурсов системы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с применением QALY в рамках АЛО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ННЦРЗ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отделения клинической фармакологии в медицинских организациях, за исключением 1 уровня, для рационального использования лекарственных средств в рамках ГОБМП и в системе ОСМС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Оцифровка перечня лекарственных средств, возмещаемых государством, путем перехода на государственную услугу (КНФ-АЛО-ЕД-орфанный)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Казахстанский национальный лекарственных формуляр со статусами АЛО, ЕД, орфанный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МИИЦР, РЦЭЗ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равного доступа пациентов к лекарственным средствам для лечения социально значимых заболеваний, включая орфанные заболевания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механизмов разделения затрат стоимости лекарственных средств, предусматривающих распределение финансовой нагрузки с участием производителей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соглашения с производителями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ННЦРЗ (по согласованию), ТОО "СК-Фармация"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Децентрализация амбулаторного лекарственного обеспечения с использованием сооплаты, включая возмещение фиксированной стоимости базовой терапии при артериальной гипертензии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ННЦРЗ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от выдачи разрешительных документов на ввоз к временной регистрации лекарственных средств в рамках ГОБМП и в системе ОСМС, включая ускоренную регистрацию лекарственных средств для лечения орфанных заболеваний при наличии показаний в базе данных ORPHANET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Цифровизация полного цикла лекарственного обеспечения - от планирования до отпуска лекарственных средств пациентам, включая наркотические и психотропные средства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МИИЦР, МВД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от утверждения к автоматическому формированию предельных цен на лекарственные средства в рамках ГОБМП и в системе ОСМС с применением внешнего и внутреннего реферирования цен посредством интеграции информационных систем министерств финансов и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2027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МФ, МИИЦР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контрактного фракционирования по производству плазменных препаратов крови (альбумин, иммуноглобулин, факторы VIII и IX,) а также производство лекарственных средств для оказания экстренной и неотложной помощи в целях обеспечения национальной безопасности страны (эпинефрин, пипекурония бромид, окситоцин и т.д.)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соглашения с производителями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2028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Поэтапный перевод закупок лекарственных средств и медицинских изделий в рамках ГОБМП и в системе ОСМС на портал государственных закупок, начиная с медицинских организаций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МФ, МИИЦР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групповых закупок лекарственных средств единым дистрибьютором для стран ближнего зарубежья (Кыргызстан, Узбекистан, Азербайджан) путем заключения долгосрочных рамочных соглашений с производителями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соглашения с странами ближнего зарубежья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2028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ТОО "СК-Фармация"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617"/>
          <w:p>
            <w:pPr>
              <w:spacing w:after="20"/>
              <w:ind w:left="20"/>
              <w:jc w:val="both"/>
            </w:pPr>
            <w:r>
              <w:rPr>
                <w:rFonts w:ascii="Times New Roman"/>
                <w:b w:val="false"/>
                <w:i w:val="false"/>
                <w:color w:val="000000"/>
                <w:sz w:val="20"/>
              </w:rPr>
              <w:t>
Разработка предложений по внедрению "порога затратоэффективности" в рамках оценки технологий здравоохранения на основе QALY, в том числе:</w:t>
            </w:r>
          </w:p>
          <w:bookmarkEnd w:id="617"/>
          <w:p>
            <w:pPr>
              <w:spacing w:after="20"/>
              <w:ind w:left="20"/>
              <w:jc w:val="both"/>
            </w:pPr>
            <w:r>
              <w:rPr>
                <w:rFonts w:ascii="Times New Roman"/>
                <w:b w:val="false"/>
                <w:i w:val="false"/>
                <w:color w:val="000000"/>
                <w:sz w:val="20"/>
              </w:rPr>
              <w:t>
</w:t>
            </w:r>
            <w:r>
              <w:rPr>
                <w:rFonts w:ascii="Times New Roman"/>
                <w:b w:val="false"/>
                <w:i w:val="false"/>
                <w:color w:val="000000"/>
                <w:sz w:val="20"/>
              </w:rPr>
              <w:t>разработка методических рекомендаций по применению QALY и "стоимости за QALY" в Казахстане;</w:t>
            </w:r>
          </w:p>
          <w:p>
            <w:pPr>
              <w:spacing w:after="20"/>
              <w:ind w:left="20"/>
              <w:jc w:val="both"/>
            </w:pPr>
            <w:r>
              <w:rPr>
                <w:rFonts w:ascii="Times New Roman"/>
                <w:b w:val="false"/>
                <w:i w:val="false"/>
                <w:color w:val="000000"/>
                <w:sz w:val="20"/>
              </w:rPr>
              <w:t>
</w:t>
            </w:r>
            <w:r>
              <w:rPr>
                <w:rFonts w:ascii="Times New Roman"/>
                <w:b w:val="false"/>
                <w:i w:val="false"/>
                <w:color w:val="000000"/>
                <w:sz w:val="20"/>
              </w:rPr>
              <w:t>определение "порога готовности платить" за единицу QALY;</w:t>
            </w:r>
          </w:p>
          <w:p>
            <w:pPr>
              <w:spacing w:after="20"/>
              <w:ind w:left="20"/>
              <w:jc w:val="both"/>
            </w:pPr>
            <w:r>
              <w:rPr>
                <w:rFonts w:ascii="Times New Roman"/>
                <w:b w:val="false"/>
                <w:i w:val="false"/>
                <w:color w:val="000000"/>
                <w:sz w:val="20"/>
              </w:rPr>
              <w:t>
</w:t>
            </w:r>
            <w:r>
              <w:rPr>
                <w:rFonts w:ascii="Times New Roman"/>
                <w:b w:val="false"/>
                <w:i w:val="false"/>
                <w:color w:val="000000"/>
                <w:sz w:val="20"/>
              </w:rPr>
              <w:t>обучение аналитиков и планировщиков использованию показателя для оценки программ;</w:t>
            </w:r>
          </w:p>
          <w:p>
            <w:pPr>
              <w:spacing w:after="20"/>
              <w:ind w:left="20"/>
              <w:jc w:val="both"/>
            </w:pPr>
            <w:r>
              <w:rPr>
                <w:rFonts w:ascii="Times New Roman"/>
                <w:b w:val="false"/>
                <w:i w:val="false"/>
                <w:color w:val="000000"/>
                <w:sz w:val="20"/>
              </w:rPr>
              <w:t>
приоритизация программ с наибольшим эффектом на продолжительность здоровой жизни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ННЦРЗ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практики централизованного отпуска и контроля за применением лекарственных средств с участием отделений клинической фармакологии с учетом экономической целесообразности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от утверждения к автоматическому формированию предельных цен на лекарственные средства, включая проведение внешнего и внутреннего реферирования цен на фармацевтическом рынке, посредством интеграции информационных систем министерств финансов и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МФ, МИИЦР, НЦЭЛСМИ (по согласованию), РЦЭЗ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автоматизации программы иммунизации с момента планирования до конечного потребителя (планирование, движение вакцин, охват, холодовая цепь, запас вакцин)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МИИЦР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8. Трансформация системы кадрового обеспечения и развитие науки как основа устойчивого и эффективного здравоохранения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618"/>
          <w:p>
            <w:pPr>
              <w:spacing w:after="20"/>
              <w:ind w:left="20"/>
              <w:jc w:val="both"/>
            </w:pPr>
            <w:r>
              <w:rPr>
                <w:rFonts w:ascii="Times New Roman"/>
                <w:b w:val="false"/>
                <w:i w:val="false"/>
                <w:color w:val="000000"/>
                <w:sz w:val="20"/>
              </w:rPr>
              <w:t>
Целевой индикатор 66. Повышение уровня обеспеченности медицинскими работниками сельского населения в соответствии с минимальными нормативами обеспеченности медицинскими работниками регионов, на 10 тысяч населения (2022 год – 91,2; 2023 год – 90,6; 2024 год – 90,6; 2025 год – 90,7; 2026 год – 90,8; 2027 год – 90,9; 2028 год – 91,0; 2029 год – 92,0)</w:t>
            </w:r>
          </w:p>
          <w:bookmarkEnd w:id="6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Целевой индикатор 67. Средний индекс Хирша персонала организаций медицинского образования и науки, индекс </w:t>
            </w:r>
          </w:p>
          <w:p>
            <w:pPr>
              <w:spacing w:after="20"/>
              <w:ind w:left="20"/>
              <w:jc w:val="both"/>
            </w:pPr>
            <w:r>
              <w:rPr>
                <w:rFonts w:ascii="Times New Roman"/>
                <w:b w:val="false"/>
                <w:i w:val="false"/>
                <w:color w:val="000000"/>
                <w:sz w:val="20"/>
              </w:rPr>
              <w:t>(2022 год – 0,27; 2023 год – 0,47; 2024 год – 0,45; 2025 год – 0,45)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Целевой индикатор 68. Соотношение количества медицинских сестер к количеству врачей в организациях здравоохранения (2026 год – 1,9:1; 2027 год – 2:1; 2028 год – 2,1:1; 2029 год – 2,2:1) </w:t>
            </w:r>
          </w:p>
          <w:p>
            <w:pPr>
              <w:spacing w:after="20"/>
              <w:ind w:left="20"/>
              <w:jc w:val="both"/>
            </w:pPr>
            <w:r>
              <w:rPr>
                <w:rFonts w:ascii="Times New Roman"/>
                <w:b w:val="false"/>
                <w:i w:val="false"/>
                <w:color w:val="000000"/>
                <w:sz w:val="20"/>
              </w:rPr>
              <w:t>
</w:t>
            </w:r>
            <w:r>
              <w:rPr>
                <w:rFonts w:ascii="Times New Roman"/>
                <w:b w:val="false"/>
                <w:i w:val="false"/>
                <w:color w:val="000000"/>
                <w:sz w:val="20"/>
              </w:rPr>
              <w:t>Целевой индикатор 69. Доля медицинских сестер первичной медико-санитарной помощи, выполняющих расширенные клинические функции, % (2026 год – 8,2; 2027 год – 8,7; 2028 год – 9,1; 2029 год – 9,8)</w:t>
            </w:r>
          </w:p>
          <w:p>
            <w:pPr>
              <w:spacing w:after="20"/>
              <w:ind w:left="20"/>
              <w:jc w:val="both"/>
            </w:pPr>
            <w:r>
              <w:rPr>
                <w:rFonts w:ascii="Times New Roman"/>
                <w:b w:val="false"/>
                <w:i w:val="false"/>
                <w:color w:val="000000"/>
                <w:sz w:val="20"/>
              </w:rPr>
              <w:t>
</w:t>
            </w:r>
            <w:r>
              <w:rPr>
                <w:rFonts w:ascii="Times New Roman"/>
                <w:b w:val="false"/>
                <w:i w:val="false"/>
                <w:color w:val="000000"/>
                <w:sz w:val="20"/>
              </w:rPr>
              <w:t>Целевой индикатор 70. Увеличение количества врачей, обученных в ведущих мировых центрах, в том числе по интенсивной терапии, количество человек (2023 год – 52; 2024 год – 47; 2025 год – 52)</w:t>
            </w:r>
          </w:p>
          <w:p>
            <w:pPr>
              <w:spacing w:after="20"/>
              <w:ind w:left="20"/>
              <w:jc w:val="both"/>
            </w:pPr>
            <w:r>
              <w:rPr>
                <w:rFonts w:ascii="Times New Roman"/>
                <w:b w:val="false"/>
                <w:i w:val="false"/>
                <w:color w:val="000000"/>
                <w:sz w:val="20"/>
              </w:rPr>
              <w:t>
</w:t>
            </w:r>
            <w:r>
              <w:rPr>
                <w:rFonts w:ascii="Times New Roman"/>
                <w:b w:val="false"/>
                <w:i w:val="false"/>
                <w:color w:val="000000"/>
                <w:sz w:val="20"/>
              </w:rPr>
              <w:t>Целевой индикатор 71. Увеличение количества образовательных грантов резидентуры по остродефицитным специальностям, количество (2022 год – 1500; 2023 год – 2600; 2024 год – 3439; 2025 год – 3800)</w:t>
            </w:r>
          </w:p>
          <w:p>
            <w:pPr>
              <w:spacing w:after="20"/>
              <w:ind w:left="20"/>
              <w:jc w:val="both"/>
            </w:pPr>
            <w:r>
              <w:rPr>
                <w:rFonts w:ascii="Times New Roman"/>
                <w:b w:val="false"/>
                <w:i w:val="false"/>
                <w:color w:val="000000"/>
                <w:sz w:val="20"/>
              </w:rPr>
              <w:t>
</w:t>
            </w:r>
            <w:r>
              <w:rPr>
                <w:rFonts w:ascii="Times New Roman"/>
                <w:b w:val="false"/>
                <w:i w:val="false"/>
                <w:color w:val="000000"/>
                <w:sz w:val="20"/>
              </w:rPr>
              <w:t>Целевой индикатор 72. Доля выпускников интернатуры и резидентуры, показавших высокий уровень знаний по результатам независимой оценки (≥80% от максимального балла) (2026 год – 87,5; 2027 год – 88,25; 2028 год – 89,0; 2029 год – 90,5)</w:t>
            </w:r>
          </w:p>
          <w:p>
            <w:pPr>
              <w:spacing w:after="20"/>
              <w:ind w:left="20"/>
              <w:jc w:val="both"/>
            </w:pPr>
            <w:r>
              <w:rPr>
                <w:rFonts w:ascii="Times New Roman"/>
                <w:b w:val="false"/>
                <w:i w:val="false"/>
                <w:color w:val="000000"/>
                <w:sz w:val="20"/>
              </w:rPr>
              <w:t>
</w:t>
            </w:r>
            <w:r>
              <w:rPr>
                <w:rFonts w:ascii="Times New Roman"/>
                <w:b w:val="false"/>
                <w:i w:val="false"/>
                <w:color w:val="000000"/>
                <w:sz w:val="20"/>
              </w:rPr>
              <w:t>Целевой индикатор 73. Количество клинических исследований, проводимых в Республике Казахстан, в расчете на млн населения (2026 год – 0,85; 2027 год – 1,0; 2028 год – 1,15; 2029 год – 1,3)</w:t>
            </w:r>
          </w:p>
          <w:p>
            <w:pPr>
              <w:spacing w:after="20"/>
              <w:ind w:left="20"/>
              <w:jc w:val="both"/>
            </w:pPr>
            <w:r>
              <w:rPr>
                <w:rFonts w:ascii="Times New Roman"/>
                <w:b w:val="false"/>
                <w:i w:val="false"/>
                <w:color w:val="000000"/>
                <w:sz w:val="20"/>
              </w:rPr>
              <w:t>
</w:t>
            </w:r>
            <w:r>
              <w:rPr>
                <w:rFonts w:ascii="Times New Roman"/>
                <w:b w:val="false"/>
                <w:i w:val="false"/>
                <w:color w:val="000000"/>
                <w:sz w:val="20"/>
              </w:rPr>
              <w:t>Целевой индикатор 74. Доля доходов от научной и инновационной деятельности в общем бюджете ОВПО, % (2026 год – 2,9; 2027 год – 3,1; 2028 год –3,3; 2029 год – 3,5)</w:t>
            </w:r>
          </w:p>
          <w:p>
            <w:pPr>
              <w:spacing w:after="20"/>
              <w:ind w:left="20"/>
              <w:jc w:val="both"/>
            </w:pPr>
            <w:r>
              <w:rPr>
                <w:rFonts w:ascii="Times New Roman"/>
                <w:b w:val="false"/>
                <w:i w:val="false"/>
                <w:color w:val="000000"/>
                <w:sz w:val="20"/>
              </w:rPr>
              <w:t>
</w:t>
            </w:r>
            <w:r>
              <w:rPr>
                <w:rFonts w:ascii="Times New Roman"/>
                <w:b w:val="false"/>
                <w:i w:val="false"/>
                <w:color w:val="000000"/>
                <w:sz w:val="20"/>
              </w:rPr>
              <w:t>Целевой индикатор 75. Доля доходов от научной и инновационной деятельности в общем бюджете НИИ/НЦ клинического профиля, % (2026 год – 0,8; 2027 год – 0,9; 2028 год – 1; 2029 год – 1,5)</w:t>
            </w:r>
          </w:p>
          <w:p>
            <w:pPr>
              <w:spacing w:after="20"/>
              <w:ind w:left="20"/>
              <w:jc w:val="both"/>
            </w:pPr>
            <w:r>
              <w:rPr>
                <w:rFonts w:ascii="Times New Roman"/>
                <w:b w:val="false"/>
                <w:i w:val="false"/>
                <w:color w:val="000000"/>
                <w:sz w:val="20"/>
              </w:rPr>
              <w:t>
</w:t>
            </w:r>
            <w:r>
              <w:rPr>
                <w:rFonts w:ascii="Times New Roman"/>
                <w:b w:val="false"/>
                <w:i w:val="false"/>
                <w:color w:val="000000"/>
                <w:sz w:val="20"/>
              </w:rPr>
              <w:t>Целевой индикатор 76. Доля доходов от научной и инновационной деятельности в общем бюджете НИИ/НЦ неклинического профиля, % (2026 год – 6; 2027 год – 6,5; 2028 год – 7; 2029 год – 7,5)</w:t>
            </w:r>
          </w:p>
          <w:p>
            <w:pPr>
              <w:spacing w:after="20"/>
              <w:ind w:left="20"/>
              <w:jc w:val="both"/>
            </w:pPr>
            <w:r>
              <w:rPr>
                <w:rFonts w:ascii="Times New Roman"/>
                <w:b w:val="false"/>
                <w:i w:val="false"/>
                <w:color w:val="000000"/>
                <w:sz w:val="20"/>
              </w:rPr>
              <w:t>
</w:t>
            </w:r>
            <w:r>
              <w:rPr>
                <w:rFonts w:ascii="Times New Roman"/>
                <w:b w:val="false"/>
                <w:i w:val="false"/>
                <w:color w:val="000000"/>
                <w:sz w:val="20"/>
              </w:rPr>
              <w:t>Целевой индикатор 77. Доля патентов организаций медицинского образования и науки, полученных за последние 5 лет (в рамках грантового или программно‑целевого финансирования) и доведенных до стадии производства/клинического применения (включая регистрацию лекарственного средства/медицинского изделия, одобрение технологии здравоохранения, включение в клинические протоколы), % (2026 год – 5; 2027 год – 7; 2028 год – 10; 2029 год – 13)</w:t>
            </w:r>
          </w:p>
          <w:p>
            <w:pPr>
              <w:spacing w:after="20"/>
              <w:ind w:left="20"/>
              <w:jc w:val="both"/>
            </w:pPr>
            <w:r>
              <w:rPr>
                <w:rFonts w:ascii="Times New Roman"/>
                <w:b w:val="false"/>
                <w:i w:val="false"/>
                <w:color w:val="000000"/>
                <w:sz w:val="20"/>
              </w:rPr>
              <w:t>
Целевой индикатор 78. Доля адаптированных зарубежных технологий от общего количества внедренных новых технологий, % (2022 год – 16,6; 2023 год – 16,8; 2024 год – 17; 2025 год – 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национальной системы учета кадровых ресурсов системы здравоохранения в части модификации регистра медицинских работников, базы квалификаций, индивидуальных показателей и функционала мониторинга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тестирования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МИИЦР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предусмотренных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другие источники (привлеченные внебюджетные средства)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методических рекомендаций по планированию и прогнозированию кадровых ресурсов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 и инструмент моделирования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ННЦРЗ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национальных счетов по кадровым ресурсам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национальные счета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возможности развития системы доплат для специалистов первичного звена и педиатрического профиля в сельской местности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2028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МТСЗН,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мониторинг показателей в планах развития регионов по стимулированию медицинских работников, трудоустроенных в сельскую местность, в том числе по обеспечению жильем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планов развития регионов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Выделение грантов на индивидуальное профессиональное развитие для лучших сельских врачей (стажировки, международные конференции)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Правительство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2027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собственных средств организаций здравоохранения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источники (средства организаций здравоохранения)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возможности поэтапного перехода на лицензирование врачей и средних медицинских работников на основе международного опыта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медицинского персонала методам деэскалации конфликтов и безопасного поведения в кризисных ситуациях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МЗ МВД, 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собственных средств организаций здравоохранения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источники (средства организаций здравоохранения)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Запуск пилотного проекта по развитию медицинских профессиональных ассоциаций для формирования системы профессионального саморегулирования в здравоохранении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2027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центров лучших сестринских практик на базе действующих организаций в части распространения эффективных моделей организации работы, развития навыков, наставничества и обмена знаниями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больниц (отделений) сестринского ухода, хосписов под клинические базы медицинских колледжей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2027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международного сотрудничества путем реализации программ с ведущими зарубежными медицинскими организациями образования и экспорт казахстанских программ за рубеж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двудипломные образовательные программы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619"/>
          <w:p>
            <w:pPr>
              <w:spacing w:after="20"/>
              <w:ind w:left="20"/>
              <w:jc w:val="both"/>
            </w:pPr>
            <w:r>
              <w:rPr>
                <w:rFonts w:ascii="Times New Roman"/>
                <w:b w:val="false"/>
                <w:i w:val="false"/>
                <w:color w:val="000000"/>
                <w:sz w:val="20"/>
              </w:rPr>
              <w:t>
МЗ, МНВО</w:t>
            </w:r>
          </w:p>
          <w:bookmarkEnd w:id="619"/>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собственных средств ОВПО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источники (ОВПО)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правил приема организации высшего и послевузовского образования в части внедрения единых критериев оценки, цифровизации процессов подачи и проверки документов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типовые правила приема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МНВО, МИИЦР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предложений по созданию и развитию интегрированных академических медицинских центров в рамках триединства образования, науки и клинической практики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вопроса поэтапного внедрения новой модели финансирования высшего и (или) послевузовского образования, в том числе посредством внедрения дифференциации размеров образовательных грантов и их распределения с учетом качества учебного процесса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Обновление обучающих модулей на уровне додипломной и постдипломной подготовки в ОВПО/ССУЗ вопросы АМР, ПИИК, иммунизации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 модули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лучших международных подходов нормативного правового регулирования биомедицинских исследований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Правительство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Продвижение Национальной научной информационной системы по биомедицинским исследованиям, включающая регистры исследований, исследовательских центров, исследователей, волонтеров и другие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МИИЦР, ННЦРЗ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предусмотренных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вопросов создания единого республиканского биобанка на базе товарищества с ограниченной ответственностью "Национальный центр биотехнологий" для хранения биологических материалов и поддержки проведения исследований в области биомедицины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аналитический отчет в Правительство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ОВПО, НИИ, НЦ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биомедицинских исследований в приоритетные направления программно-целевого финансирования научных исследований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МНВО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МНВО, МИО, НИИ, НЦ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развития и продвижения отечественных журналов в области здравоохранения на национальном и международных уровнях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выпускаемые журналы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МНВО, ОВПО, НИИ, НЦ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источники (ОВПО, НИИ, НЦ, привлеченные внебюджетные средства)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поддержки молодым ученым (до 35 лет) организаций медицинского образования и науки за счет собственных и внебюджетных средств, включая реализацию внутренних грантов, формирование устойчивых научных траекторий, развитие программ PhD и постдокторантуры, карьерное консультирование и наставничество, стимулирование публикационной активности, проведение научных мероприятий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медОВПО, НИИ, НЦ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источники (ОВПО, привлеченные внебюджетные средства)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трансляционных исследований, направленных на внедрение научных достижений в клиническую практику и организацию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пилотные трансляционные проекты в регионах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медОВПО, НИИ, НЦ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источники (ОВПО, привлеченные внебюджетные средства)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участия научных организаций в глобальных консорциумах и международных исследовательских грантах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поддержанных заявок в международных грантах и консорциумах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ОВПО, НИИ, НЦ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источники (ОВПО, привлеченные внебюджетные средства)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5 офисов коммерциализации и трансферта технологий в организациях медицинского образования и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620"/>
          <w:p>
            <w:pPr>
              <w:spacing w:after="20"/>
              <w:ind w:left="20"/>
              <w:jc w:val="both"/>
            </w:pPr>
            <w:r>
              <w:rPr>
                <w:rFonts w:ascii="Times New Roman"/>
                <w:b w:val="false"/>
                <w:i w:val="false"/>
                <w:color w:val="000000"/>
                <w:sz w:val="20"/>
              </w:rPr>
              <w:t>
отчет в МЗ</w:t>
            </w:r>
          </w:p>
          <w:bookmarkEnd w:id="620"/>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МНВО, медОВПО, НИИ, НЦ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источники (ОВПО, НИИ, НЦ, привлеченные внебюджетные средства)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развитие национальной службы EIPM в здравоохранении с функциями научно-аналитической поддержки решений, принимаемых по актуальным вопросам политики здравоохранения, наращивание кадрового потенциала по EIPM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аналитические отчеты (Policy Briefs)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медОВПО, НИИ, НЦ,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9. Прогрессивная модель устойчивого финансирования здравоохранения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621"/>
          <w:p>
            <w:pPr>
              <w:spacing w:after="20"/>
              <w:ind w:left="20"/>
              <w:jc w:val="both"/>
            </w:pPr>
            <w:r>
              <w:rPr>
                <w:rFonts w:ascii="Times New Roman"/>
                <w:b w:val="false"/>
                <w:i w:val="false"/>
                <w:color w:val="000000"/>
                <w:sz w:val="20"/>
              </w:rPr>
              <w:t>
Целевой индикатор 79. Уровень охвата населения в системе ОСМС, % (2022 год – 82,4; 2023 год – 82,6; 2024 год – 83; 2025 год – 83,5; 2026 год – 84,0; 2027 год – 84,5; 2028 год – 85,0; 2029 год – 85,5)</w:t>
            </w:r>
          </w:p>
          <w:bookmarkEnd w:id="621"/>
          <w:p>
            <w:pPr>
              <w:spacing w:after="20"/>
              <w:ind w:left="20"/>
              <w:jc w:val="both"/>
            </w:pPr>
            <w:r>
              <w:rPr>
                <w:rFonts w:ascii="Times New Roman"/>
                <w:b w:val="false"/>
                <w:i w:val="false"/>
                <w:color w:val="000000"/>
                <w:sz w:val="20"/>
              </w:rPr>
              <w:t>
</w:t>
            </w:r>
            <w:r>
              <w:rPr>
                <w:rFonts w:ascii="Times New Roman"/>
                <w:b w:val="false"/>
                <w:i w:val="false"/>
                <w:color w:val="000000"/>
                <w:sz w:val="20"/>
              </w:rPr>
              <w:t>Целевой индикатор 80. Доля государственных расходов на здравоохранение, % (2026 год – 14,1; 2027 год – 13,3; 2028 год – 13,5; 2029 год – 13,7)</w:t>
            </w:r>
          </w:p>
          <w:p>
            <w:pPr>
              <w:spacing w:after="20"/>
              <w:ind w:left="20"/>
              <w:jc w:val="both"/>
            </w:pPr>
            <w:r>
              <w:rPr>
                <w:rFonts w:ascii="Times New Roman"/>
                <w:b w:val="false"/>
                <w:i w:val="false"/>
                <w:color w:val="000000"/>
                <w:sz w:val="20"/>
              </w:rPr>
              <w:t>
</w:t>
            </w:r>
            <w:r>
              <w:rPr>
                <w:rFonts w:ascii="Times New Roman"/>
                <w:b w:val="false"/>
                <w:i w:val="false"/>
                <w:color w:val="000000"/>
                <w:sz w:val="20"/>
              </w:rPr>
              <w:t>Целевой индикатор 81. Доля общих расходов на здравоохранение от ВВП, % (2026 год – 4,7; 2027 год – 4,8; 2028 год – 4,9; 2029 год – 5,0)</w:t>
            </w:r>
          </w:p>
          <w:p>
            <w:pPr>
              <w:spacing w:after="20"/>
              <w:ind w:left="20"/>
              <w:jc w:val="both"/>
            </w:pPr>
            <w:r>
              <w:rPr>
                <w:rFonts w:ascii="Times New Roman"/>
                <w:b w:val="false"/>
                <w:i w:val="false"/>
                <w:color w:val="000000"/>
                <w:sz w:val="20"/>
              </w:rPr>
              <w:t>
Целевой индикатор 82. Доля "карманных" расходов в структуре общих расходов на здравоохранение, % (2026 год – 24,7; 2027 год – 23,8; 2028 год – 22,9; 2029 год – 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механизмов финансирования организаций здравоохранения в части размещении объемов услуг и (или) объемов средств в рамках ГОБМП и (или) системы ОСМС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ФСМС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возможности нерегулярными самостоятельными поставщиками уплаты взносов в ОСМС за 12 месяцев вперед для ограничения разового входа в систему ОСМС с целью получения дорогостоящего лечения для лиц с видом на жительство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ФСМС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нормы по 5-летнему сроку регулярных взносов (или эквивалента по разовому взносу) для предоставления медицинской помощи в системе ОСМС иностранцам и лицам без гражданства, постоянно проживающим на территории Республики Казахстан, а также членам их семей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ФСМС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Усиление многоуровневого аудита, включающего внутренний контроль в медицинских организациях, мониторинг со стороны ФСМС по принципу экстерриториальности с внедрением инструментов искусственного интеллекта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ФСМС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ФСМС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предложений по законодательному закреплению добровольного медицинского страхования, как инструмента, способствующего расширению охвата услугами здравоохранения для отдельных групп сверх ГОБМП и ОСМС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полной интеграцией информационных систем ФСМС с учетными системами поставщиков медицинских услуг в рамках ГОБМП и ОСМС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МИИЦР, МИО, ФСМС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механизмов оценки медицинских технологий в рамках формирования гарантий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 2028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622"/>
          <w:p>
            <w:pPr>
              <w:spacing w:after="20"/>
              <w:ind w:left="20"/>
              <w:jc w:val="both"/>
            </w:pPr>
            <w:r>
              <w:rPr>
                <w:rFonts w:ascii="Times New Roman"/>
                <w:b w:val="false"/>
                <w:i w:val="false"/>
                <w:color w:val="000000"/>
                <w:sz w:val="20"/>
              </w:rPr>
              <w:t>
Повышение вовлеченности населения и уровня доверия к системе ОСМС через:</w:t>
            </w:r>
          </w:p>
          <w:bookmarkEnd w:id="622"/>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информационных кампаний о правах и гарантиях застрахованных в ОСМС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создание и продвижение инструментов обратной связи и горячей линии ФСМС;</w:t>
            </w:r>
          </w:p>
          <w:p>
            <w:pPr>
              <w:spacing w:after="20"/>
              <w:ind w:left="20"/>
              <w:jc w:val="both"/>
            </w:pPr>
            <w:r>
              <w:rPr>
                <w:rFonts w:ascii="Times New Roman"/>
                <w:b w:val="false"/>
                <w:i w:val="false"/>
                <w:color w:val="000000"/>
                <w:sz w:val="20"/>
              </w:rPr>
              <w:t>
</w:t>
            </w:r>
            <w:r>
              <w:rPr>
                <w:rFonts w:ascii="Times New Roman"/>
                <w:b w:val="false"/>
                <w:i w:val="false"/>
                <w:color w:val="000000"/>
                <w:sz w:val="20"/>
              </w:rPr>
              <w:t>интеграцию коммуникации с программами профилактики (вакцинация, скрининг, ЗОЖ);</w:t>
            </w:r>
          </w:p>
          <w:p>
            <w:pPr>
              <w:spacing w:after="20"/>
              <w:ind w:left="20"/>
              <w:jc w:val="both"/>
            </w:pPr>
            <w:r>
              <w:rPr>
                <w:rFonts w:ascii="Times New Roman"/>
                <w:b w:val="false"/>
                <w:i w:val="false"/>
                <w:color w:val="000000"/>
                <w:sz w:val="20"/>
              </w:rPr>
              <w:t>
</w:t>
            </w:r>
            <w:r>
              <w:rPr>
                <w:rFonts w:ascii="Times New Roman"/>
                <w:b w:val="false"/>
                <w:i w:val="false"/>
                <w:color w:val="000000"/>
                <w:sz w:val="20"/>
              </w:rPr>
              <w:t>усиление работы в отдаленных регионах через мобильные группы, телемедицину и местные СМИ;</w:t>
            </w:r>
          </w:p>
          <w:p>
            <w:pPr>
              <w:spacing w:after="20"/>
              <w:ind w:left="20"/>
              <w:jc w:val="both"/>
            </w:pPr>
            <w:r>
              <w:rPr>
                <w:rFonts w:ascii="Times New Roman"/>
                <w:b w:val="false"/>
                <w:i w:val="false"/>
                <w:color w:val="000000"/>
                <w:sz w:val="20"/>
              </w:rPr>
              <w:t>
формирование диалоговых площадок с участием пациентов, медицинских работников, НПО и государственных органов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ФСМС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 ФСМС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методики формирования тарифов по основным направлениям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требований к поставщикам медицинской помощи по обязательному персонифицированному учету и предоставлению доступа к информации по расходам в рамках ГОБМП и в системе ОСМС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ФСМС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управленческих подходов с акцентом на трансформацию организаций, в том числе через внедрение всеобщего управления качеством, подходов бережливого производства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МТСЗН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корпоративного управления в организациях здравоохранения через усиление ответственности органа управления перед бенефициарами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МТСЗН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780" w:id="623"/>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расшифровка аббревиатур</w:t>
      </w:r>
      <w:r>
        <w:rPr>
          <w:rFonts w:ascii="Times New Roman"/>
          <w:b w:val="false"/>
          <w:i w:val="false"/>
          <w:color w:val="000000"/>
          <w:sz w:val="28"/>
        </w:rPr>
        <w:t>:</w:t>
      </w:r>
    </w:p>
    <w:bookmarkEnd w:id="62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Соединенные Штаты Америки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ССУЗ</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специальное учебное заведение</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информационные технологии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реестр административных производств</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НЦЭЛСМИ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"Национальный центр экспертизы лекарственных средств и медицинских изделий"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Евразийский экономический союз</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НЦГТПЗ</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"Национальный центр гигиены труда и профессиональных заболеваний"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исполнительный орган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искусственного интеллекта и цифрового развития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ПИИК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профилактики инфекции и инфекционного контроля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транспорта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НИИКМР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республиканское государственное предприятие на праве хозяйственного ведения "Научно-исследовательский институт курортологии и медицинской реабилитации"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КНЦДИЗ</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"Казахский научный центр дерматологии и инфекционных заболеваний"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НЦОЗ</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"Национальный центр общественного здравоохранения"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медОВПО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strik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организации высшего и послевузовского образования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медицинского назначения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НЦПДХ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"Научный центр педиатрии и детской хирургии"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пандемический фонд</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РЦЭЗ</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"Республиканский центр электронного здравоохранения"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объединенная комиссия по качеству медицинских услуг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торговли и интеграции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иностранных дел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чрезвычайным ситуациям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туризма и спорта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ЕРСОП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реестр субъектов и объектов проверок</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НОБД</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образовательная база данных</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ННЦРЗ</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"Научный национальный научный центр развития здравоохранения имени С. Каирбековой"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национальной экономики Республики Казахстан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неправительственные организации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внутренних дел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EIPM</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Европейский институт управлениями закупками (European Institute of Purchasing Management)</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SARS-CoV-2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короновирусная инфекция (Severe acute respiratory syndrome-related coronavirus 2)</w:t>
            </w:r>
          </w:p>
        </w:tc>
      </w:tr>
    </w:tbl>
    <w:bookmarkStart w:name="z781" w:id="624"/>
    <w:p>
      <w:pPr>
        <w:spacing w:after="0"/>
        <w:ind w:left="0"/>
        <w:jc w:val="both"/>
      </w:pPr>
      <w:r>
        <w:rPr>
          <w:rFonts w:ascii="Times New Roman"/>
          <w:b w:val="false"/>
          <w:i w:val="false"/>
          <w:color w:val="000000"/>
          <w:sz w:val="28"/>
        </w:rPr>
        <w:t>
      ____________________________________________________________</w:t>
      </w:r>
    </w:p>
    <w:bookmarkEnd w:id="6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