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9a6f" w14:textId="1cd9a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2026 года № 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сентября 2021 года № 604 "Об утверждении Правил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финансирования оператором расширенных обязательств производителей (импортеров) организации, пятьдесят и более процентов голосующих акций (долей участия в уставном капитале) которой прямо или косвенно принадлежат государству и (или) национальному управляющему холдингу, для дальнейшего финансирования проектов в обрабатывающей отрасли, направленных на улучшение состояния окружающей среды,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"ставка вознаграждения на проекты в обрабатывающей отрасли по приобретению систем раннего обнаружения пожаров 2 для организации предупреждения возникновения лесных пожаров и их тушения, техники и патрульного транспорта отечественного производства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предусмотренных абзацем одиннадцатым подпункта 1) пункта 4 настоящих Правил, – не более 12,6 % годовых. Размер ставки вознаграждения устанавливается за счет микширования средств оператора с иными средствами организации в пропорции 40/60;";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рамках совершенствования материально-технической базы организаций, осуществляющих сбор, транспортировку, подготовку к повторному использованию, сортировку, обработку, переработку и (или) утилизацию отходов, и (или) обработку сырья, материалов, веществ, компонентов с использованием вторичных ресурсов для новой продукции, приобретается техника отечественного и (или) зарубежного производства (в случае отсутствия аналогов отечественного производства по согласованию с уполномоченным органом в области государственного стимулирования промышленности), соответствующая экологическим требованиям, определенным техническим регламентом.";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"Порядок финансирования проектов в обрабатывающей отрасли по приобретению техники отечественного производства, предусмотренной абзацем одиннадцатым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настоящих Правил, у производителей, заключивших соответствующее соглашение о промышленной сборке транспортных средств на основе лицензионных прав на производство транспортного средства от владельца товарного знака и (или) конструкции транспортного средства или документа, подтверждающего право владения товарным знаком и (или) конструкцией транспортного средства,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параграфом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