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3af8" w14:textId="7eb3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развития животноводства в Республике Казахстан на 2026 – 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2026 года № 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животноводства в Республике Казахстан на 2026 – 2030 годы (далее – Комплексный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Центральным государственным и местным исполнительным органам, иным организациям Республики Казахстан (по согласованию), ответственным за исполнение Комплексного плана: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мероприятий и достижение показателей, предусмотренных Комплексным планом;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15 числа, следующего за отчетным годом, представлять информацию о ходе исполнения Комплексного плана в Министерство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по итогам года, не позднее 15 февраля, представлять в Аппарат Правительства Республики Казахстан сводную информацию о ходе исполнения Комплексного плана.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сельского хозяйства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2026 года №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развития животноводства в Республике Казахстан на 2026 – 2030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Введение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 отрасли животноводства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Животноводство для Казахстана является традиционной и важнейшей отраслью сельского хозяйства. В настоящее время на долю животноводства приходится около 40 % валовой продукции сельского хозяйства. В последние годы в отрасли наблюдается определенное увеличение объемов производства и поголовья на уровне 2-3 %.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значительный потенциал отрасли, текущие темпы роста не в полной мере раскрывают имеющиеся экспортные возможности. Страна остается импортозависимой по отдельным видам животноводческой продукции, в частности, по мясу птицы, сырам, творогу и колбасным изделиям.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животноводство представлено 11 подотраслями: мясное и молочное скотоводство, овцеводство, козоводство, коневодство, верблюдоводство, птицеводство, свиноводство, мараловодство, пчеловодство и кролиководство.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мясном скотоводстве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сформировано прочное племенное ядро, значительная часть которого создана благодаря импорту высококачественного племенного крупного рогатого скота в рамках программы "Сыбаға", действовавшей до 2020 года. В стране сформировалась сеть современных откормочных площадок, отвечающих мировым стандартам, что стало важным шагом на пути к повышению эффективности отрасли.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все еще отмечается низкая продуктивность мясного скотоводства. Так, например, средние суточные привесы бычков составляют порядка 600-800 грамм/сутки, тогда как мировой стандарт составляет в среднем по бычкам 1800-2000 грамм/сутки.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молочном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продолжается активное строительство современных молочно-товарных ферм. Реализуемая программа с гибкой залоговой политикой обеспечивает доступность кредитных ресурсов. Благодаря льготному кредитованию и механизму субсидирования срок окупаемости проектов снижается с 15-17 до 12 лет.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начала реализации данной программы введено в эксплуатацию свыше 100 таких ферм. При этом в Российской Федерации за последние 5 лет введено более 900 молочных комплексов, в Республике Беларусь действует около 3 тысяч молочно-товарных ферм, из которых 1 683 – современные, что составляет 56 % от общего количества.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Среднегодовой надой на одну фуражную корову в молочно-товарных фермах составляет 5 700 литров, а на передовых – в среднем доходит до 10 000 литров, что соответствует уровню ведущих молочных стран Европы.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Овцеводство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/>
          <w:i w:val="false"/>
          <w:color w:val="000000"/>
          <w:sz w:val="28"/>
        </w:rPr>
        <w:t>козоводство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играют стратегическую роль, особенно в южных и западных регионах. Поголовье мелкого рогатого скота восстанавливается и достигло 20,2 млн голов. Растет интерес к экспорту баранины. Вместе с тем отрасль сталкивается с проблемами низкой продуктивности и недостаточной развитостью инфраструктуры. Так, средние суточные привесы баранчиков составляют 150-200 грамм/сутки, при мировом стандарте – 350-500 грамм/сутки.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сохраняет уникальные традиции </w:t>
      </w:r>
      <w:r>
        <w:rPr>
          <w:rFonts w:ascii="Times New Roman"/>
          <w:b/>
          <w:i w:val="false"/>
          <w:color w:val="000000"/>
          <w:sz w:val="28"/>
        </w:rPr>
        <w:t>коневодства.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Наблюдается устойчивый рост поголовья лошадей: если в 1990 году их количество составляло 1,6 млн голов, то на сегодняшний день достигло 4,4 млн голов. Также растет спрос на конину, кумыс и сублимированное кобылье молоко как на внутреннем рынке, так и за рубежом. Однако в целом сектор остается преимущественно экстенсивным и испытывает нехватку современных технологий.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Верблюдоводство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традиционно сосредоточено в западных и южных областях. На сегодняшний день численность поголовья верблюдов составляет порядка 300 тысяч голов. Продукция – шубат, сублимированное верблюжье молоко и мясо пользуются спросом, однако объемы производства пока остаются ограниченными и нестабильными.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Птицеводство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занимает особое место среди подотраслей животноводства, демонстрируя высокие темпы развития и обеспечивая значительную долю потребления мяса и яиц на внутреннем рынке. Благодаря реализации ряда инвестиционных проектов за последние пять лет уровень самообеспеченности мясом птицы вырос с 58 % до 79 %.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пищевому яйцу Казахстан достиг полной независимости от импорта.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по-прежнему имеется высокая зависимость от ввоза инкубационных яиц, родительских стад и кормовых добавок, что сдерживает дальнейший рост и технологическое обновление.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Свиноводство </w:t>
      </w:r>
      <w:r>
        <w:rPr>
          <w:rFonts w:ascii="Times New Roman"/>
          <w:b w:val="false"/>
          <w:i w:val="false"/>
          <w:color w:val="000000"/>
          <w:sz w:val="28"/>
        </w:rPr>
        <w:t>обладает существенным потенциалом для наращивания экспортных поставок. Существующие хозяйства оснащены современным оборудованием и демонстрируют высокие производственные показатели. Вместе с тем их количество остается ограниченным, а племенная база формируется преимущественно за счет импортной генетики. Для устойчивого развития отрасли необходимо создание специализированных генетических центров, способных обеспечивать отечественные хозяйства качественным племенным материалом.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Мараловодство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узкоспециализированная, но перспективная подотрасль, сосредоточенная в Восточно-Казахстанской и Павлодарской областях. Казахстанская пантовая продукция в связи с развитием туризма востребована как на внутреннем рынке, так и на международных рынках и обладает высоким экспортным потенциалом.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Благоприятные природно-климатические условия создают широкие возможности для развития </w:t>
      </w:r>
      <w:r>
        <w:rPr>
          <w:rFonts w:ascii="Times New Roman"/>
          <w:b/>
          <w:i w:val="false"/>
          <w:color w:val="000000"/>
          <w:sz w:val="28"/>
        </w:rPr>
        <w:t>пчеловодства.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Годовое производство меда достигает 5 тысяч тонн, формируя предпосылки для активного выхода на экспорт. Однако большинство пасек представлено небольшими хозяйствами, не интегрированными в производственно-сбытовые цепочки, что ограничивает масштабирование отрасли и внедрение современных технологий.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Кролиководство </w:t>
      </w:r>
      <w:r>
        <w:rPr>
          <w:rFonts w:ascii="Times New Roman"/>
          <w:b w:val="false"/>
          <w:i w:val="false"/>
          <w:color w:val="000000"/>
          <w:sz w:val="28"/>
        </w:rPr>
        <w:t>находится на стадии зарождения и представлено единичными мелкими хозяйствами. Между тем эта подотрасль отличается высокой скороспелостью, рентабельностью и низкими производственными затратами, что делает ее одной из наиболее перспективных при условии комплексной поддержки и привлечения инвестиций, в том числе на создание цехов по переработке продукции кролиководства.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всех подотраслей животноводства характерны недостаток оборотных средств и сложности с доступом к кредитным ресурсам. Это в свою очередь отражается на конкурентной себестоимости производства животноводческой продукции. Решением этих проблем является запуск льготных кредитных программ на пополнение оборотных средств для закупа кормов, поголовья, горюче-смазочных материалов, ветеринарных препаратов и сопутствующих расходов.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породного и продуктивного качества, а также наращивания племенного поголовья сельскохозяйственных животных необходимо внедрить льготное кредитование на приобретение племенного скота как внутри страны, так и за рубежом. Так, например, за счет завоза численность племенного поголовья крупного рогатого скота достигла 927,8 тысяч голов, при этом удельный весь доведен до 11 %, тогда как в 2011 году 344,1 тысяч голов или 5,6 % от общего поголовья. При этом в целях сохранения отечественного генофонда будут приняты меры по дальнейшему развитию отечественных пород скота, в том числе казахской белоголовой и аулиекольской пород крупного рогатого скота. Будет усилена селекционная и племенная работа по отечественным породам, в том числе за счет расширения участия научных организаций в сопровождении селекционных программ, внедрения механизмов стимулирования хозяйств, занимающихся целенаправленным разведением отечественных пород скота, и усиления государственного контроля за проведением селекционных и племенных мероприятий.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Параллельно с этим необходимо внедрять современные технологии воспроизводства животных, такие как искусственное осеменение с использованием однополого семени и эмбриональное разведение.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Благодаря принятым мерам в растениеводстве сегодня в стране решен вопрос с кормами: на рынке достаточно доступного фуражного зерна. Однако остается острой проблема пастбищного кормопроизводства: значительная часть пастбищ деградирована (27 млн га) и не используется эффективно. В этой части будет усилена работа по восстановлению пастбищ через проведение мероприятий по коренному улучшению пастбищных угодий в рамках программы 066 ("Проведение мероприятий по борьбе с деградацией и опустыниванием пастбищ").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рамках задачи, поставленной Главой государства, по внедрению системы производственного цикла в мясном скотоводстве с упором на рациональное и ротационное использование пастбищ будет использован потенциал отгонного животноводства. Для реализации данной задачи необходимо финансирование проектов отгонного животноводства, направленных на обеспечение пастбищной инфраструктуры, через единый кредитный продукт по льготным ставкам.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отрасли техникой необходимо внедрение нового кредитного/лизингового продукта на приобретение кормозаготовительной техники и оборудования.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реализация вышеуказанных программ кредитования невозможна без решения вопросов залогового обеспечения. Необходимо внедрение механизма гарантирования с уровнем покрытия до 85 %, который позволит существенно расширить доступ фермеров к финансированию, повысить обновляемость поголовья и ускорить модернизацию животноводческого сектора.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ключевых факторов, сдерживающих развитие животноводства, остается недостаточная привлекательность этой отрасли для работников. Животноводство – круглогодичное производство, требующее постоянного присутствия. Наряду с обеспечением инфраструктуры на селе важен вопрос создания социальных условий, прежде всего для чабанов и пастухов, так как наблюдается нехватка данной категории работников.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отрасль сталкивается с вопросами нехватки кадров. Есть необходимость подготовки узкоспециализированных специалистов, ориентированных на конкретные производственные процессы в животноводстве. Сегодня большинство образовательных программ остается слишком общим, не обеспечивая знаний и навыков, необходимых для современных технологий содержания, воспроизводства и кормления животных. Формирование программ узкой специализации и дуальная подготовка на базе реальных производств позволят закрыть кадровый дефицит в отрасли.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Параллельно требуется усилить системную работу по научному сопровождению отрасли. На сегодняшний день научные исследования ведутся разрозненно и не всегда отвечают реальным запросам производства. Для эффективного развития животноводства научные исследования должны быть тесно интегрированы с потребностями производства: темы исследований – формироваться на основе реальных проблем хозяйств, экспериментальная база – развиваться совместно с предприятиями, а результаты – внедряться в практику.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вышеуказанных мер станет ключевым фактором устойчивого роста производства животноводческой продукции, импортозамещения и увеличения экспортного потенциала Казахстана.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план развития животноводства в Республике Казахстан на 2026 – 2030 годы (далее – Комплексный план)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поручения Главы государства, данного в Послании народу Казахстана от 8 сентября 2025 года "Казахстан в эпоху искусственного интеллекта: актуальные задачи и их решения через цифровую трансформацию"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– 2030 годы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государственного органа-разработчика и соисполнителей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МВРИ, МКИ, МП, МО, МТСЗН, МНВО, МПС, МИИЦР, МЭПР, МТИ, МТ, МИО, АЦЭП, НАО "НАНОЦ", РП, АО "НИХ "Байтерек", АО "Продкорпорация", АО "АКК", АО "КАФ", НПП "Атамекен", БВУ, СПК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необходимости принятия Комплексного плана с указанием основных проблем и задач по их решению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принятия Комплексного плана обусловлена сохраняющейся импортозависимостью по отдельным видам животноводческой продукции, низкой продуктивностью сельскохозяйственных животных по сравнению с мировыми стандартами, наличием значительного потенциала по увеличению численности поголовья сельскохозяйственных животных и экспорта продукции животноводства. Реализация Комплексного плана позволит полностью обеспечить внутренний рынок животноводческой продукцией и укрепить экспортный потенциал.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численности поголовья КРС с 7,9 до 12 млн голов, МРС с 20,2 до 28 млн голов, лошадей с 4,8 до 7,0 млн голов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Комплексному плану).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производства мяса всех видов сельскохозяйственных животных с 1,2 до 1,8 млн тонн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Комплексному плану).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производства молока в сельхозформированиях с 1,4 до 2,1 млн тонн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Комплексному плану).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Увеличение объемов экспорта мяса в 2 раза с 82 до 165 тысяч тонн.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 стимулированию увеличения поголовья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Субсидирование и кредитование в области животноводства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субсидирования развития племенного животноводства, повышения продуктивности и качества продукции животноводства в рамках действующих Правил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норматива на удешевление стоимости приобретения однополого семени до 18 тысяч тенге и эмбрионов крупного рогатого скота до 120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МИО,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механизма субсидирования удешевления стоимости производства молока сельскохозяйственными производственными кооперативами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льготного кредитования на пополнение оборотных средств под 5 % годовых с расширением направлений животноводства, в том числе для животноводческих хозяйств (КРС, МРС, птицеводство, коневодство, верблюдоводство, свиноводство, пчеловодство, кролиководство и мараловодство)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кредитные договоры с субъектами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МНЭ, МФ, МИО, АО "НИХ "Байтерек"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 год – 250 000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год – 250 000 млн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средства БВУ и финансовых институтов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нового кредитного продукта под 6 % годовых на приобретение высокопродуктивного поголовья сельскохозяйственных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кредитные договоры с субъектами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МИО, АО "НИХ "Байтерек"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260 000 млн тенге;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год – 300 000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 год – 300 000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 год – 300 000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средства БВУ и финансовых институтов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лизингового продукта под 5 % годовых на приобретение кормозаготовительной техники и оборудования, в том числе самоходных и прицепных кормораздатчиков, а также мобильных/модульных кормоцехов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договоры лизинга с субъектами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МИО, АО "НИХ "Байтерек"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50 000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50 000 млн тенге; 2028 год – 50 000 млн тенге; 2029 год – 50 000 млн тенге; 2030 год – 50 000 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средства БВУ и финансовых институтов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единого кредитного продукта под 6 % годовых, направленного на финансирование проектов мясного животноводства, в том числе для обеспечения пастбищной инфраструктуры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кредитные договоры с субъектами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МИО, АО "НИХ "Байтерек"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50 000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50 000 млн тенге; 2028 год – 50 000 млн тенге; 2029 год – 50 000 млн тенге; 2030 год – 50 000 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средства БВУ и финансовых институтов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гарантирования кредитов на финансирование: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проектов отгонного животноводства;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приобретения племенного поголовья сельскохозяйственных животных;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пополнения оборотных средств на животноводство через АО "Фонд развития предпринимательства "ДАМУ" с уровнем покрытия до 85 %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договоры о гарантировании с субъектами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МИО, АО "НИХ "Байтерек"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40 300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40 300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40 300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40 300 млн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инвестиционных проектов в животноводстве в рамках программы льготного кредитования проектов в сфере агропромышленного комплекса под 2,5 % годовых (через СПК)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инвестиционных проектов в животноводстве посредством финансирования через АО "АКК" и БВУ в рамках заказа на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МИО, БВУ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проектов по животноводству в рамках программы "Ауыл аманаты"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кредитные договоры с субъектами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Развитие племенного дела и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законодательной базы племенного животноводства в части усиления государственного контроля за селекционной и племенной работой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НАО "НАНОЦ" (по согласованию),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переход к современным методам оценки племенной ценности (индексная оценка) в овцеводстве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НАО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"НАНОЦ"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технологии геномного анализа для прогноза оценки племенных качеств КРС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 (по согласованию),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субсидирования затрат на проведение геномного анализа КРС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выведению новых селекционных достижений в скотоводстве и овцеводстве, адаптированных к погодным условиям Казахстана, с улучшенными продуктивными качествами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МСХ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 (по согласованию),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цифровой платформы ИБСПР с расширенным функционалом учета проводимой селекционной и племенной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документация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МИИЦР,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АЦЭП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Научное обеспечение отрасли животноводства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в каждой области учебных центров в формате государственно-частного партнерства на базе действующих передовых животноводческих хозяйств с обеспечением научного материала по направлениям: молочно-товарная ферма, репродуктор, откормочные площадки, кормопроизводство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 (по согласованию),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безвозмездных семинаров и вебинаров для субъектов АПК по распространению знаний во всех отраслях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до 25 декабря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средств, предусмотренных в рамках подпрограммы 101 программы 267 "Повышение доступности знаний и научных исследований"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инновационных технологий в селекции животноводства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средств, предусмотренных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019 "Услуги по распространению и внедрению инновационного опыта"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плана селекционной и племенной работы по каждой породе КРС, овец и лошадей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(по согласованию),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подготовки в аграрных высших учебных заведениях специалистов по направлению "Животноводство", в том числе рассмотрение вопроса выведения образовательной программы "Зоотехния"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НАО "НАНОЦ"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Создание прочной кормовой базы и пастбищной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посевных площадей в сторону увеличения посевов кормовых культур согласно приложению 4 к Комплексному плану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карт водообеспеченности подземными водами в разрезе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возмещения при приобретении семян кормовых культур на 20 %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 сельскохозяйственный оборот орошаемых земель под кормовые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МВРИ,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в рамках программы инвестиционного субсидирования новых механизмов стимулирования на создание предприятий по производству премиксов и кормовых добавок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оборот новых площадей пастбищ за счет их обводнения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Коренное улучшение пастбищных угодий вокруг сельских населенных пунктов путем выделения средств в рамках программы 066 "Проведение мероприятий по борьбе с деградацией и опустыниванием пастбищ"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внесения в договоры аренды земель обязательной нормы по недопущению деградации пастбищных угодий и ежегодному проведению коренного (не менее 1 % общей площади пастбищ) и поверхностного (не менее 5 % общей площади пастбищ) улучшения пастбищ землепользователями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крупных землепользователей, занимающихся растениеводством, в животноводство путем включения требований для землепользователей, имеющих пахотные угодья свыше 10 тысяч га, но не занимающихся животноводством, по использованию не менее 15 % посевных площадей под кормовые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Меры по повышению привлекательности отрасли животноводства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квотирования государственного образовательного заказа по направлению "Животноводство":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обязательной отработкой в течение 3-х лет на сельхозпредприятии;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определением ответственности МИО по трудоустройству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МСХ, МИО,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организации пилотного проекта совместно с университетами, работодателями и колледжами в организациях среднего образования Акмолинской, Северо-Казахстанской и Костанайской областей по ранней профориентации обучающихся на аграрные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Аппарат Правительства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МСХ, НАО "НАНОЦ" (по согласованию),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требований к материальной базе ВУЗов, занимающихся подготовкой кадров в области животноводства и ветеринарии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января,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НАО "НАНОЦ" (по согласованию),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узкопрофильных ветеринарных специалистов в магистратуре, в том числе путем перераспределения выделенных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МНВО, НАО "НАНОЦ"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мер государственной поддержки работодателей, построивших арендное жилище в селе, поселке, сельском округе для специалистов в животноводстве, в части установления норматива на уровне 50 % от стоимости строительства с учетом расходов на строительство и разработку проектно-сметной документации с установлением лимита по максимальной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распространению субсидирования рабочих мест на пастухов и чабанов, при необходимости внесение изменений в нормативные правовые 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МСХ, МНЭ,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обеспечения социальной защищенности включение профессий чабанов и пастухов в отгонном животноводстве в перечень работников, занятых на работах с вредными условиями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МСХ,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 части исчисления льготного стажа пастухов и чабанов в отгонном животноводстве при формировании стажа во вредных условиях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престижа профессии чабана, пастуха, скотника, доярки, телятницы, сакманщицы и птичницы через медиа, образование и культуру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2026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МКИ, МТСЗН,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 части пересмотра отнесения категории животноводческих объектов, оказывающих негативное воздействие на окружающую среду, в сторону увеличения порогового значения по количеству поголовья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МЭПР,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Развитие ветеринарной безопасности и расширение экспортных рынков животноводческой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ветеринарными объектами местных исполнительных органов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приобретение ветеринарных станции;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приобретение ветеринарных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приобретение скотомогильников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36 382 млн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29 818 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сибиреязвенных захоронений в соответствие с ветеринарно-санитарными требованиями, включая установку бетонных ограждений, указательных табличек и другое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имеющихся бюджетных средств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вывоза живых племенных сельскохозяйственных животных и продукции животноводства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и ветеринарные сертификаты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информационной базы в области ветеринарии: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модернизация цифровых решений с созданием единой платформы;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интеграция с информационной системой Комитета государственных доходов Министерства финансов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разработка и внедрение информационной системы по контролю за обращением ветеринарных препаратов с целью прослеживаемости ветеринарных препаратов от производства, реализации, использования и утилизации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МИИЦР,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АЦЭП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рынке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объектов общественного питания к модулю "Ветеринарно-санитарная экспертиза" с целью прослеживаемости животноводческой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МП, МНВО,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МНЭ, МЦИИР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в области ветеринарии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специалистам в области ветеринарии и обеспечение их специализированной одеждой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год – 23 878,2 млн тенге;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22 588,7 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Развитие рынков и внедрение компенсаторных механизмов для внутреннего рынка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обязательства для экспортеров говядины по поставкам не менее 15 % от экспортных объемов на внутренний рынок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МТИ, 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новых рынков и включение в реестр отечественных товаропроизводителей казахстанских предприятий для осуществления экспорта животноводческой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МПС, 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Внедрение современных технологий в животноводстве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применения RFID бирок (чипов и ошейников) для цифрового учета и прослеживаемости сельскохозяйственных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электропастуха для ограждения пастбищ, а также использования БПЛА для мониторинга скота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искусственного интеллекта для прогнозирования продуктивности и управления стадом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"Продкорпорация" – акционерное общество "Национальная компания "Продовольственная контрактная корпорация"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агропромышленный комплекс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НПП "Атамекен" – Национальная палата предпринимателей Республики Казахстан "Атамекен" 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"АКК" – акционерное общество "Аграрная кредитная корпорация"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социально-предпринимательские корпорации местных исполнительных регионов областей, городов республиканского значения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"НИХ "Байтерек" – акционерное общество "Национальный инвестиционный холдинг "Байтерек"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– банки второго уровня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– Министерство искусственного интеллекта и цифрового развития Республики Казахстан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"КАФ" - акционерное общество "Казагрофинанс"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- Министерство транспорта Республики Казахстан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БПЛА – беспилотный летательный аппарат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 – республиканские палаты по племенному животноводству, созданные в рамках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№ 278 "О племенном животноводстве"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– информационная база селекционной и племенной работы (автоматизированная система сбора, накопления и обработки данных о племенных животных и животных, вовлеченных в селекционный процесс, используемая для совершенствования и повышения генетического потенциала животных, а также учета племенной продукции (материала), сопровождаемая оператором, определенным уполномоченным органом)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"НАНОЦ" - некоммерческое акционерное общество "Национальный аграрный научно-образовательный центр"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– мелкий рогатый скот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крупный рогатый скот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АЦЭП – товарищество с ограниченной ответственностью "Аналитический центр экономической политики в агропромышленном комплексе"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RFID - Radio Frequency Identification (способ автоматической идентификации животных с помощью радиосигналов, основанный на взаимодействии между меткой (тегом) и специальным считывателем).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Комплексному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2026 – 2030 годы</w:t>
            </w:r>
          </w:p>
        </w:tc>
      </w:tr>
    </w:tbl>
    <w:bookmarkStart w:name="z16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крупного рогатого скота, тысяч голов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мелкого рогатого скота, тысяч голов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лошадей, тысяч голов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</w:tbl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Комплексному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2026 – 2030 годы</w:t>
            </w:r>
          </w:p>
        </w:tc>
      </w:tr>
    </w:tbl>
    <w:bookmarkStart w:name="z16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производства мяса всех видов сельскохозяйственных животных, тысяч тонн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1 800,4</w:t>
            </w:r>
          </w:p>
        </w:tc>
      </w:tr>
    </w:tbl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Комплексному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2026 – 2030 годы</w:t>
            </w:r>
          </w:p>
        </w:tc>
      </w:tr>
    </w:tbl>
    <w:bookmarkStart w:name="z16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производства молока в сельскохозяйственных формированиях, тысяч тонн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</w:tbl>
    <w:bookmarkStart w:name="z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Комплексному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2026 – 2030 годы </w:t>
            </w:r>
          </w:p>
        </w:tc>
      </w:tr>
    </w:tbl>
    <w:bookmarkStart w:name="z17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Расширение посевных площадей под кормовые культуры, тысяч га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</w:tbl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