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7476" w14:textId="24c7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Талдыкоргана области Жетісу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2025 года № 1213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"Об архитектурной, градостроительной и строительной деятельности в Республике Казахстан" и в целях обеспечения комплексного развития города Талдыкоргана области Жетісу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проект </w:t>
      </w:r>
      <w:r>
        <w:rPr>
          <w:rFonts w:ascii="Times New Roman"/>
          <w:b w:val="false"/>
          <w:i w:val="false"/>
          <w:color w:val="000000"/>
          <w:sz w:val="28"/>
        </w:rPr>
        <w:t>Генерального плана</w:t>
      </w:r>
      <w:r>
        <w:rPr>
          <w:rFonts w:ascii="Times New Roman"/>
          <w:b w:val="false"/>
          <w:i w:val="false"/>
          <w:color w:val="000000"/>
          <w:sz w:val="28"/>
        </w:rPr>
        <w:t xml:space="preserve"> города Талдыкоргана области Жетісу (включая основные положения), одобренный маслихатами области Жетісу и города Талдыкоргана.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сентября 2017 года № 568 "О генеральном плане города Талдыкорган Алматинской области (включая основные положения)".</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1213</w:t>
            </w:r>
          </w:p>
        </w:tc>
      </w:tr>
    </w:tbl>
    <w:bookmarkStart w:name="z10" w:id="4"/>
    <w:p>
      <w:pPr>
        <w:spacing w:after="0"/>
        <w:ind w:left="0"/>
        <w:jc w:val="left"/>
      </w:pPr>
      <w:r>
        <w:rPr>
          <w:rFonts w:ascii="Times New Roman"/>
          <w:b/>
          <w:i w:val="false"/>
          <w:color w:val="000000"/>
        </w:rPr>
        <w:t xml:space="preserve"> Генеральный план города Талдыкоргана области Жетісу (включая основные положения)</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Генеральный план города Талдыкоргана области Жетісу (далее – Генеральный план) является основополагающим градостроительным документом, разрабатываемым в соответствии с утвержденной генеральной схемой организации территории Республики Казахстан.</w:t>
      </w:r>
    </w:p>
    <w:bookmarkEnd w:id="6"/>
    <w:bookmarkStart w:name="z13" w:id="7"/>
    <w:p>
      <w:pPr>
        <w:spacing w:after="0"/>
        <w:ind w:left="0"/>
        <w:jc w:val="both"/>
      </w:pPr>
      <w:r>
        <w:rPr>
          <w:rFonts w:ascii="Times New Roman"/>
          <w:b w:val="false"/>
          <w:i w:val="false"/>
          <w:color w:val="000000"/>
          <w:sz w:val="28"/>
        </w:rPr>
        <w:t xml:space="preserve">
      Генеральный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другими законодательными актами и нормативными документами Республики Казахстан, относящимися к сфере градостроительного проектирования.</w:t>
      </w:r>
    </w:p>
    <w:bookmarkEnd w:id="7"/>
    <w:bookmarkStart w:name="z14" w:id="8"/>
    <w:p>
      <w:pPr>
        <w:spacing w:after="0"/>
        <w:ind w:left="0"/>
        <w:jc w:val="left"/>
      </w:pPr>
      <w:r>
        <w:rPr>
          <w:rFonts w:ascii="Times New Roman"/>
          <w:b/>
          <w:i w:val="false"/>
          <w:color w:val="000000"/>
        </w:rPr>
        <w:t xml:space="preserve"> Глава 2. Назначение Генерального плана</w:t>
      </w:r>
    </w:p>
    <w:bookmarkEnd w:id="8"/>
    <w:bookmarkStart w:name="z15" w:id="9"/>
    <w:p>
      <w:pPr>
        <w:spacing w:after="0"/>
        <w:ind w:left="0"/>
        <w:jc w:val="both"/>
      </w:pPr>
      <w:r>
        <w:rPr>
          <w:rFonts w:ascii="Times New Roman"/>
          <w:b w:val="false"/>
          <w:i w:val="false"/>
          <w:color w:val="000000"/>
          <w:sz w:val="28"/>
        </w:rPr>
        <w:t>
      Генеральный план определяет стратегию комплексного градостроительного развития городской территории, направления оптимальной планировочной структуры и функциональное ограничение на использование территорий этих зон, принципы охраны окружающей среды, развития системы общественного обслуживания, транспортной и инженерной инфраструктур; долгосрочное планирование инвестиционных процессов на проектируемой территории, организацию транспортного обслуживания, развития системы инженерного оборудования, инженерной подготовки и благоустройства территории, охраны окружающей среды и объектов историко-культурного наследия.</w:t>
      </w:r>
    </w:p>
    <w:bookmarkEnd w:id="9"/>
    <w:bookmarkStart w:name="z16" w:id="10"/>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10"/>
    <w:bookmarkStart w:name="z17" w:id="11"/>
    <w:p>
      <w:pPr>
        <w:spacing w:after="0"/>
        <w:ind w:left="0"/>
        <w:jc w:val="both"/>
      </w:pPr>
      <w:r>
        <w:rPr>
          <w:rFonts w:ascii="Times New Roman"/>
          <w:b w:val="false"/>
          <w:i w:val="false"/>
          <w:color w:val="000000"/>
          <w:sz w:val="28"/>
        </w:rPr>
        <w:t>
      исходный год – 2024 год;</w:t>
      </w:r>
    </w:p>
    <w:bookmarkEnd w:id="11"/>
    <w:bookmarkStart w:name="z18" w:id="12"/>
    <w:p>
      <w:pPr>
        <w:spacing w:after="0"/>
        <w:ind w:left="0"/>
        <w:jc w:val="both"/>
      </w:pPr>
      <w:r>
        <w:rPr>
          <w:rFonts w:ascii="Times New Roman"/>
          <w:b w:val="false"/>
          <w:i w:val="false"/>
          <w:color w:val="000000"/>
          <w:sz w:val="28"/>
        </w:rPr>
        <w:t>
      первая очередь – 2032 год;</w:t>
      </w:r>
    </w:p>
    <w:bookmarkEnd w:id="12"/>
    <w:bookmarkStart w:name="z19" w:id="13"/>
    <w:p>
      <w:pPr>
        <w:spacing w:after="0"/>
        <w:ind w:left="0"/>
        <w:jc w:val="both"/>
      </w:pPr>
      <w:r>
        <w:rPr>
          <w:rFonts w:ascii="Times New Roman"/>
          <w:b w:val="false"/>
          <w:i w:val="false"/>
          <w:color w:val="000000"/>
          <w:sz w:val="28"/>
        </w:rPr>
        <w:t>
      расчетный срок – 2050 год.</w:t>
      </w:r>
    </w:p>
    <w:bookmarkEnd w:id="13"/>
    <w:bookmarkStart w:name="z20" w:id="14"/>
    <w:p>
      <w:pPr>
        <w:spacing w:after="0"/>
        <w:ind w:left="0"/>
        <w:jc w:val="both"/>
      </w:pPr>
      <w:r>
        <w:rPr>
          <w:rFonts w:ascii="Times New Roman"/>
          <w:b w:val="false"/>
          <w:i w:val="false"/>
          <w:color w:val="000000"/>
          <w:sz w:val="28"/>
        </w:rPr>
        <w:t>
      Генеральный план разработан товариществом с ограниченной ответственностью "АТС ГРАД" на основе авторской топографической съемки в масштабе 1:10000.</w:t>
      </w:r>
    </w:p>
    <w:bookmarkEnd w:id="14"/>
    <w:bookmarkStart w:name="z21" w:id="15"/>
    <w:p>
      <w:pPr>
        <w:spacing w:after="0"/>
        <w:ind w:left="0"/>
        <w:jc w:val="both"/>
      </w:pPr>
      <w:r>
        <w:rPr>
          <w:rFonts w:ascii="Times New Roman"/>
          <w:b w:val="false"/>
          <w:i w:val="false"/>
          <w:color w:val="000000"/>
          <w:sz w:val="28"/>
        </w:rPr>
        <w:t>
      Основные цели Генерального плана – устойчивое развитие города и формирование благоприятной среды жизнедеятельности для настоящего населения и будущих поколений, основанной на развитии современного города с учетом комплексного решения социальных, экономических, экологических, пространственных, градостроительных задач и особенностей современных тенденций развития.</w:t>
      </w:r>
    </w:p>
    <w:bookmarkEnd w:id="15"/>
    <w:bookmarkStart w:name="z22" w:id="16"/>
    <w:p>
      <w:pPr>
        <w:spacing w:after="0"/>
        <w:ind w:left="0"/>
        <w:jc w:val="both"/>
      </w:pPr>
      <w:r>
        <w:rPr>
          <w:rFonts w:ascii="Times New Roman"/>
          <w:b w:val="false"/>
          <w:i w:val="false"/>
          <w:color w:val="000000"/>
          <w:sz w:val="28"/>
        </w:rPr>
        <w:t>
      Основными задачами, нашедшими свои решения в Генеральном плане, являются:</w:t>
      </w:r>
    </w:p>
    <w:bookmarkEnd w:id="16"/>
    <w:bookmarkStart w:name="z23" w:id="17"/>
    <w:p>
      <w:pPr>
        <w:spacing w:after="0"/>
        <w:ind w:left="0"/>
        <w:jc w:val="both"/>
      </w:pPr>
      <w:r>
        <w:rPr>
          <w:rFonts w:ascii="Times New Roman"/>
          <w:b w:val="false"/>
          <w:i w:val="false"/>
          <w:color w:val="000000"/>
          <w:sz w:val="28"/>
        </w:rPr>
        <w:t>
      1) соблюдение преемственности идей предыдущего Генерального плана;</w:t>
      </w:r>
    </w:p>
    <w:bookmarkEnd w:id="17"/>
    <w:bookmarkStart w:name="z24" w:id="18"/>
    <w:p>
      <w:pPr>
        <w:spacing w:after="0"/>
        <w:ind w:left="0"/>
        <w:jc w:val="both"/>
      </w:pPr>
      <w:r>
        <w:rPr>
          <w:rFonts w:ascii="Times New Roman"/>
          <w:b w:val="false"/>
          <w:i w:val="false"/>
          <w:color w:val="000000"/>
          <w:sz w:val="28"/>
        </w:rPr>
        <w:t>
      2) усовершенствование существующей архитектурно-планировочной структуры города с максимальным сохранением капитальной и исторической застройки;</w:t>
      </w:r>
    </w:p>
    <w:bookmarkEnd w:id="18"/>
    <w:bookmarkStart w:name="z25" w:id="19"/>
    <w:p>
      <w:pPr>
        <w:spacing w:after="0"/>
        <w:ind w:left="0"/>
        <w:jc w:val="both"/>
      </w:pPr>
      <w:r>
        <w:rPr>
          <w:rFonts w:ascii="Times New Roman"/>
          <w:b w:val="false"/>
          <w:i w:val="false"/>
          <w:color w:val="000000"/>
          <w:sz w:val="28"/>
        </w:rPr>
        <w:t>
      3) улучшение жизнедеятельности и среды обитания населения города;</w:t>
      </w:r>
    </w:p>
    <w:bookmarkEnd w:id="19"/>
    <w:bookmarkStart w:name="z26" w:id="20"/>
    <w:p>
      <w:pPr>
        <w:spacing w:after="0"/>
        <w:ind w:left="0"/>
        <w:jc w:val="both"/>
      </w:pPr>
      <w:r>
        <w:rPr>
          <w:rFonts w:ascii="Times New Roman"/>
          <w:b w:val="false"/>
          <w:i w:val="false"/>
          <w:color w:val="000000"/>
          <w:sz w:val="28"/>
        </w:rPr>
        <w:t>
      4) размещение нового жилищного строительства на свободных территориях с одновременным формированием элементов жилой среды;</w:t>
      </w:r>
    </w:p>
    <w:bookmarkEnd w:id="20"/>
    <w:bookmarkStart w:name="z27" w:id="21"/>
    <w:p>
      <w:pPr>
        <w:spacing w:after="0"/>
        <w:ind w:left="0"/>
        <w:jc w:val="both"/>
      </w:pPr>
      <w:r>
        <w:rPr>
          <w:rFonts w:ascii="Times New Roman"/>
          <w:b w:val="false"/>
          <w:i w:val="false"/>
          <w:color w:val="000000"/>
          <w:sz w:val="28"/>
        </w:rPr>
        <w:t>
      5) реконструкция ветхого малоэтажного жилья в центральной части города до расчетного срока под среднеэтажную застройку;</w:t>
      </w:r>
    </w:p>
    <w:bookmarkEnd w:id="21"/>
    <w:bookmarkStart w:name="z28" w:id="22"/>
    <w:p>
      <w:pPr>
        <w:spacing w:after="0"/>
        <w:ind w:left="0"/>
        <w:jc w:val="both"/>
      </w:pPr>
      <w:r>
        <w:rPr>
          <w:rFonts w:ascii="Times New Roman"/>
          <w:b w:val="false"/>
          <w:i w:val="false"/>
          <w:color w:val="000000"/>
          <w:sz w:val="28"/>
        </w:rPr>
        <w:t>
      6) продолжение развития городской системы общественных центров с развитием всех видов культурно-бытового обслуживания населения;</w:t>
      </w:r>
    </w:p>
    <w:bookmarkEnd w:id="22"/>
    <w:bookmarkStart w:name="z29" w:id="23"/>
    <w:p>
      <w:pPr>
        <w:spacing w:after="0"/>
        <w:ind w:left="0"/>
        <w:jc w:val="both"/>
      </w:pPr>
      <w:r>
        <w:rPr>
          <w:rFonts w:ascii="Times New Roman"/>
          <w:b w:val="false"/>
          <w:i w:val="false"/>
          <w:color w:val="000000"/>
          <w:sz w:val="28"/>
        </w:rPr>
        <w:t>
      7) создание единой системы озеленения: рекреационные зоны, парки, бульвары, скверы, озеленение санитарно-защитных зон;</w:t>
      </w:r>
    </w:p>
    <w:bookmarkEnd w:id="23"/>
    <w:bookmarkStart w:name="z30" w:id="24"/>
    <w:p>
      <w:pPr>
        <w:spacing w:after="0"/>
        <w:ind w:left="0"/>
        <w:jc w:val="both"/>
      </w:pPr>
      <w:r>
        <w:rPr>
          <w:rFonts w:ascii="Times New Roman"/>
          <w:b w:val="false"/>
          <w:i w:val="false"/>
          <w:color w:val="000000"/>
          <w:sz w:val="28"/>
        </w:rPr>
        <w:t>
      8) развитие и совершенствование единой транспортной сети города на основе строительства новых городских магистралей, мостов, путепроводов и развития материально-технической базы всех видов транспорта;</w:t>
      </w:r>
    </w:p>
    <w:bookmarkEnd w:id="24"/>
    <w:bookmarkStart w:name="z31" w:id="25"/>
    <w:p>
      <w:pPr>
        <w:spacing w:after="0"/>
        <w:ind w:left="0"/>
        <w:jc w:val="both"/>
      </w:pPr>
      <w:r>
        <w:rPr>
          <w:rFonts w:ascii="Times New Roman"/>
          <w:b w:val="false"/>
          <w:i w:val="false"/>
          <w:color w:val="000000"/>
          <w:sz w:val="28"/>
        </w:rPr>
        <w:t>
      9) развитие, совершенствование и модернизация инженерной инфраструктуры города;</w:t>
      </w:r>
    </w:p>
    <w:bookmarkEnd w:id="25"/>
    <w:bookmarkStart w:name="z32" w:id="26"/>
    <w:p>
      <w:pPr>
        <w:spacing w:after="0"/>
        <w:ind w:left="0"/>
        <w:jc w:val="both"/>
      </w:pPr>
      <w:r>
        <w:rPr>
          <w:rFonts w:ascii="Times New Roman"/>
          <w:b w:val="false"/>
          <w:i w:val="false"/>
          <w:color w:val="000000"/>
          <w:sz w:val="28"/>
        </w:rPr>
        <w:t>
      10) проведение мероприятий по охране и оздоровлению окружающей среды;</w:t>
      </w:r>
    </w:p>
    <w:bookmarkEnd w:id="26"/>
    <w:bookmarkStart w:name="z33" w:id="27"/>
    <w:p>
      <w:pPr>
        <w:spacing w:after="0"/>
        <w:ind w:left="0"/>
        <w:jc w:val="both"/>
      </w:pPr>
      <w:r>
        <w:rPr>
          <w:rFonts w:ascii="Times New Roman"/>
          <w:b w:val="false"/>
          <w:i w:val="false"/>
          <w:color w:val="000000"/>
          <w:sz w:val="28"/>
        </w:rPr>
        <w:t>
      11) охрана памятников истории, культуры и архитектуры;</w:t>
      </w:r>
    </w:p>
    <w:bookmarkEnd w:id="27"/>
    <w:bookmarkStart w:name="z34" w:id="28"/>
    <w:p>
      <w:pPr>
        <w:spacing w:after="0"/>
        <w:ind w:left="0"/>
        <w:jc w:val="both"/>
      </w:pPr>
      <w:r>
        <w:rPr>
          <w:rFonts w:ascii="Times New Roman"/>
          <w:b w:val="false"/>
          <w:i w:val="false"/>
          <w:color w:val="000000"/>
          <w:sz w:val="28"/>
        </w:rPr>
        <w:t>
      12) рациональное использование природных ресурсов, недр и животного мира.</w:t>
      </w:r>
    </w:p>
    <w:bookmarkEnd w:id="28"/>
    <w:bookmarkStart w:name="z35" w:id="29"/>
    <w:p>
      <w:pPr>
        <w:spacing w:after="0"/>
        <w:ind w:left="0"/>
        <w:jc w:val="both"/>
      </w:pPr>
      <w:r>
        <w:rPr>
          <w:rFonts w:ascii="Times New Roman"/>
          <w:b w:val="false"/>
          <w:i w:val="false"/>
          <w:color w:val="000000"/>
          <w:sz w:val="28"/>
        </w:rPr>
        <w:t>
      В соответствии с техническим заданием проект "Генеральный план города Талдыкорган. Корректировка" разработан на проектную территорию площадью 17,57 тысячи га. Указанная территория включает в себя существующую границу города Талдыкорган и фактические перспективные зоны развития городской территории.</w:t>
      </w:r>
    </w:p>
    <w:bookmarkEnd w:id="29"/>
    <w:bookmarkStart w:name="z36" w:id="30"/>
    <w:p>
      <w:pPr>
        <w:spacing w:after="0"/>
        <w:ind w:left="0"/>
        <w:jc w:val="both"/>
      </w:pPr>
      <w:r>
        <w:rPr>
          <w:rFonts w:ascii="Times New Roman"/>
          <w:b w:val="false"/>
          <w:i w:val="false"/>
          <w:color w:val="000000"/>
          <w:sz w:val="28"/>
        </w:rPr>
        <w:t>
      В проекте Генерального плана проработаны территории жилой, общественно-деловой, промышленной, рекреационной зон, а также зоны инженерно-транспортной инфраструктуры, что соответствует планируемой территории развития города на расчетный срок до 2050 года.</w:t>
      </w:r>
    </w:p>
    <w:bookmarkEnd w:id="30"/>
    <w:bookmarkStart w:name="z37" w:id="31"/>
    <w:p>
      <w:pPr>
        <w:spacing w:after="0"/>
        <w:ind w:left="0"/>
        <w:jc w:val="both"/>
      </w:pPr>
      <w:r>
        <w:rPr>
          <w:rFonts w:ascii="Times New Roman"/>
          <w:b w:val="false"/>
          <w:i w:val="false"/>
          <w:color w:val="000000"/>
          <w:sz w:val="28"/>
        </w:rPr>
        <w:t>
      В состав указанной территории не включены сельскохозяйственные угодья административной территории города, неудобные земли, охранные и специальные зоны, водные объекты и другие, поскольку они не являются объектом детальной градостроительной проработки в составе Генерального плана населенного пункта.</w:t>
      </w:r>
    </w:p>
    <w:bookmarkEnd w:id="31"/>
    <w:bookmarkStart w:name="z38" w:id="32"/>
    <w:p>
      <w:pPr>
        <w:spacing w:after="0"/>
        <w:ind w:left="0"/>
        <w:jc w:val="both"/>
      </w:pPr>
      <w:r>
        <w:rPr>
          <w:rFonts w:ascii="Times New Roman"/>
          <w:b w:val="false"/>
          <w:i w:val="false"/>
          <w:color w:val="000000"/>
          <w:sz w:val="28"/>
        </w:rPr>
        <w:t>
      После утверждения вновь разработанного Генерального плана, в соответствии со статьей 108 Земельного кодекса Республики Казахстан администрации города необходимо рассмотреть утверждение границ города и пересмотреть административную подчиненность территории города.</w:t>
      </w:r>
    </w:p>
    <w:bookmarkEnd w:id="32"/>
    <w:bookmarkStart w:name="z39" w:id="33"/>
    <w:p>
      <w:pPr>
        <w:spacing w:after="0"/>
        <w:ind w:left="0"/>
        <w:jc w:val="left"/>
      </w:pPr>
      <w:r>
        <w:rPr>
          <w:rFonts w:ascii="Times New Roman"/>
          <w:b/>
          <w:i w:val="false"/>
          <w:color w:val="000000"/>
        </w:rPr>
        <w:t xml:space="preserve"> Глава 3. Общие сведения</w:t>
      </w:r>
    </w:p>
    <w:bookmarkEnd w:id="33"/>
    <w:bookmarkStart w:name="z40" w:id="34"/>
    <w:p>
      <w:pPr>
        <w:spacing w:after="0"/>
        <w:ind w:left="0"/>
        <w:jc w:val="both"/>
      </w:pPr>
      <w:r>
        <w:rPr>
          <w:rFonts w:ascii="Times New Roman"/>
          <w:b w:val="false"/>
          <w:i w:val="false"/>
          <w:color w:val="000000"/>
          <w:sz w:val="28"/>
        </w:rPr>
        <w:t>
      Город Талдыкорган (далее - город) расположен в юго-восточной части Республики Казахстан и является административным центром области Жетісу.</w:t>
      </w:r>
    </w:p>
    <w:bookmarkEnd w:id="34"/>
    <w:bookmarkStart w:name="z41" w:id="35"/>
    <w:p>
      <w:pPr>
        <w:spacing w:after="0"/>
        <w:ind w:left="0"/>
        <w:jc w:val="both"/>
      </w:pPr>
      <w:r>
        <w:rPr>
          <w:rFonts w:ascii="Times New Roman"/>
          <w:b w:val="false"/>
          <w:i w:val="false"/>
          <w:color w:val="000000"/>
          <w:sz w:val="28"/>
        </w:rPr>
        <w:t>
      Город занимает стратегическое положение на оси важнейших внутренних транспортных направлений: через город проходит автомобильная дорога республиканского значения "Алматы - Өскемен".</w:t>
      </w:r>
    </w:p>
    <w:bookmarkEnd w:id="35"/>
    <w:bookmarkStart w:name="z42" w:id="36"/>
    <w:p>
      <w:pPr>
        <w:spacing w:after="0"/>
        <w:ind w:left="0"/>
        <w:jc w:val="both"/>
      </w:pPr>
      <w:r>
        <w:rPr>
          <w:rFonts w:ascii="Times New Roman"/>
          <w:b w:val="false"/>
          <w:i w:val="false"/>
          <w:color w:val="000000"/>
          <w:sz w:val="28"/>
        </w:rPr>
        <w:t>
      В городе действуют железнодорожная станция и аэропорт, обеспечивающие транспортную связанность города с другими регионами страны. Город осуществляет функции областного центра, направленные на организационное и производственное обеспечение хозяйственной деятельности в рамках области и обеспечение благоприятных социально-экономических условий жизнедеятельности проживающего на этой территории населения.</w:t>
      </w:r>
    </w:p>
    <w:bookmarkEnd w:id="36"/>
    <w:bookmarkStart w:name="z43" w:id="37"/>
    <w:p>
      <w:pPr>
        <w:spacing w:after="0"/>
        <w:ind w:left="0"/>
        <w:jc w:val="left"/>
      </w:pPr>
      <w:r>
        <w:rPr>
          <w:rFonts w:ascii="Times New Roman"/>
          <w:b/>
          <w:i w:val="false"/>
          <w:color w:val="000000"/>
        </w:rPr>
        <w:t xml:space="preserve"> Глава 4. Природно-климатические и инженерно-геологические условия</w:t>
      </w:r>
    </w:p>
    <w:bookmarkEnd w:id="37"/>
    <w:bookmarkStart w:name="z44" w:id="38"/>
    <w:p>
      <w:pPr>
        <w:spacing w:after="0"/>
        <w:ind w:left="0"/>
        <w:jc w:val="both"/>
      </w:pPr>
      <w:r>
        <w:rPr>
          <w:rFonts w:ascii="Times New Roman"/>
          <w:b w:val="false"/>
          <w:i w:val="false"/>
          <w:color w:val="000000"/>
          <w:sz w:val="28"/>
        </w:rPr>
        <w:t>
      В тектоническом отношении большая часть изучаемой территории расположена в пределах внутригорной Талдыкорганской впадины, ограниченной на юге и юго-востоке северо-западными отрогами хребта с Джунгарского Алатау. Здесь имеют распространение низкие ярусы горного рельефа, сформированного на скальных породах палеозоя. Внутригорная впадина выполнена неоген-четвертичными отложениями мощностью порядка 200 метров.</w:t>
      </w:r>
    </w:p>
    <w:bookmarkEnd w:id="38"/>
    <w:bookmarkStart w:name="z45" w:id="39"/>
    <w:p>
      <w:pPr>
        <w:spacing w:after="0"/>
        <w:ind w:left="0"/>
        <w:jc w:val="both"/>
      </w:pPr>
      <w:r>
        <w:rPr>
          <w:rFonts w:ascii="Times New Roman"/>
          <w:b w:val="false"/>
          <w:i w:val="false"/>
          <w:color w:val="000000"/>
          <w:sz w:val="28"/>
        </w:rPr>
        <w:t>
      Климат района резко континентальный с большими суточными и годовыми колебаниями температуры воздуха. Характерной чертой климатических условий города Талдыкоргана является значительная продолжительность теплого периода (со средней суточной температурой выше 00 в предгорной зоне составляет около 8 месяцев). Лето жаркое, зима умеренно холодная, мягкая. Влажные годы нередко сменяются засушливыми периодами с засухой.</w:t>
      </w:r>
    </w:p>
    <w:bookmarkEnd w:id="39"/>
    <w:bookmarkStart w:name="z46" w:id="40"/>
    <w:p>
      <w:pPr>
        <w:spacing w:after="0"/>
        <w:ind w:left="0"/>
        <w:jc w:val="both"/>
      </w:pPr>
      <w:r>
        <w:rPr>
          <w:rFonts w:ascii="Times New Roman"/>
          <w:b w:val="false"/>
          <w:i w:val="false"/>
          <w:color w:val="000000"/>
          <w:sz w:val="28"/>
        </w:rPr>
        <w:t>
      Наличие здесь системы почти широтно-ориентированных высоких хребтов создает естественный барьер, препятствующий свободному перемещению южных и северных воздушных течений. Направление ветра преимущественно с севера на юг и с северо-востока на юго-запад.</w:t>
      </w:r>
    </w:p>
    <w:bookmarkEnd w:id="40"/>
    <w:bookmarkStart w:name="z47" w:id="41"/>
    <w:p>
      <w:pPr>
        <w:spacing w:after="0"/>
        <w:ind w:left="0"/>
        <w:jc w:val="left"/>
      </w:pPr>
      <w:r>
        <w:rPr>
          <w:rFonts w:ascii="Times New Roman"/>
          <w:b/>
          <w:i w:val="false"/>
          <w:color w:val="000000"/>
        </w:rPr>
        <w:t xml:space="preserve"> Глава 5. Социально-экономическое развитие</w:t>
      </w:r>
    </w:p>
    <w:bookmarkEnd w:id="41"/>
    <w:bookmarkStart w:name="z48" w:id="42"/>
    <w:p>
      <w:pPr>
        <w:spacing w:after="0"/>
        <w:ind w:left="0"/>
        <w:jc w:val="left"/>
      </w:pPr>
      <w:r>
        <w:rPr>
          <w:rFonts w:ascii="Times New Roman"/>
          <w:b/>
          <w:i w:val="false"/>
          <w:color w:val="000000"/>
        </w:rPr>
        <w:t xml:space="preserve"> Параграф 1. Демография</w:t>
      </w:r>
    </w:p>
    <w:bookmarkEnd w:id="42"/>
    <w:bookmarkStart w:name="z49" w:id="43"/>
    <w:p>
      <w:pPr>
        <w:spacing w:after="0"/>
        <w:ind w:left="0"/>
        <w:jc w:val="both"/>
      </w:pPr>
      <w:r>
        <w:rPr>
          <w:rFonts w:ascii="Times New Roman"/>
          <w:b w:val="false"/>
          <w:i w:val="false"/>
          <w:color w:val="000000"/>
          <w:sz w:val="28"/>
        </w:rPr>
        <w:t xml:space="preserve">
      По состоянию на 1 января 2024 года по данным Департамента статистики области Жетісу численность населения городской администрации города Талдыкорган составила 204 059 человек. </w:t>
      </w:r>
    </w:p>
    <w:bookmarkEnd w:id="43"/>
    <w:bookmarkStart w:name="z50" w:id="44"/>
    <w:p>
      <w:pPr>
        <w:spacing w:after="0"/>
        <w:ind w:left="0"/>
        <w:jc w:val="both"/>
      </w:pPr>
      <w:r>
        <w:rPr>
          <w:rFonts w:ascii="Times New Roman"/>
          <w:b w:val="false"/>
          <w:i w:val="false"/>
          <w:color w:val="000000"/>
          <w:sz w:val="28"/>
        </w:rPr>
        <w:t>
      Так, в самом городе Талдыкоргане проживает 169444 человека и 34615 человек проживает в сельской местности (Еркинский и Отенайский сельский округ).</w:t>
      </w:r>
    </w:p>
    <w:bookmarkEnd w:id="44"/>
    <w:bookmarkStart w:name="z51" w:id="45"/>
    <w:p>
      <w:pPr>
        <w:spacing w:after="0"/>
        <w:ind w:left="0"/>
        <w:jc w:val="both"/>
      </w:pPr>
      <w:r>
        <w:rPr>
          <w:rFonts w:ascii="Times New Roman"/>
          <w:b w:val="false"/>
          <w:i w:val="false"/>
          <w:color w:val="000000"/>
          <w:sz w:val="28"/>
        </w:rPr>
        <w:t>
      Также в результате развития процессов урбанизации вокруг города сформировалась сеть дачных массивов, в которых по данным акимата города Талдыкорган суммарно проживает 18696 человек.</w:t>
      </w:r>
    </w:p>
    <w:bookmarkEnd w:id="45"/>
    <w:bookmarkStart w:name="z52" w:id="46"/>
    <w:p>
      <w:pPr>
        <w:spacing w:after="0"/>
        <w:ind w:left="0"/>
        <w:jc w:val="both"/>
      </w:pPr>
      <w:r>
        <w:rPr>
          <w:rFonts w:ascii="Times New Roman"/>
          <w:b w:val="false"/>
          <w:i w:val="false"/>
          <w:color w:val="000000"/>
          <w:sz w:val="28"/>
        </w:rPr>
        <w:t xml:space="preserve">
      Исходя из темпов роста населения за разные периоды времени были рассчитаны варианты прогнозной численности населения города Талдыкоргана. </w:t>
      </w:r>
    </w:p>
    <w:bookmarkEnd w:id="46"/>
    <w:bookmarkStart w:name="z53" w:id="47"/>
    <w:p>
      <w:pPr>
        <w:spacing w:after="0"/>
        <w:ind w:left="0"/>
        <w:jc w:val="both"/>
      </w:pPr>
      <w:r>
        <w:rPr>
          <w:rFonts w:ascii="Times New Roman"/>
          <w:b w:val="false"/>
          <w:i w:val="false"/>
          <w:color w:val="000000"/>
          <w:sz w:val="28"/>
        </w:rPr>
        <w:t>
      В итоге проектная численность населения городской администрации города Талдыкоргана, принятая для технико-экономических расчетов в данном проекте, составит:</w:t>
      </w:r>
    </w:p>
    <w:bookmarkEnd w:id="47"/>
    <w:bookmarkStart w:name="z54" w:id="48"/>
    <w:p>
      <w:pPr>
        <w:spacing w:after="0"/>
        <w:ind w:left="0"/>
        <w:jc w:val="both"/>
      </w:pPr>
      <w:r>
        <w:rPr>
          <w:rFonts w:ascii="Times New Roman"/>
          <w:b w:val="false"/>
          <w:i w:val="false"/>
          <w:color w:val="000000"/>
          <w:sz w:val="28"/>
        </w:rPr>
        <w:t>
      на первую очередь – 232,0 тысячи человек;</w:t>
      </w:r>
    </w:p>
    <w:bookmarkEnd w:id="48"/>
    <w:bookmarkStart w:name="z55" w:id="49"/>
    <w:p>
      <w:pPr>
        <w:spacing w:after="0"/>
        <w:ind w:left="0"/>
        <w:jc w:val="both"/>
      </w:pPr>
      <w:r>
        <w:rPr>
          <w:rFonts w:ascii="Times New Roman"/>
          <w:b w:val="false"/>
          <w:i w:val="false"/>
          <w:color w:val="000000"/>
          <w:sz w:val="28"/>
        </w:rPr>
        <w:t>
      на расчетный срок – 300,0 тысячи человек.</w:t>
      </w:r>
    </w:p>
    <w:bookmarkEnd w:id="49"/>
    <w:bookmarkStart w:name="z56" w:id="50"/>
    <w:p>
      <w:pPr>
        <w:spacing w:after="0"/>
        <w:ind w:left="0"/>
        <w:jc w:val="both"/>
      </w:pPr>
      <w:r>
        <w:rPr>
          <w:rFonts w:ascii="Times New Roman"/>
          <w:b w:val="false"/>
          <w:i w:val="false"/>
          <w:color w:val="000000"/>
          <w:sz w:val="28"/>
        </w:rPr>
        <w:t>
      В том числе прогнозная численность самого города Талдыкорган составит:</w:t>
      </w:r>
    </w:p>
    <w:bookmarkEnd w:id="50"/>
    <w:bookmarkStart w:name="z57" w:id="51"/>
    <w:p>
      <w:pPr>
        <w:spacing w:after="0"/>
        <w:ind w:left="0"/>
        <w:jc w:val="both"/>
      </w:pPr>
      <w:r>
        <w:rPr>
          <w:rFonts w:ascii="Times New Roman"/>
          <w:b w:val="false"/>
          <w:i w:val="false"/>
          <w:color w:val="000000"/>
          <w:sz w:val="28"/>
        </w:rPr>
        <w:t>
      на первую очередь – 193,0 тысячи человек;</w:t>
      </w:r>
    </w:p>
    <w:bookmarkEnd w:id="51"/>
    <w:bookmarkStart w:name="z58" w:id="52"/>
    <w:p>
      <w:pPr>
        <w:spacing w:after="0"/>
        <w:ind w:left="0"/>
        <w:jc w:val="both"/>
      </w:pPr>
      <w:r>
        <w:rPr>
          <w:rFonts w:ascii="Times New Roman"/>
          <w:b w:val="false"/>
          <w:i w:val="false"/>
          <w:color w:val="000000"/>
          <w:sz w:val="28"/>
        </w:rPr>
        <w:t>
      на расчетный срок – 252,0 тысячи. человек.</w:t>
      </w:r>
    </w:p>
    <w:bookmarkEnd w:id="52"/>
    <w:bookmarkStart w:name="z59" w:id="53"/>
    <w:p>
      <w:pPr>
        <w:spacing w:after="0"/>
        <w:ind w:left="0"/>
        <w:jc w:val="both"/>
      </w:pPr>
      <w:r>
        <w:rPr>
          <w:rFonts w:ascii="Times New Roman"/>
          <w:b w:val="false"/>
          <w:i w:val="false"/>
          <w:color w:val="000000"/>
          <w:sz w:val="28"/>
        </w:rPr>
        <w:t>
      В том числе прогнозная численность сельского населения городской администрации составит:</w:t>
      </w:r>
    </w:p>
    <w:bookmarkEnd w:id="53"/>
    <w:bookmarkStart w:name="z60" w:id="54"/>
    <w:p>
      <w:pPr>
        <w:spacing w:after="0"/>
        <w:ind w:left="0"/>
        <w:jc w:val="both"/>
      </w:pPr>
      <w:r>
        <w:rPr>
          <w:rFonts w:ascii="Times New Roman"/>
          <w:b w:val="false"/>
          <w:i w:val="false"/>
          <w:color w:val="000000"/>
          <w:sz w:val="28"/>
        </w:rPr>
        <w:t>
      на первую очередь – 39,0 тысячи человек;</w:t>
      </w:r>
    </w:p>
    <w:bookmarkEnd w:id="54"/>
    <w:bookmarkStart w:name="z61" w:id="55"/>
    <w:p>
      <w:pPr>
        <w:spacing w:after="0"/>
        <w:ind w:left="0"/>
        <w:jc w:val="both"/>
      </w:pPr>
      <w:r>
        <w:rPr>
          <w:rFonts w:ascii="Times New Roman"/>
          <w:b w:val="false"/>
          <w:i w:val="false"/>
          <w:color w:val="000000"/>
          <w:sz w:val="28"/>
        </w:rPr>
        <w:t>
      на расчетный срок – 48,0 тысячи человек</w:t>
      </w:r>
    </w:p>
    <w:bookmarkEnd w:id="55"/>
    <w:bookmarkStart w:name="z62" w:id="56"/>
    <w:p>
      <w:pPr>
        <w:spacing w:after="0"/>
        <w:ind w:left="0"/>
        <w:jc w:val="left"/>
      </w:pPr>
      <w:r>
        <w:rPr>
          <w:rFonts w:ascii="Times New Roman"/>
          <w:b/>
          <w:i w:val="false"/>
          <w:color w:val="000000"/>
        </w:rPr>
        <w:t xml:space="preserve"> Параграф 2. Жилищно-гражданское строительство</w:t>
      </w:r>
    </w:p>
    <w:bookmarkEnd w:id="56"/>
    <w:bookmarkStart w:name="z63" w:id="57"/>
    <w:p>
      <w:pPr>
        <w:spacing w:after="0"/>
        <w:ind w:left="0"/>
        <w:jc w:val="both"/>
      </w:pPr>
      <w:r>
        <w:rPr>
          <w:rFonts w:ascii="Times New Roman"/>
          <w:b w:val="false"/>
          <w:i w:val="false"/>
          <w:color w:val="000000"/>
          <w:sz w:val="28"/>
        </w:rPr>
        <w:t>
      Площадь жилой и общественной застройки, предназначенной для градостроительного освоения на исходный год, составляет 3970 га, к 2050 году площадь селитебной территории увеличится до 5200 га.</w:t>
      </w:r>
    </w:p>
    <w:bookmarkEnd w:id="57"/>
    <w:bookmarkStart w:name="z64" w:id="58"/>
    <w:p>
      <w:pPr>
        <w:spacing w:after="0"/>
        <w:ind w:left="0"/>
        <w:jc w:val="both"/>
      </w:pPr>
      <w:r>
        <w:rPr>
          <w:rFonts w:ascii="Times New Roman"/>
          <w:b w:val="false"/>
          <w:i w:val="false"/>
          <w:color w:val="000000"/>
          <w:sz w:val="28"/>
        </w:rPr>
        <w:t>
      Согласно статистическим данным "О жилищном фонде области Жетісу" за 2023 год жилищный фонд городской администрации города Талдыкоргана составил 4179,3 тысячи м2.</w:t>
      </w:r>
    </w:p>
    <w:bookmarkEnd w:id="58"/>
    <w:bookmarkStart w:name="z65" w:id="59"/>
    <w:p>
      <w:pPr>
        <w:spacing w:after="0"/>
        <w:ind w:left="0"/>
        <w:jc w:val="both"/>
      </w:pPr>
      <w:r>
        <w:rPr>
          <w:rFonts w:ascii="Times New Roman"/>
          <w:b w:val="false"/>
          <w:i w:val="false"/>
          <w:color w:val="000000"/>
          <w:sz w:val="28"/>
        </w:rPr>
        <w:t>
      Согласно данным указанного сборника около 48,6% (2031,2 тысячи м2) от общего объема жилья построено до 1991 года. Относительно большая доля 33,1% (1 384,6 тысячи м2) построена, начиная с 2010 года.</w:t>
      </w:r>
    </w:p>
    <w:bookmarkEnd w:id="59"/>
    <w:bookmarkStart w:name="z66" w:id="60"/>
    <w:p>
      <w:pPr>
        <w:spacing w:after="0"/>
        <w:ind w:left="0"/>
        <w:jc w:val="both"/>
      </w:pPr>
      <w:r>
        <w:rPr>
          <w:rFonts w:ascii="Times New Roman"/>
          <w:b w:val="false"/>
          <w:i w:val="false"/>
          <w:color w:val="000000"/>
          <w:sz w:val="28"/>
        </w:rPr>
        <w:t xml:space="preserve">
      Жилищный фонд в городе Талдыкоргане представлен преимущественно индивидуальной жилой застройкой – 49,9 % от существующего жилфонда. Удельный вес жилого фонда в малоэтажных домах составил 1,7 %, среднеэтажной застройки – 39,1 %, многоэтажной застройки – 9,2 %. Обеспеченность общей площадью жилья сегодня составляет 20,5 м2 на одного человека. </w:t>
      </w:r>
    </w:p>
    <w:bookmarkEnd w:id="60"/>
    <w:bookmarkStart w:name="z67" w:id="61"/>
    <w:p>
      <w:pPr>
        <w:spacing w:after="0"/>
        <w:ind w:left="0"/>
        <w:jc w:val="both"/>
      </w:pPr>
      <w:r>
        <w:rPr>
          <w:rFonts w:ascii="Times New Roman"/>
          <w:b w:val="false"/>
          <w:i w:val="false"/>
          <w:color w:val="000000"/>
          <w:sz w:val="28"/>
        </w:rPr>
        <w:t>
      Потребность в жилищном строительстве определена исходя из средней нормы обеспеченности в городе Талдыкоргане 25,0 м2 на 1 человека в период первой очереди, 30,0 м2 – на расчетный срок.</w:t>
      </w:r>
    </w:p>
    <w:bookmarkEnd w:id="61"/>
    <w:bookmarkStart w:name="z68" w:id="62"/>
    <w:p>
      <w:pPr>
        <w:spacing w:after="0"/>
        <w:ind w:left="0"/>
        <w:jc w:val="both"/>
      </w:pPr>
      <w:r>
        <w:rPr>
          <w:rFonts w:ascii="Times New Roman"/>
          <w:b w:val="false"/>
          <w:i w:val="false"/>
          <w:color w:val="000000"/>
          <w:sz w:val="28"/>
        </w:rPr>
        <w:t>
      К 2030 году предусмотрено увеличение жилищного фонда до 5811,2 тыс. м², при росте численности населения до 232 тысячи человек, что позволит достичь обеспеченности 25,0 м²/чел.</w:t>
      </w:r>
    </w:p>
    <w:bookmarkEnd w:id="62"/>
    <w:bookmarkStart w:name="z69" w:id="63"/>
    <w:p>
      <w:pPr>
        <w:spacing w:after="0"/>
        <w:ind w:left="0"/>
        <w:jc w:val="both"/>
      </w:pPr>
      <w:r>
        <w:rPr>
          <w:rFonts w:ascii="Times New Roman"/>
          <w:b w:val="false"/>
          <w:i w:val="false"/>
          <w:color w:val="000000"/>
          <w:sz w:val="28"/>
        </w:rPr>
        <w:t>
      К 2050 году прогнозируется рост жилого фонда до 9086,9 тысячи м², а численности населения - до 300 тысячи человек. Это обеспечит 30,3 м² жилья на человека, что соответствует современным нормативам комфортного проживания.</w:t>
      </w:r>
    </w:p>
    <w:bookmarkEnd w:id="63"/>
    <w:bookmarkStart w:name="z70" w:id="64"/>
    <w:p>
      <w:pPr>
        <w:spacing w:after="0"/>
        <w:ind w:left="0"/>
        <w:jc w:val="left"/>
      </w:pPr>
      <w:r>
        <w:rPr>
          <w:rFonts w:ascii="Times New Roman"/>
          <w:b/>
          <w:i w:val="false"/>
          <w:color w:val="000000"/>
        </w:rPr>
        <w:t xml:space="preserve"> Параграф 3. Образование</w:t>
      </w:r>
    </w:p>
    <w:bookmarkEnd w:id="64"/>
    <w:bookmarkStart w:name="z71" w:id="65"/>
    <w:p>
      <w:pPr>
        <w:spacing w:after="0"/>
        <w:ind w:left="0"/>
        <w:jc w:val="both"/>
      </w:pPr>
      <w:r>
        <w:rPr>
          <w:rFonts w:ascii="Times New Roman"/>
          <w:b w:val="false"/>
          <w:i w:val="false"/>
          <w:color w:val="000000"/>
          <w:sz w:val="28"/>
        </w:rPr>
        <w:t xml:space="preserve">
      Из-за недостатка мест в детских дошкольных учреждениях, на первую очередь намечается построить 12 детских садов на 3840 мест по государственной линии, в том числе в северо-восточном планировочном районе 2 детских сада по 320 мест, в северо-западном планировочном районе 2 детских сада по 320 мест, в юго-восточном планировочном районе предлагается построить 2 детских сада по 320 мест, в юго-западном планировочном районе предлагается построить 6 детских садов по 320 мест. </w:t>
      </w:r>
    </w:p>
    <w:bookmarkEnd w:id="65"/>
    <w:bookmarkStart w:name="z72" w:id="66"/>
    <w:p>
      <w:pPr>
        <w:spacing w:after="0"/>
        <w:ind w:left="0"/>
        <w:jc w:val="both"/>
      </w:pPr>
      <w:r>
        <w:rPr>
          <w:rFonts w:ascii="Times New Roman"/>
          <w:b w:val="false"/>
          <w:i w:val="false"/>
          <w:color w:val="000000"/>
          <w:sz w:val="28"/>
        </w:rPr>
        <w:t>
      Кроме того, 2060 мест или ориентировочно 20 детских садов предлагается обеспечить за счет организации детских садов путем государственного-частного партнерства.</w:t>
      </w:r>
    </w:p>
    <w:bookmarkEnd w:id="66"/>
    <w:bookmarkStart w:name="z73" w:id="67"/>
    <w:p>
      <w:pPr>
        <w:spacing w:after="0"/>
        <w:ind w:left="0"/>
        <w:jc w:val="both"/>
      </w:pPr>
      <w:r>
        <w:rPr>
          <w:rFonts w:ascii="Times New Roman"/>
          <w:b w:val="false"/>
          <w:i w:val="false"/>
          <w:color w:val="000000"/>
          <w:sz w:val="28"/>
        </w:rPr>
        <w:t>
      На расчетный срок намечается строительство 21 детского сада на 5880 мест по государственной линии, в том числе в северо-восточном планировочном районе 1 детский сад на 320 мест, в северо-западном планировочном районе 6 детских сада по 180 мест, в юго-восточном планировочном районе предлагается построить 3 детских сада по 320 мест, в юго-западном планировочном районе предлагается построить 7 детских садов по 320 мест, 4 детских сада по 320 мест в центральном планировочном районе.</w:t>
      </w:r>
    </w:p>
    <w:bookmarkEnd w:id="67"/>
    <w:bookmarkStart w:name="z74" w:id="68"/>
    <w:p>
      <w:pPr>
        <w:spacing w:after="0"/>
        <w:ind w:left="0"/>
        <w:jc w:val="both"/>
      </w:pPr>
      <w:r>
        <w:rPr>
          <w:rFonts w:ascii="Times New Roman"/>
          <w:b w:val="false"/>
          <w:i w:val="false"/>
          <w:color w:val="000000"/>
          <w:sz w:val="28"/>
        </w:rPr>
        <w:t>
      Кроме того, 40 детских садов на 8131 место намечаются к строительству за счет частных инвестиций и по линии государственно-частного партнерства (ГЧП).</w:t>
      </w:r>
    </w:p>
    <w:bookmarkEnd w:id="68"/>
    <w:bookmarkStart w:name="z75" w:id="69"/>
    <w:p>
      <w:pPr>
        <w:spacing w:after="0"/>
        <w:ind w:left="0"/>
        <w:jc w:val="both"/>
      </w:pPr>
      <w:r>
        <w:rPr>
          <w:rFonts w:ascii="Times New Roman"/>
          <w:b w:val="false"/>
          <w:i w:val="false"/>
          <w:color w:val="000000"/>
          <w:sz w:val="28"/>
        </w:rPr>
        <w:t>
      Из общеобразовательных школ на первую очередь предусмотрены строительство 8-и школ на 12050 мест и расширение 1 школы на 300 мест, в том числе строительство IT-школы на 150 мест, 1 школы на 2000 мест в северо-восточном планировочном районе, 1 школы на 1500 мест в северо-западном планировочном районе, 2 школы по 1500 мест в юго-восточном планировочном районе, 1 школы на 900 мест (коттеджный городок), расширение на 300 мест лицея "Билим инновация", 3 школы по 1500 мест в юго-западном планировочном районе.</w:t>
      </w:r>
    </w:p>
    <w:bookmarkEnd w:id="69"/>
    <w:bookmarkStart w:name="z76" w:id="70"/>
    <w:p>
      <w:pPr>
        <w:spacing w:after="0"/>
        <w:ind w:left="0"/>
        <w:jc w:val="both"/>
      </w:pPr>
      <w:r>
        <w:rPr>
          <w:rFonts w:ascii="Times New Roman"/>
          <w:b w:val="false"/>
          <w:i w:val="false"/>
          <w:color w:val="000000"/>
          <w:sz w:val="28"/>
        </w:rPr>
        <w:t>
      На расчетный срок предусмотрено строительство 15 школ на 23900 мест, в том числе 1 школа на 1500 мест в северо-восточном планировочном районе, 2 школы по 1200 и 1 школа на 1500 мест в северо-западном планировочном районе, 2 школы по 2000 мест в центральном планировочном районе, 2 школы по 2000 мест в юго-восточном планировочном районе, 7 школ 1500 мест в юго-западном планировочном районе.</w:t>
      </w:r>
    </w:p>
    <w:bookmarkEnd w:id="70"/>
    <w:bookmarkStart w:name="z77" w:id="71"/>
    <w:p>
      <w:pPr>
        <w:spacing w:after="0"/>
        <w:ind w:left="0"/>
        <w:jc w:val="both"/>
      </w:pPr>
      <w:r>
        <w:rPr>
          <w:rFonts w:ascii="Times New Roman"/>
          <w:b w:val="false"/>
          <w:i w:val="false"/>
          <w:color w:val="000000"/>
          <w:sz w:val="28"/>
        </w:rPr>
        <w:t>
      Также предусмотрено расширение 9 существующих школ в центральном планировочном районе суммарно на 3074 места.</w:t>
      </w:r>
    </w:p>
    <w:bookmarkEnd w:id="71"/>
    <w:bookmarkStart w:name="z78" w:id="72"/>
    <w:p>
      <w:pPr>
        <w:spacing w:after="0"/>
        <w:ind w:left="0"/>
        <w:jc w:val="both"/>
      </w:pPr>
      <w:r>
        <w:rPr>
          <w:rFonts w:ascii="Times New Roman"/>
          <w:b w:val="false"/>
          <w:i w:val="false"/>
          <w:color w:val="000000"/>
          <w:sz w:val="28"/>
        </w:rPr>
        <w:t>
      При этом предлагается достижение односменного обучения школ к расчетному сроку.</w:t>
      </w:r>
    </w:p>
    <w:bookmarkEnd w:id="72"/>
    <w:bookmarkStart w:name="z79" w:id="73"/>
    <w:p>
      <w:pPr>
        <w:spacing w:after="0"/>
        <w:ind w:left="0"/>
        <w:jc w:val="both"/>
      </w:pPr>
      <w:r>
        <w:rPr>
          <w:rFonts w:ascii="Times New Roman"/>
          <w:b w:val="false"/>
          <w:i w:val="false"/>
          <w:color w:val="000000"/>
          <w:sz w:val="28"/>
        </w:rPr>
        <w:t xml:space="preserve">
      Из объектов внешкольного образования проектом предлагается суммарно построить 11 объектов для обеспечения всестороннего развития детей школьного возраста, в том числе дворцы школьников, дома творчества и т.д. </w:t>
      </w:r>
    </w:p>
    <w:bookmarkEnd w:id="73"/>
    <w:bookmarkStart w:name="z80" w:id="74"/>
    <w:p>
      <w:pPr>
        <w:spacing w:after="0"/>
        <w:ind w:left="0"/>
        <w:jc w:val="left"/>
      </w:pPr>
      <w:r>
        <w:rPr>
          <w:rFonts w:ascii="Times New Roman"/>
          <w:b/>
          <w:i w:val="false"/>
          <w:color w:val="000000"/>
        </w:rPr>
        <w:t xml:space="preserve"> Параграф 4. Здравоохранение</w:t>
      </w:r>
    </w:p>
    <w:bookmarkEnd w:id="74"/>
    <w:bookmarkStart w:name="z81" w:id="75"/>
    <w:p>
      <w:pPr>
        <w:spacing w:after="0"/>
        <w:ind w:left="0"/>
        <w:jc w:val="both"/>
      </w:pPr>
      <w:r>
        <w:rPr>
          <w:rFonts w:ascii="Times New Roman"/>
          <w:b w:val="false"/>
          <w:i w:val="false"/>
          <w:color w:val="000000"/>
          <w:sz w:val="28"/>
        </w:rPr>
        <w:t>
      В целом город имеет высокую обеспеченность по наличию организаций здравоохранения в связи с наличием в городе крупных многопрофильных больниц для обслуживания населения всей области. В связи с этим в данном проекте заложено точечное развитие сети поликлиник города с целью более равномерного покрытия объектами здравоохранения жителей города. Так, проектом предлагается размещение на первую очередь строительства 5 поликлиник суммарной мощностью 1100 посещений в смену и 5 поликлиник на расчетный срок суммарной мощностью 1500 мест.</w:t>
      </w:r>
    </w:p>
    <w:bookmarkEnd w:id="75"/>
    <w:bookmarkStart w:name="z82" w:id="76"/>
    <w:p>
      <w:pPr>
        <w:spacing w:after="0"/>
        <w:ind w:left="0"/>
        <w:jc w:val="both"/>
      </w:pPr>
      <w:r>
        <w:rPr>
          <w:rFonts w:ascii="Times New Roman"/>
          <w:b w:val="false"/>
          <w:i w:val="false"/>
          <w:color w:val="000000"/>
          <w:sz w:val="28"/>
        </w:rPr>
        <w:t>
      Кроме того, городскими органами управления уже запланировано строительство онкологического диспансера на 210 коек.</w:t>
      </w:r>
    </w:p>
    <w:bookmarkEnd w:id="76"/>
    <w:bookmarkStart w:name="z83" w:id="77"/>
    <w:p>
      <w:pPr>
        <w:spacing w:after="0"/>
        <w:ind w:left="0"/>
        <w:jc w:val="both"/>
      </w:pPr>
      <w:r>
        <w:rPr>
          <w:rFonts w:ascii="Times New Roman"/>
          <w:b w:val="false"/>
          <w:i w:val="false"/>
          <w:color w:val="000000"/>
          <w:sz w:val="28"/>
        </w:rPr>
        <w:t>
      Также проектом предлагается строительство психоневрологического интерната в юго-восточном планировочном районе на 576 мест к расчетному сроку.</w:t>
      </w:r>
    </w:p>
    <w:bookmarkEnd w:id="77"/>
    <w:bookmarkStart w:name="z84" w:id="78"/>
    <w:p>
      <w:pPr>
        <w:spacing w:after="0"/>
        <w:ind w:left="0"/>
        <w:jc w:val="left"/>
      </w:pPr>
      <w:r>
        <w:rPr>
          <w:rFonts w:ascii="Times New Roman"/>
          <w:b/>
          <w:i w:val="false"/>
          <w:color w:val="000000"/>
        </w:rPr>
        <w:t xml:space="preserve"> Параграф 5. Экономическая деятельность</w:t>
      </w:r>
    </w:p>
    <w:bookmarkEnd w:id="78"/>
    <w:bookmarkStart w:name="z85" w:id="79"/>
    <w:p>
      <w:pPr>
        <w:spacing w:after="0"/>
        <w:ind w:left="0"/>
        <w:jc w:val="both"/>
      </w:pPr>
      <w:r>
        <w:rPr>
          <w:rFonts w:ascii="Times New Roman"/>
          <w:b w:val="false"/>
          <w:i w:val="false"/>
          <w:color w:val="000000"/>
          <w:sz w:val="28"/>
        </w:rPr>
        <w:t>
      Экономическая база города Талдыкорган представляет собой диверсифицированный промышленно-энергетический комплекс, в котором сосредоточены предприятия различных отраслей, обеспечивающие занятость населения и устойчивое развитие городской экономики.</w:t>
      </w:r>
    </w:p>
    <w:bookmarkEnd w:id="79"/>
    <w:bookmarkStart w:name="z86" w:id="80"/>
    <w:p>
      <w:pPr>
        <w:spacing w:after="0"/>
        <w:ind w:left="0"/>
        <w:jc w:val="both"/>
      </w:pPr>
      <w:r>
        <w:rPr>
          <w:rFonts w:ascii="Times New Roman"/>
          <w:b w:val="false"/>
          <w:i w:val="false"/>
          <w:color w:val="000000"/>
          <w:sz w:val="28"/>
        </w:rPr>
        <w:t>
      Ключевым промышленным предприятием города является ТОО "Кайнар АКБ", крупнейший производитель аккумуляторных батарей для автомобилей, сельскохозяйственной и военной техники. Предприятие производит до 3,6 млн аккумуляторов в год и обеспечивает занятость 1212 работников, являясь одним из крупнейших работодателей региона.</w:t>
      </w:r>
    </w:p>
    <w:bookmarkEnd w:id="80"/>
    <w:bookmarkStart w:name="z87" w:id="81"/>
    <w:p>
      <w:pPr>
        <w:spacing w:after="0"/>
        <w:ind w:left="0"/>
        <w:jc w:val="both"/>
      </w:pPr>
      <w:r>
        <w:rPr>
          <w:rFonts w:ascii="Times New Roman"/>
          <w:b w:val="false"/>
          <w:i w:val="false"/>
          <w:color w:val="000000"/>
          <w:sz w:val="28"/>
        </w:rPr>
        <w:t>
      Важное место занимает товарищество с ограниченной ответственностью "Темирбетон", специализирующееся на производстве железобетонных изделий для энергетического строительства (189 тысячи тонн в год, 639 работников), а также предприятия товарищество с ограниченной ответственностью "Интеграл" и товарищество с ограниченной ответственностью "Метакон", выпускающие металлоконструкции для линий электропередачи и телекоммуникационной инфраструктуры (с мощностью 17,2 и 20 тысячи тонн в год, соответственно).</w:t>
      </w:r>
    </w:p>
    <w:bookmarkEnd w:id="81"/>
    <w:bookmarkStart w:name="z88" w:id="82"/>
    <w:p>
      <w:pPr>
        <w:spacing w:after="0"/>
        <w:ind w:left="0"/>
        <w:jc w:val="both"/>
      </w:pPr>
      <w:r>
        <w:rPr>
          <w:rFonts w:ascii="Times New Roman"/>
          <w:b w:val="false"/>
          <w:i w:val="false"/>
          <w:color w:val="000000"/>
          <w:sz w:val="28"/>
        </w:rPr>
        <w:t>
      Не менее значимым предприятием является Талдыкорганский кабельный завод, производящий широкий спектр кабельно-проводниковой продукции, включая силовые и контрольные кабеля, изолированные и бронированные провода. На заводе занято 190 человек.</w:t>
      </w:r>
    </w:p>
    <w:bookmarkEnd w:id="82"/>
    <w:bookmarkStart w:name="z89" w:id="83"/>
    <w:p>
      <w:pPr>
        <w:spacing w:after="0"/>
        <w:ind w:left="0"/>
        <w:jc w:val="both"/>
      </w:pPr>
      <w:r>
        <w:rPr>
          <w:rFonts w:ascii="Times New Roman"/>
          <w:b w:val="false"/>
          <w:i w:val="false"/>
          <w:color w:val="000000"/>
          <w:sz w:val="28"/>
        </w:rPr>
        <w:t>
      Также в городе действует товарищество с ограниченной ответственностью "Завод электроприборов", специализирующийся на выпуске электрических счетчиков и другой продукции (100 тыс. счетчиков и 1,86 млн единиц прочих приборов в год).</w:t>
      </w:r>
    </w:p>
    <w:bookmarkEnd w:id="83"/>
    <w:bookmarkStart w:name="z90" w:id="84"/>
    <w:p>
      <w:pPr>
        <w:spacing w:after="0"/>
        <w:ind w:left="0"/>
        <w:jc w:val="both"/>
      </w:pPr>
      <w:r>
        <w:rPr>
          <w:rFonts w:ascii="Times New Roman"/>
          <w:b w:val="false"/>
          <w:i w:val="false"/>
          <w:color w:val="000000"/>
          <w:sz w:val="28"/>
        </w:rPr>
        <w:t>
      В секторе легкой промышленности работает текстильная фабрика "Ажар", производящая до 150 тыс. швейных изделий в год, где занято 200 человек.</w:t>
      </w:r>
    </w:p>
    <w:bookmarkEnd w:id="84"/>
    <w:bookmarkStart w:name="z91" w:id="85"/>
    <w:p>
      <w:pPr>
        <w:spacing w:after="0"/>
        <w:ind w:left="0"/>
        <w:jc w:val="both"/>
      </w:pPr>
      <w:r>
        <w:rPr>
          <w:rFonts w:ascii="Times New Roman"/>
          <w:b w:val="false"/>
          <w:i w:val="false"/>
          <w:color w:val="000000"/>
          <w:sz w:val="28"/>
        </w:rPr>
        <w:t>
      В пищевой отрасли функционируют товарищество с ограниченной ответственностью "JLC Сүт", молочный завод мощностью до 25 тыс. тонн продукции в год, на котором работает 239 человек.</w:t>
      </w:r>
    </w:p>
    <w:bookmarkEnd w:id="85"/>
    <w:bookmarkStart w:name="z92" w:id="86"/>
    <w:p>
      <w:pPr>
        <w:spacing w:after="0"/>
        <w:ind w:left="0"/>
        <w:jc w:val="both"/>
      </w:pPr>
      <w:r>
        <w:rPr>
          <w:rFonts w:ascii="Times New Roman"/>
          <w:b w:val="false"/>
          <w:i w:val="false"/>
          <w:color w:val="000000"/>
          <w:sz w:val="28"/>
        </w:rPr>
        <w:t>
      Энергетика и коммунальные услуги:</w:t>
      </w:r>
    </w:p>
    <w:bookmarkEnd w:id="86"/>
    <w:bookmarkStart w:name="z93" w:id="87"/>
    <w:p>
      <w:pPr>
        <w:spacing w:after="0"/>
        <w:ind w:left="0"/>
        <w:jc w:val="both"/>
      </w:pPr>
      <w:r>
        <w:rPr>
          <w:rFonts w:ascii="Times New Roman"/>
          <w:b w:val="false"/>
          <w:i w:val="false"/>
          <w:color w:val="000000"/>
          <w:sz w:val="28"/>
        </w:rPr>
        <w:t>
      Крупнейшими игроками в энергетическом секторе являются акционерное общество "ТАТЭК" и государственное коммунальное предприятие "Теплосервис". Первый занимается распределением электроэнергии (мощность 301 МВт, 1462 работника), второй - производством и распределением тепловой энергии (мощность 457,9 Гкал/ч, 845 работников).</w:t>
      </w:r>
    </w:p>
    <w:bookmarkEnd w:id="87"/>
    <w:bookmarkStart w:name="z94" w:id="88"/>
    <w:p>
      <w:pPr>
        <w:spacing w:after="0"/>
        <w:ind w:left="0"/>
        <w:jc w:val="both"/>
      </w:pPr>
      <w:r>
        <w:rPr>
          <w:rFonts w:ascii="Times New Roman"/>
          <w:b w:val="false"/>
          <w:i w:val="false"/>
          <w:color w:val="000000"/>
          <w:sz w:val="28"/>
        </w:rPr>
        <w:t>
      Передачу электроэнергии на уровне поставщика обеспечивает товарищество с ограниченной ответственностью "Жетысу-Энерготрейд".</w:t>
      </w:r>
    </w:p>
    <w:bookmarkEnd w:id="88"/>
    <w:bookmarkStart w:name="z95" w:id="89"/>
    <w:p>
      <w:pPr>
        <w:spacing w:after="0"/>
        <w:ind w:left="0"/>
        <w:jc w:val="both"/>
      </w:pPr>
      <w:r>
        <w:rPr>
          <w:rFonts w:ascii="Times New Roman"/>
          <w:b w:val="false"/>
          <w:i w:val="false"/>
          <w:color w:val="000000"/>
          <w:sz w:val="28"/>
        </w:rPr>
        <w:t>
      Коммунальный сектор представлен государственным коммунальным предприятием "Жетысу Водоканал", обеспечивающим город водоснабжением и водоотведением с объемом подачи воды 104 тыс. м³/сутки и очисткой сточных вод в объеме 36 тыс. м³/сутки. Предприятие насчитывает 370 сотрудников.</w:t>
      </w:r>
    </w:p>
    <w:bookmarkEnd w:id="89"/>
    <w:bookmarkStart w:name="z96" w:id="90"/>
    <w:p>
      <w:pPr>
        <w:spacing w:after="0"/>
        <w:ind w:left="0"/>
        <w:jc w:val="both"/>
      </w:pPr>
      <w:r>
        <w:rPr>
          <w:rFonts w:ascii="Times New Roman"/>
          <w:b w:val="false"/>
          <w:i w:val="false"/>
          <w:color w:val="000000"/>
          <w:sz w:val="28"/>
        </w:rPr>
        <w:t>
      Товарищество с ограниченной ответственностью "Инфраэнерго" выпускает взрывозащищенное электрооборудование, панели управления, системы сигнализации и противоаварийной защиты. Его производственная мощность достигает 1000 панелей в год с численностью персонала 266 человек.</w:t>
      </w:r>
    </w:p>
    <w:bookmarkEnd w:id="90"/>
    <w:bookmarkStart w:name="z97" w:id="91"/>
    <w:p>
      <w:pPr>
        <w:spacing w:after="0"/>
        <w:ind w:left="0"/>
        <w:jc w:val="both"/>
      </w:pPr>
      <w:r>
        <w:rPr>
          <w:rFonts w:ascii="Times New Roman"/>
          <w:b w:val="false"/>
          <w:i w:val="false"/>
          <w:color w:val="000000"/>
          <w:sz w:val="28"/>
        </w:rPr>
        <w:t>
      Таким образом, экономика Талдыкоргана основана на сочетании производства аккумуляторов, кабельной и электротехнической продукции, металлоконструкций, молочной и легкой промышленности, а также энергетики и коммунального сектора. Эта многопрофильная структура обеспечивает устойчивое развитие города, занятость населения и потенциал для дальнейшей индустриализации.</w:t>
      </w:r>
    </w:p>
    <w:bookmarkEnd w:id="91"/>
    <w:bookmarkStart w:name="z98" w:id="92"/>
    <w:p>
      <w:pPr>
        <w:spacing w:after="0"/>
        <w:ind w:left="0"/>
        <w:jc w:val="both"/>
      </w:pPr>
      <w:r>
        <w:rPr>
          <w:rFonts w:ascii="Times New Roman"/>
          <w:b w:val="false"/>
          <w:i w:val="false"/>
          <w:color w:val="000000"/>
          <w:sz w:val="28"/>
        </w:rPr>
        <w:t>
      Главная цель социально-экономического развития города Талдыкорган состоит в повышении человеческого потенциала, определяемого уровнем занятости, благосостоянием и улучшением экологических условий жизни населения.</w:t>
      </w:r>
    </w:p>
    <w:bookmarkEnd w:id="92"/>
    <w:bookmarkStart w:name="z99" w:id="93"/>
    <w:p>
      <w:pPr>
        <w:spacing w:after="0"/>
        <w:ind w:left="0"/>
        <w:jc w:val="both"/>
      </w:pPr>
      <w:r>
        <w:rPr>
          <w:rFonts w:ascii="Times New Roman"/>
          <w:b w:val="false"/>
          <w:i w:val="false"/>
          <w:color w:val="000000"/>
          <w:sz w:val="28"/>
        </w:rPr>
        <w:t>
      Помимо существующих отраслей необходимо обеспечить развитие таких направлений экономики будущего, как альтернативная энергетика, новые материалы, биомедицина, большие данные, интернет вещей, искусственный интеллект, блокчейн (финансовая деятельность) и другие.</w:t>
      </w:r>
    </w:p>
    <w:bookmarkEnd w:id="93"/>
    <w:bookmarkStart w:name="z100" w:id="94"/>
    <w:p>
      <w:pPr>
        <w:spacing w:after="0"/>
        <w:ind w:left="0"/>
        <w:jc w:val="both"/>
      </w:pPr>
      <w:r>
        <w:rPr>
          <w:rFonts w:ascii="Times New Roman"/>
          <w:b w:val="false"/>
          <w:i w:val="false"/>
          <w:color w:val="000000"/>
          <w:sz w:val="28"/>
        </w:rPr>
        <w:t>
      На стадии Генерального плана города чрезвычайно важно правильно оценить потенциальные возможности развития города Талдыкоргана, определить наиболее важные приоритеты и наметить пути их достижения, сосредоточив необходимые материальные и финансовые ресурсы.</w:t>
      </w:r>
    </w:p>
    <w:bookmarkEnd w:id="94"/>
    <w:bookmarkStart w:name="z101" w:id="95"/>
    <w:p>
      <w:pPr>
        <w:spacing w:after="0"/>
        <w:ind w:left="0"/>
        <w:jc w:val="both"/>
      </w:pPr>
      <w:r>
        <w:rPr>
          <w:rFonts w:ascii="Times New Roman"/>
          <w:b w:val="false"/>
          <w:i w:val="false"/>
          <w:color w:val="000000"/>
          <w:sz w:val="28"/>
        </w:rPr>
        <w:t>
      Приоритетные направления развития экономики, предусмотренные Генеральным планом, включают:</w:t>
      </w:r>
    </w:p>
    <w:bookmarkEnd w:id="95"/>
    <w:bookmarkStart w:name="z102" w:id="96"/>
    <w:p>
      <w:pPr>
        <w:spacing w:after="0"/>
        <w:ind w:left="0"/>
        <w:jc w:val="both"/>
      </w:pPr>
      <w:r>
        <w:rPr>
          <w:rFonts w:ascii="Times New Roman"/>
          <w:b w:val="false"/>
          <w:i w:val="false"/>
          <w:color w:val="000000"/>
          <w:sz w:val="28"/>
        </w:rPr>
        <w:t>
      создание на базе уже существующего мощной производственной базы новых отраслей для увеличения этапов передела продукции;</w:t>
      </w:r>
    </w:p>
    <w:bookmarkEnd w:id="96"/>
    <w:bookmarkStart w:name="z103" w:id="97"/>
    <w:p>
      <w:pPr>
        <w:spacing w:after="0"/>
        <w:ind w:left="0"/>
        <w:jc w:val="both"/>
      </w:pPr>
      <w:r>
        <w:rPr>
          <w:rFonts w:ascii="Times New Roman"/>
          <w:b w:val="false"/>
          <w:i w:val="false"/>
          <w:color w:val="000000"/>
          <w:sz w:val="28"/>
        </w:rPr>
        <w:t>
      дальнейшее развитие пищевой, текстильной, швейной и кожевенно-меховой промышленности с участием значительного числа предприятий малого и среднего бизнеса;</w:t>
      </w:r>
    </w:p>
    <w:bookmarkEnd w:id="97"/>
    <w:bookmarkStart w:name="z104" w:id="98"/>
    <w:p>
      <w:pPr>
        <w:spacing w:after="0"/>
        <w:ind w:left="0"/>
        <w:jc w:val="both"/>
      </w:pPr>
      <w:r>
        <w:rPr>
          <w:rFonts w:ascii="Times New Roman"/>
          <w:b w:val="false"/>
          <w:i w:val="false"/>
          <w:color w:val="000000"/>
          <w:sz w:val="28"/>
        </w:rPr>
        <w:t xml:space="preserve">
      создание рекреационной и, в частности, туристической инфраструктуры, предполагающей организацию повышенного сервиса в обслуживании туристов и отдыхающих; </w:t>
      </w:r>
    </w:p>
    <w:bookmarkEnd w:id="98"/>
    <w:bookmarkStart w:name="z105" w:id="99"/>
    <w:p>
      <w:pPr>
        <w:spacing w:after="0"/>
        <w:ind w:left="0"/>
        <w:jc w:val="both"/>
      </w:pPr>
      <w:r>
        <w:rPr>
          <w:rFonts w:ascii="Times New Roman"/>
          <w:b w:val="false"/>
          <w:i w:val="false"/>
          <w:color w:val="000000"/>
          <w:sz w:val="28"/>
        </w:rPr>
        <w:t>
      открытие в существующих высших учебных заведениях специальных отделений по подготовке кадров для нужд промышленности и сферы услуг;</w:t>
      </w:r>
    </w:p>
    <w:bookmarkEnd w:id="99"/>
    <w:bookmarkStart w:name="z106" w:id="100"/>
    <w:p>
      <w:pPr>
        <w:spacing w:after="0"/>
        <w:ind w:left="0"/>
        <w:jc w:val="both"/>
      </w:pPr>
      <w:r>
        <w:rPr>
          <w:rFonts w:ascii="Times New Roman"/>
          <w:b w:val="false"/>
          <w:i w:val="false"/>
          <w:color w:val="000000"/>
          <w:sz w:val="28"/>
        </w:rPr>
        <w:t>
      создание строительного комплекса на базе существующих и строительство новых предприятий по производству строительных материалов и конструкций, развитие материально-технической базы строительно-монтажных организаций с целью реализации предусмотренных Генеральным планом программ по жилищно-гражданскому строительству;</w:t>
      </w:r>
    </w:p>
    <w:bookmarkEnd w:id="100"/>
    <w:bookmarkStart w:name="z107" w:id="101"/>
    <w:p>
      <w:pPr>
        <w:spacing w:after="0"/>
        <w:ind w:left="0"/>
        <w:jc w:val="both"/>
      </w:pPr>
      <w:r>
        <w:rPr>
          <w:rFonts w:ascii="Times New Roman"/>
          <w:b w:val="false"/>
          <w:i w:val="false"/>
          <w:color w:val="000000"/>
          <w:sz w:val="28"/>
        </w:rPr>
        <w:t xml:space="preserve">
      создание новых экспортоориентированных высокотехнологичных производств в рамках государственных программ развития, в том числе на территории индустриальной зоны "Талдыкорган"; </w:t>
      </w:r>
    </w:p>
    <w:bookmarkEnd w:id="101"/>
    <w:bookmarkStart w:name="z108" w:id="102"/>
    <w:p>
      <w:pPr>
        <w:spacing w:after="0"/>
        <w:ind w:left="0"/>
        <w:jc w:val="both"/>
      </w:pPr>
      <w:r>
        <w:rPr>
          <w:rFonts w:ascii="Times New Roman"/>
          <w:b w:val="false"/>
          <w:i w:val="false"/>
          <w:color w:val="000000"/>
          <w:sz w:val="28"/>
        </w:rPr>
        <w:t>
      увеличение выработки электроэнергии, поддержка развития альтернативной энергетики в регионе.</w:t>
      </w:r>
    </w:p>
    <w:bookmarkEnd w:id="102"/>
    <w:bookmarkStart w:name="z109" w:id="103"/>
    <w:p>
      <w:pPr>
        <w:spacing w:after="0"/>
        <w:ind w:left="0"/>
        <w:jc w:val="both"/>
      </w:pPr>
      <w:r>
        <w:rPr>
          <w:rFonts w:ascii="Times New Roman"/>
          <w:b w:val="false"/>
          <w:i w:val="false"/>
          <w:color w:val="000000"/>
          <w:sz w:val="28"/>
        </w:rPr>
        <w:t xml:space="preserve">
      Экспортоориентированная индустриализация должна стать центральным элементом экономической политики. Необходимо сфокусироваться на поддержке экспортеров прежде всего обрабатывающего сектора. Торговой политики необходимо предать характер, направленный на продвижение наших товаров на региональные мировые рынки. Одновременно надо осваивать широкую номенклатуру товаров народного потребления, развивать экономику простых вещей. </w:t>
      </w:r>
    </w:p>
    <w:bookmarkEnd w:id="103"/>
    <w:bookmarkStart w:name="z110" w:id="104"/>
    <w:p>
      <w:pPr>
        <w:spacing w:after="0"/>
        <w:ind w:left="0"/>
        <w:jc w:val="left"/>
      </w:pPr>
      <w:r>
        <w:rPr>
          <w:rFonts w:ascii="Times New Roman"/>
          <w:b/>
          <w:i w:val="false"/>
          <w:color w:val="000000"/>
        </w:rPr>
        <w:t xml:space="preserve"> Глава 6. Градостроительное развитие</w:t>
      </w:r>
    </w:p>
    <w:bookmarkEnd w:id="104"/>
    <w:bookmarkStart w:name="z111" w:id="105"/>
    <w:p>
      <w:pPr>
        <w:spacing w:after="0"/>
        <w:ind w:left="0"/>
        <w:jc w:val="both"/>
      </w:pPr>
      <w:r>
        <w:rPr>
          <w:rFonts w:ascii="Times New Roman"/>
          <w:b w:val="false"/>
          <w:i w:val="false"/>
          <w:color w:val="000000"/>
          <w:sz w:val="28"/>
        </w:rPr>
        <w:t>
      Территориальное развитие города Талдыкорган предусматривает расширение городской территории за счет вовлечения прилегающих земель в границах, установленных проектом Генерального плана. Освоение территории города планируется осуществлять поэтапно в пределах первой очереди строительства и расчетного срока.</w:t>
      </w:r>
    </w:p>
    <w:bookmarkEnd w:id="105"/>
    <w:bookmarkStart w:name="z112" w:id="106"/>
    <w:p>
      <w:pPr>
        <w:spacing w:after="0"/>
        <w:ind w:left="0"/>
        <w:jc w:val="both"/>
      </w:pPr>
      <w:r>
        <w:rPr>
          <w:rFonts w:ascii="Times New Roman"/>
          <w:b w:val="false"/>
          <w:i w:val="false"/>
          <w:color w:val="000000"/>
          <w:sz w:val="28"/>
        </w:rPr>
        <w:t xml:space="preserve">
      Земельные участки, предназначенные для размещения объектов первоочередного жилищного строительства, социальной и общественно-деловой инфраструктуры, а также элементов улично-дорожной сети и инженерного обеспечения, отнесены к зонам преимущественного изъятия земель. Изъятие и приобретение указанных земельных участков для государственных нужд предусматриваются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84 Земельного кодекса Республики Казахстан.</w:t>
      </w:r>
    </w:p>
    <w:bookmarkEnd w:id="106"/>
    <w:bookmarkStart w:name="z113" w:id="107"/>
    <w:p>
      <w:pPr>
        <w:spacing w:after="0"/>
        <w:ind w:left="0"/>
        <w:jc w:val="both"/>
      </w:pPr>
      <w:r>
        <w:rPr>
          <w:rFonts w:ascii="Times New Roman"/>
          <w:b w:val="false"/>
          <w:i w:val="false"/>
          <w:color w:val="000000"/>
          <w:sz w:val="28"/>
        </w:rPr>
        <w:t>
      Размещение и развитие магистральных улиц и иных объектов транспортной инфраструктуры общегородского значения, обеспечивающих связность планировочной структуры города, предусматривают изъятие земельных участков для государственных нужд в соответствии с требованиями земельного законодательства Республики Казахстан.</w:t>
      </w:r>
    </w:p>
    <w:bookmarkEnd w:id="107"/>
    <w:bookmarkStart w:name="z114" w:id="108"/>
    <w:p>
      <w:pPr>
        <w:spacing w:after="0"/>
        <w:ind w:left="0"/>
        <w:jc w:val="both"/>
      </w:pPr>
      <w:r>
        <w:rPr>
          <w:rFonts w:ascii="Times New Roman"/>
          <w:b w:val="false"/>
          <w:i w:val="false"/>
          <w:color w:val="000000"/>
          <w:sz w:val="28"/>
        </w:rPr>
        <w:t>
      Территории, градостроительное освоение которых предусмотрено проектом Генерального плана на расчетный срок, отнесены к зонам резервирования. В границах указанных территорий до начала их поэтапного освоения устанавливается режим ограничения хозяйственной и строительной деятельности, направленный на обеспечение упорядоченного развития городской территории и сохранение территориального резерва для перспективного строительства.</w:t>
      </w:r>
    </w:p>
    <w:bookmarkEnd w:id="108"/>
    <w:bookmarkStart w:name="z115" w:id="109"/>
    <w:p>
      <w:pPr>
        <w:spacing w:after="0"/>
        <w:ind w:left="0"/>
        <w:jc w:val="both"/>
      </w:pPr>
      <w:r>
        <w:rPr>
          <w:rFonts w:ascii="Times New Roman"/>
          <w:b w:val="false"/>
          <w:i w:val="false"/>
          <w:color w:val="000000"/>
          <w:sz w:val="28"/>
        </w:rPr>
        <w:t>
      Город Талдыкорган расположен на берегу реки Каратал, которая и является основной естественной планировочной осью и разделяет город на две части. Вдоль реки расположены:</w:t>
      </w:r>
    </w:p>
    <w:bookmarkEnd w:id="109"/>
    <w:bookmarkStart w:name="z116" w:id="110"/>
    <w:p>
      <w:pPr>
        <w:spacing w:after="0"/>
        <w:ind w:left="0"/>
        <w:jc w:val="both"/>
      </w:pPr>
      <w:r>
        <w:rPr>
          <w:rFonts w:ascii="Times New Roman"/>
          <w:b w:val="false"/>
          <w:i w:val="false"/>
          <w:color w:val="000000"/>
          <w:sz w:val="28"/>
        </w:rPr>
        <w:t>
      южная промышленная зона (является основным источником загрязнения реки),</w:t>
      </w:r>
    </w:p>
    <w:bookmarkEnd w:id="110"/>
    <w:bookmarkStart w:name="z117" w:id="111"/>
    <w:p>
      <w:pPr>
        <w:spacing w:after="0"/>
        <w:ind w:left="0"/>
        <w:jc w:val="both"/>
      </w:pPr>
      <w:r>
        <w:rPr>
          <w:rFonts w:ascii="Times New Roman"/>
          <w:b w:val="false"/>
          <w:i w:val="false"/>
          <w:color w:val="000000"/>
          <w:sz w:val="28"/>
        </w:rPr>
        <w:t>
       восточная часть центра города (мкр "Каратал"),</w:t>
      </w:r>
    </w:p>
    <w:bookmarkEnd w:id="111"/>
    <w:bookmarkStart w:name="z118" w:id="112"/>
    <w:p>
      <w:pPr>
        <w:spacing w:after="0"/>
        <w:ind w:left="0"/>
        <w:jc w:val="both"/>
      </w:pPr>
      <w:r>
        <w:rPr>
          <w:rFonts w:ascii="Times New Roman"/>
          <w:b w:val="false"/>
          <w:i w:val="false"/>
          <w:color w:val="000000"/>
          <w:sz w:val="28"/>
        </w:rPr>
        <w:t>
       – городские рекреационные зоны и тд.</w:t>
      </w:r>
    </w:p>
    <w:bookmarkEnd w:id="112"/>
    <w:bookmarkStart w:name="z119" w:id="113"/>
    <w:p>
      <w:pPr>
        <w:spacing w:after="0"/>
        <w:ind w:left="0"/>
        <w:jc w:val="both"/>
      </w:pPr>
      <w:r>
        <w:rPr>
          <w:rFonts w:ascii="Times New Roman"/>
          <w:b w:val="false"/>
          <w:i w:val="false"/>
          <w:color w:val="000000"/>
          <w:sz w:val="28"/>
        </w:rPr>
        <w:t xml:space="preserve">
      Одной из главных планировочных осей территориального развития и транспортной артерией не только для города, но и всей области является автомагистраль "Алматы- Оскемен". При разработке проекта корректировки Генерального плана первоочередными идеями для пространственного развития города, а также главным составляющим было перспективное развитие транспортной инфраструктуры именно на пересечении двух планировочных осей. Именно здесь будут сосредоточены объекты внешней транспортной инфраструктуры и логистики, обслуживания населения и крупные места приложения труда. </w:t>
      </w:r>
    </w:p>
    <w:bookmarkEnd w:id="113"/>
    <w:bookmarkStart w:name="z120" w:id="114"/>
    <w:p>
      <w:pPr>
        <w:spacing w:after="0"/>
        <w:ind w:left="0"/>
        <w:jc w:val="both"/>
      </w:pPr>
      <w:r>
        <w:rPr>
          <w:rFonts w:ascii="Times New Roman"/>
          <w:b w:val="false"/>
          <w:i w:val="false"/>
          <w:color w:val="000000"/>
          <w:sz w:val="28"/>
        </w:rPr>
        <w:t>
      Основной транспортный городской каркас представляет проспект К. Жалаири, улицы Желтоксан, Абылай хана, Карагайлы, Б. Сулеева, А. Алимжанова, Н. Алдабергенова, Жапарбаева, Е. Сихимова, Т. Рустембекова, автомагистрали в широтном направлении: проспекты Н. Назарбаева, Астана, улицы Кабанбай батыра, И. Жансугурова, М. Толебаева, Ш. Уалиханова, Д. Ракишева, Д. Конаева, Гаухар-ана.</w:t>
      </w:r>
    </w:p>
    <w:bookmarkEnd w:id="114"/>
    <w:bookmarkStart w:name="z121" w:id="115"/>
    <w:p>
      <w:pPr>
        <w:spacing w:after="0"/>
        <w:ind w:left="0"/>
        <w:jc w:val="both"/>
      </w:pPr>
      <w:r>
        <w:rPr>
          <w:rFonts w:ascii="Times New Roman"/>
          <w:b w:val="false"/>
          <w:i w:val="false"/>
          <w:color w:val="000000"/>
          <w:sz w:val="28"/>
        </w:rPr>
        <w:t>
      С изменением границы города некоторые населенные пункты в зоне влияния города вошли в городскую администрацию и получили статус микрорайонов (микрорайон "Коктал"), в связи с этим проект предусматривает изменение трассировки автодороги "Алматы – Оскемен" с обхватом восточной части дачных массивов "Алмалы", "Ащибулак". Данное мероприятие направлено прежде всего на безопасное движение транзитного транспорта вне городских жилых районов, предупреждение аварийных ситуаций с участием пешеходов и нарушения скоростного режима в черте застройки. Внешними планировочными ограничителями для перспективного территориального развития города являются:</w:t>
      </w:r>
    </w:p>
    <w:bookmarkEnd w:id="115"/>
    <w:bookmarkStart w:name="z122" w:id="116"/>
    <w:p>
      <w:pPr>
        <w:spacing w:after="0"/>
        <w:ind w:left="0"/>
        <w:jc w:val="both"/>
      </w:pPr>
      <w:r>
        <w:rPr>
          <w:rFonts w:ascii="Times New Roman"/>
          <w:b w:val="false"/>
          <w:i w:val="false"/>
          <w:color w:val="000000"/>
          <w:sz w:val="28"/>
        </w:rPr>
        <w:t>
      ценные сельскохозяйственные земли, представляющие собой городской продуктовый пояс (южная и юго-западная часть),</w:t>
      </w:r>
    </w:p>
    <w:bookmarkEnd w:id="116"/>
    <w:bookmarkStart w:name="z123" w:id="117"/>
    <w:p>
      <w:pPr>
        <w:spacing w:after="0"/>
        <w:ind w:left="0"/>
        <w:jc w:val="both"/>
      </w:pPr>
      <w:r>
        <w:rPr>
          <w:rFonts w:ascii="Times New Roman"/>
          <w:b w:val="false"/>
          <w:i w:val="false"/>
          <w:color w:val="000000"/>
          <w:sz w:val="28"/>
        </w:rPr>
        <w:t>
      сложные в геологическом отношении рельеф предгорной части и река Каратал, а также зона отчуждения ВВП аэропорта города Талдыкорган (северная и восточная части). Определенное влияние на перспективную структуру западной части города оказало решение по сохранению земель сельхозназначения в данной части города. В этой связи западная часть города приобрела структуру отдельных, вытянутых в северо-западном направлении проектных жилых массивов, перемежающихся с зелеными клиньями земель частных крестьянских хозяйств, обеспечивающих продовольственную программу для города и не подлежащих под изменение целевого назначения на земли сельскохозяйственного назначения. Градостроительные решения Генерального плана города Талдыкоргана, его планировочная структура, функциональное зонирование и ограничение на использование территорий этих зон разработаны на основе современного состояния города, комплексной градостроительной оценки территорий. Предлагаемое развитие города выбрано с учетом возможности его рационального функционального использования, на основе сравнения вариантов архитектурно-планировочных решений, технико-экономических показателей. При этом были учтены все отводы земельных участков как внутри границ городской застройки, так и в границах земель городской администрации под различные виды строительства, а также земли, предоставленные крестьянским и фермерским хозяйствам в целях реализации Государственной продовольственной программы – продовольственного пояса вокруг города. Рекреационные городские объекты сосредоточены в северной части города (лесопарк), вклинивающиеся в городскую застройку. Планировочная структура города Талдыкоргана представлена главными композиционными осями – двумя широтными магистралями общегородского значения улицы И. Жансугурова и улицы Н. Назарбаев и общегородскими магистралями, проходящими в меридиональном направлении, – въездная магистраль со стороны города Алматы, улицы Желтоксан и улицы Абая.</w:t>
      </w:r>
    </w:p>
    <w:bookmarkEnd w:id="117"/>
    <w:bookmarkStart w:name="z124" w:id="118"/>
    <w:p>
      <w:pPr>
        <w:spacing w:after="0"/>
        <w:ind w:left="0"/>
        <w:jc w:val="both"/>
      </w:pPr>
      <w:r>
        <w:rPr>
          <w:rFonts w:ascii="Times New Roman"/>
          <w:b w:val="false"/>
          <w:i w:val="false"/>
          <w:color w:val="000000"/>
          <w:sz w:val="28"/>
        </w:rPr>
        <w:t>
      В основу планировочной структуры положены сохраняемая часть исторически сложившихся районов периметральной застройки кварталов существующей одноэтажной застройки и многоэтажная застройка микрорайонов и жилых комплексов, а также транспортный каркас основных магистралей и выходов на внешние дороги. Жилые образования характеризуются чередованием многоэтажных домов и среднеэтажной застройки с организацией культурно-бытового обслуживания и инженерно-транспортного обеспечения.</w:t>
      </w:r>
    </w:p>
    <w:bookmarkEnd w:id="118"/>
    <w:bookmarkStart w:name="z125" w:id="119"/>
    <w:p>
      <w:pPr>
        <w:spacing w:after="0"/>
        <w:ind w:left="0"/>
        <w:jc w:val="both"/>
      </w:pPr>
      <w:r>
        <w:rPr>
          <w:rFonts w:ascii="Times New Roman"/>
          <w:b w:val="false"/>
          <w:i w:val="false"/>
          <w:color w:val="000000"/>
          <w:sz w:val="28"/>
        </w:rPr>
        <w:t xml:space="preserve">
      Также данным Генеральным планом принято решение изменить статус дачных массивов, расположенных вокруг города, на индивидуальную жилую застройку, кроме дачного массива "Сарыбулак", в связи нахождением его в охранной зоне аэропорта. Статус данного дачного массива останется неизменным на перспективу. </w:t>
      </w:r>
    </w:p>
    <w:bookmarkEnd w:id="119"/>
    <w:bookmarkStart w:name="z126" w:id="120"/>
    <w:p>
      <w:pPr>
        <w:spacing w:after="0"/>
        <w:ind w:left="0"/>
        <w:jc w:val="both"/>
      </w:pPr>
      <w:r>
        <w:rPr>
          <w:rFonts w:ascii="Times New Roman"/>
          <w:b w:val="false"/>
          <w:i w:val="false"/>
          <w:color w:val="000000"/>
          <w:sz w:val="28"/>
        </w:rPr>
        <w:t>
      Проектом предусмотрено обеспечение удобных транспортных связей между всеми функциональными зонами, перераспределением грузовых и транспортных потоков, транспортными развязками, комплексами общественно-бытового и технического обслуживания.</w:t>
      </w:r>
    </w:p>
    <w:bookmarkEnd w:id="120"/>
    <w:bookmarkStart w:name="z127" w:id="121"/>
    <w:p>
      <w:pPr>
        <w:spacing w:after="0"/>
        <w:ind w:left="0"/>
        <w:jc w:val="left"/>
      </w:pPr>
      <w:r>
        <w:rPr>
          <w:rFonts w:ascii="Times New Roman"/>
          <w:b/>
          <w:i w:val="false"/>
          <w:color w:val="000000"/>
        </w:rPr>
        <w:t xml:space="preserve"> Глава 7. Транспортная инфраструктура</w:t>
      </w:r>
    </w:p>
    <w:bookmarkEnd w:id="121"/>
    <w:bookmarkStart w:name="z128" w:id="122"/>
    <w:p>
      <w:pPr>
        <w:spacing w:after="0"/>
        <w:ind w:left="0"/>
        <w:jc w:val="both"/>
      </w:pPr>
      <w:r>
        <w:rPr>
          <w:rFonts w:ascii="Times New Roman"/>
          <w:b w:val="false"/>
          <w:i w:val="false"/>
          <w:color w:val="000000"/>
          <w:sz w:val="28"/>
        </w:rPr>
        <w:t xml:space="preserve">
      Каркасом системы улично-дорожной сети города и наиболее загруженными магистралями являются магистрали общегородского значения. Кроме того, эти магистрали имеют выходы на загородные автомобильные дороги. </w:t>
      </w:r>
    </w:p>
    <w:bookmarkEnd w:id="122"/>
    <w:bookmarkStart w:name="z129" w:id="123"/>
    <w:p>
      <w:pPr>
        <w:spacing w:after="0"/>
        <w:ind w:left="0"/>
        <w:jc w:val="both"/>
      </w:pPr>
      <w:r>
        <w:rPr>
          <w:rFonts w:ascii="Times New Roman"/>
          <w:b w:val="false"/>
          <w:i w:val="false"/>
          <w:color w:val="000000"/>
          <w:sz w:val="28"/>
        </w:rPr>
        <w:t>
      Основными транспортными артериями общегородского и районного значения являются:</w:t>
      </w:r>
    </w:p>
    <w:bookmarkEnd w:id="123"/>
    <w:bookmarkStart w:name="z130" w:id="124"/>
    <w:p>
      <w:pPr>
        <w:spacing w:after="0"/>
        <w:ind w:left="0"/>
        <w:jc w:val="both"/>
      </w:pPr>
      <w:r>
        <w:rPr>
          <w:rFonts w:ascii="Times New Roman"/>
          <w:b w:val="false"/>
          <w:i w:val="false"/>
          <w:color w:val="000000"/>
          <w:sz w:val="28"/>
        </w:rPr>
        <w:t xml:space="preserve">
      Проспект Н. Назарбаев – главная широтная улица города, вдоль которой сформировался общественный центр города. На востоке она через мост на реке Каратал переходит в автодорогу, связывающую основное ядро города с селом Еркин, выводя далее транспортные потоки на обводную магистраль "Алматы – Усть-Каменогорск". </w:t>
      </w:r>
    </w:p>
    <w:bookmarkEnd w:id="124"/>
    <w:bookmarkStart w:name="z131" w:id="125"/>
    <w:p>
      <w:pPr>
        <w:spacing w:after="0"/>
        <w:ind w:left="0"/>
        <w:jc w:val="both"/>
      </w:pPr>
      <w:r>
        <w:rPr>
          <w:rFonts w:ascii="Times New Roman"/>
          <w:b w:val="false"/>
          <w:i w:val="false"/>
          <w:color w:val="000000"/>
          <w:sz w:val="28"/>
        </w:rPr>
        <w:t xml:space="preserve">
      Широтные связи города представлены также улицей И. Жансугурова, которая осуществляет связь въезда в город со стороны города Алматы с центром и далее через новый мост на реке Каратал, выводит автомобильные потоки также на объездную дорогу, эта улица несет значительную нагрузку массового пассажирского транспорта. </w:t>
      </w:r>
    </w:p>
    <w:bookmarkEnd w:id="125"/>
    <w:bookmarkStart w:name="z132" w:id="126"/>
    <w:p>
      <w:pPr>
        <w:spacing w:after="0"/>
        <w:ind w:left="0"/>
        <w:jc w:val="both"/>
      </w:pPr>
      <w:r>
        <w:rPr>
          <w:rFonts w:ascii="Times New Roman"/>
          <w:b w:val="false"/>
          <w:i w:val="false"/>
          <w:color w:val="000000"/>
          <w:sz w:val="28"/>
        </w:rPr>
        <w:t xml:space="preserve">
      Улица Г. Сланова объединяет малоэтажную застройку центра с прибрежными районами и через улицу Абылайхана, в южном направлении обеспечивает транспортную связь города с городом Текели. </w:t>
      </w:r>
    </w:p>
    <w:bookmarkEnd w:id="126"/>
    <w:bookmarkStart w:name="z133" w:id="127"/>
    <w:p>
      <w:pPr>
        <w:spacing w:after="0"/>
        <w:ind w:left="0"/>
        <w:jc w:val="both"/>
      </w:pPr>
      <w:r>
        <w:rPr>
          <w:rFonts w:ascii="Times New Roman"/>
          <w:b w:val="false"/>
          <w:i w:val="false"/>
          <w:color w:val="000000"/>
          <w:sz w:val="28"/>
        </w:rPr>
        <w:t xml:space="preserve">
      Улицы Желтоксан, Абая являются основными транспортными связями меридионального направления, кроме того, являются выводами транспортных потоков из города в южном направлении. По улице Желтоксан осуществляются въезд в город и выезд междугородних автобусов. </w:t>
      </w:r>
    </w:p>
    <w:bookmarkEnd w:id="127"/>
    <w:bookmarkStart w:name="z134" w:id="128"/>
    <w:p>
      <w:pPr>
        <w:spacing w:after="0"/>
        <w:ind w:left="0"/>
        <w:jc w:val="both"/>
      </w:pPr>
      <w:r>
        <w:rPr>
          <w:rFonts w:ascii="Times New Roman"/>
          <w:b w:val="false"/>
          <w:i w:val="false"/>
          <w:color w:val="000000"/>
          <w:sz w:val="28"/>
        </w:rPr>
        <w:t xml:space="preserve">
      Улица Шевченко осуществляет транспортные связи центральной части города с железнодорожной станцией и автовокзалом. </w:t>
      </w:r>
    </w:p>
    <w:bookmarkEnd w:id="128"/>
    <w:bookmarkStart w:name="z135" w:id="129"/>
    <w:p>
      <w:pPr>
        <w:spacing w:after="0"/>
        <w:ind w:left="0"/>
        <w:jc w:val="both"/>
      </w:pPr>
      <w:r>
        <w:rPr>
          <w:rFonts w:ascii="Times New Roman"/>
          <w:b w:val="false"/>
          <w:i w:val="false"/>
          <w:color w:val="000000"/>
          <w:sz w:val="28"/>
        </w:rPr>
        <w:t xml:space="preserve">
      Кроме того, в восточной, заречной части города крупной артерией является улица Центральная, обеспечивающая транспортные связи Восточной промзоны и микрорайона "Восточный" с северным выходом из города через село Еркин, а в южном направлении выводит автомобильные потоки на объездную дорогу. </w:t>
      </w:r>
    </w:p>
    <w:bookmarkEnd w:id="129"/>
    <w:bookmarkStart w:name="z136" w:id="130"/>
    <w:p>
      <w:pPr>
        <w:spacing w:after="0"/>
        <w:ind w:left="0"/>
        <w:jc w:val="both"/>
      </w:pPr>
      <w:r>
        <w:rPr>
          <w:rFonts w:ascii="Times New Roman"/>
          <w:b w:val="false"/>
          <w:i w:val="false"/>
          <w:color w:val="000000"/>
          <w:sz w:val="28"/>
        </w:rPr>
        <w:t xml:space="preserve">
      Город расчленен железной дорогой и рекой Каратал, поэтому большое значение имеют искусственные сооружения (путепроводы, мосты), по которым осуществляется сообщение между отдельными городскими районами и промышленными узлами. </w:t>
      </w:r>
    </w:p>
    <w:bookmarkEnd w:id="130"/>
    <w:bookmarkStart w:name="z137" w:id="131"/>
    <w:p>
      <w:pPr>
        <w:spacing w:after="0"/>
        <w:ind w:left="0"/>
        <w:jc w:val="both"/>
      </w:pPr>
      <w:r>
        <w:rPr>
          <w:rFonts w:ascii="Times New Roman"/>
          <w:b w:val="false"/>
          <w:i w:val="false"/>
          <w:color w:val="000000"/>
          <w:sz w:val="28"/>
        </w:rPr>
        <w:t>
      Общая протяженность существующей улично-дорожной сети внутригородских улиц и дорог, автомобильных дорог общего пользования в границе городской администрации составляет 499,8 км, из них 78,0 % городских улиц и 22,0 % автодорог.</w:t>
      </w:r>
    </w:p>
    <w:bookmarkEnd w:id="131"/>
    <w:bookmarkStart w:name="z138" w:id="132"/>
    <w:p>
      <w:pPr>
        <w:spacing w:after="0"/>
        <w:ind w:left="0"/>
        <w:jc w:val="both"/>
      </w:pPr>
      <w:r>
        <w:rPr>
          <w:rFonts w:ascii="Times New Roman"/>
          <w:b w:val="false"/>
          <w:i w:val="false"/>
          <w:color w:val="000000"/>
          <w:sz w:val="28"/>
        </w:rPr>
        <w:t>
      Перспективное развитие улично-дорожной сети города</w:t>
      </w:r>
    </w:p>
    <w:bookmarkEnd w:id="132"/>
    <w:bookmarkStart w:name="z139" w:id="133"/>
    <w:p>
      <w:pPr>
        <w:spacing w:after="0"/>
        <w:ind w:left="0"/>
        <w:jc w:val="both"/>
      </w:pPr>
      <w:r>
        <w:rPr>
          <w:rFonts w:ascii="Times New Roman"/>
          <w:b w:val="false"/>
          <w:i w:val="false"/>
          <w:color w:val="000000"/>
          <w:sz w:val="28"/>
        </w:rPr>
        <w:t xml:space="preserve">
      При разработке перспективной улично-дорожной сети было учтено размещение промышленных зон, жилых массивов, объектов культурно-бытового назначения, дачных массивов. Предусмотрено максимальное использование сложившейся улично-дорожной сети. Особое внимание обращено на создание рационального транспортного сообщения между жилыми и промышленными районами, на связь с общегородским центром, центрами жилых районов, объектами внешнего транспорта. </w:t>
      </w:r>
    </w:p>
    <w:bookmarkEnd w:id="133"/>
    <w:bookmarkStart w:name="z140" w:id="134"/>
    <w:p>
      <w:pPr>
        <w:spacing w:after="0"/>
        <w:ind w:left="0"/>
        <w:jc w:val="both"/>
      </w:pPr>
      <w:r>
        <w:rPr>
          <w:rFonts w:ascii="Times New Roman"/>
          <w:b w:val="false"/>
          <w:i w:val="false"/>
          <w:color w:val="000000"/>
          <w:sz w:val="28"/>
        </w:rPr>
        <w:t xml:space="preserve">
      Основой планировочного развития улично-дорожной сети является каркас существующей системы общегородских магистралей, выходящих на обводную автодорогу, а затем на внешние автодороги. </w:t>
      </w:r>
    </w:p>
    <w:bookmarkEnd w:id="134"/>
    <w:bookmarkStart w:name="z141" w:id="135"/>
    <w:p>
      <w:pPr>
        <w:spacing w:after="0"/>
        <w:ind w:left="0"/>
        <w:jc w:val="both"/>
      </w:pPr>
      <w:r>
        <w:rPr>
          <w:rFonts w:ascii="Times New Roman"/>
          <w:b w:val="false"/>
          <w:i w:val="false"/>
          <w:color w:val="000000"/>
          <w:sz w:val="28"/>
        </w:rPr>
        <w:t>
      В частности, данным Генеральным планом запланированы строительство, пробивка и расширение следующих улиц города:</w:t>
      </w:r>
    </w:p>
    <w:bookmarkEnd w:id="135"/>
    <w:bookmarkStart w:name="z142" w:id="136"/>
    <w:p>
      <w:pPr>
        <w:spacing w:after="0"/>
        <w:ind w:left="0"/>
        <w:jc w:val="both"/>
      </w:pPr>
      <w:r>
        <w:rPr>
          <w:rFonts w:ascii="Times New Roman"/>
          <w:b w:val="false"/>
          <w:i w:val="false"/>
          <w:color w:val="000000"/>
          <w:sz w:val="28"/>
        </w:rPr>
        <w:t>
      Строительство "Северной" части объездной автодороги, которая соединит восточную часть города с западной и обеспечит объезд города с северной части. Протяженность данной дороги составит 13,8 км. Проектируемая автодорога будет начинаться от трассы "Талдыкорган – Уштобе" далее на восток с выходом на трассу "Талдыкорган – Оскемен" В некоторых местах проектируемой автодороги предусмотрен снос жилья.</w:t>
      </w:r>
    </w:p>
    <w:bookmarkEnd w:id="136"/>
    <w:bookmarkStart w:name="z143" w:id="137"/>
    <w:p>
      <w:pPr>
        <w:spacing w:after="0"/>
        <w:ind w:left="0"/>
        <w:jc w:val="both"/>
      </w:pPr>
      <w:r>
        <w:rPr>
          <w:rFonts w:ascii="Times New Roman"/>
          <w:b w:val="false"/>
          <w:i w:val="false"/>
          <w:color w:val="000000"/>
          <w:sz w:val="28"/>
        </w:rPr>
        <w:t>
      Строительство объездной автодороги в восточной части города, которая позволит объехать мкр. "Коктал", тем самым включив его в городскую застройку, протяженностью 8,5 км, со строительством моста через реку Балыкты.</w:t>
      </w:r>
    </w:p>
    <w:bookmarkEnd w:id="137"/>
    <w:bookmarkStart w:name="z144" w:id="138"/>
    <w:p>
      <w:pPr>
        <w:spacing w:after="0"/>
        <w:ind w:left="0"/>
        <w:jc w:val="both"/>
      </w:pPr>
      <w:r>
        <w:rPr>
          <w:rFonts w:ascii="Times New Roman"/>
          <w:b w:val="false"/>
          <w:i w:val="false"/>
          <w:color w:val="000000"/>
          <w:sz w:val="28"/>
        </w:rPr>
        <w:t>
      Пробивка и расширение улицы В. Чкалова, которые позволят соединить восточную и западную часть города, протяженностью 12,8 км. Данная пробивка позволит в перспективе решить проблему транспортной доступности северных частей города в восточном и западном направлении, в настоящее время осуществляемых через центральные улицы города, тем самым дополнительно нагружая их.</w:t>
      </w:r>
    </w:p>
    <w:bookmarkEnd w:id="138"/>
    <w:bookmarkStart w:name="z145" w:id="139"/>
    <w:p>
      <w:pPr>
        <w:spacing w:after="0"/>
        <w:ind w:left="0"/>
        <w:jc w:val="both"/>
      </w:pPr>
      <w:r>
        <w:rPr>
          <w:rFonts w:ascii="Times New Roman"/>
          <w:b w:val="false"/>
          <w:i w:val="false"/>
          <w:color w:val="000000"/>
          <w:sz w:val="28"/>
        </w:rPr>
        <w:t xml:space="preserve">
      Пробивка улицы Д. Конаева до улицы Абылай хана протяженностью 400 метров с организацией переезда через железную дорогу. </w:t>
      </w:r>
    </w:p>
    <w:bookmarkEnd w:id="139"/>
    <w:bookmarkStart w:name="z146" w:id="140"/>
    <w:p>
      <w:pPr>
        <w:spacing w:after="0"/>
        <w:ind w:left="0"/>
        <w:jc w:val="both"/>
      </w:pPr>
      <w:r>
        <w:rPr>
          <w:rFonts w:ascii="Times New Roman"/>
          <w:b w:val="false"/>
          <w:i w:val="false"/>
          <w:color w:val="000000"/>
          <w:sz w:val="28"/>
        </w:rPr>
        <w:t>
      Пробивка улицы Д. Ракишева до улицы Абылай хана протяженностью 384 метров с организацией переезда через железную дорогу. Данные две меры позволят решить проблему пробок в настоящее время на дорогах промышленных территории города.</w:t>
      </w:r>
    </w:p>
    <w:bookmarkEnd w:id="140"/>
    <w:bookmarkStart w:name="z147" w:id="141"/>
    <w:p>
      <w:pPr>
        <w:spacing w:after="0"/>
        <w:ind w:left="0"/>
        <w:jc w:val="both"/>
      </w:pPr>
      <w:r>
        <w:rPr>
          <w:rFonts w:ascii="Times New Roman"/>
          <w:b w:val="false"/>
          <w:i w:val="false"/>
          <w:color w:val="000000"/>
          <w:sz w:val="28"/>
        </w:rPr>
        <w:t>
      Пробивка и расширение улицы Покрышкина со строительством моста через реку Каратал протяженностью 1,8 км. Данная мера позволит соединить жилые массивы южной части города в восточном и западном направлении, связь которых в настоящее время осуществляется через улицы Жансугурова.</w:t>
      </w:r>
    </w:p>
    <w:bookmarkEnd w:id="141"/>
    <w:bookmarkStart w:name="z148" w:id="142"/>
    <w:p>
      <w:pPr>
        <w:spacing w:after="0"/>
        <w:ind w:left="0"/>
        <w:jc w:val="both"/>
      </w:pPr>
      <w:r>
        <w:rPr>
          <w:rFonts w:ascii="Times New Roman"/>
          <w:b w:val="false"/>
          <w:i w:val="false"/>
          <w:color w:val="000000"/>
          <w:sz w:val="28"/>
        </w:rPr>
        <w:t>
      Строительство двух улиц внутри села Еркин в районе перспективной застройки с протяженностью 2 км.</w:t>
      </w:r>
    </w:p>
    <w:bookmarkEnd w:id="142"/>
    <w:bookmarkStart w:name="z149" w:id="143"/>
    <w:p>
      <w:pPr>
        <w:spacing w:after="0"/>
        <w:ind w:left="0"/>
        <w:jc w:val="both"/>
      </w:pPr>
      <w:r>
        <w:rPr>
          <w:rFonts w:ascii="Times New Roman"/>
          <w:b w:val="false"/>
          <w:i w:val="false"/>
          <w:color w:val="000000"/>
          <w:sz w:val="28"/>
        </w:rPr>
        <w:t>
      Строительство автодорог внутри проектируемого парка в северной части города с протяженностью 2,4 км.</w:t>
      </w:r>
    </w:p>
    <w:bookmarkEnd w:id="143"/>
    <w:bookmarkStart w:name="z150" w:id="144"/>
    <w:p>
      <w:pPr>
        <w:spacing w:after="0"/>
        <w:ind w:left="0"/>
        <w:jc w:val="both"/>
      </w:pPr>
      <w:r>
        <w:rPr>
          <w:rFonts w:ascii="Times New Roman"/>
          <w:b w:val="false"/>
          <w:i w:val="false"/>
          <w:color w:val="000000"/>
          <w:sz w:val="28"/>
        </w:rPr>
        <w:t>
      Пробивка улицы, ведущей к бывшей резиденции Президента Республики Казахстан, к проектируемой северной объездной автодороге протяженностью 2 км.</w:t>
      </w:r>
    </w:p>
    <w:bookmarkEnd w:id="144"/>
    <w:bookmarkStart w:name="z151" w:id="145"/>
    <w:p>
      <w:pPr>
        <w:spacing w:after="0"/>
        <w:ind w:left="0"/>
        <w:jc w:val="both"/>
      </w:pPr>
      <w:r>
        <w:rPr>
          <w:rFonts w:ascii="Times New Roman"/>
          <w:b w:val="false"/>
          <w:i w:val="false"/>
          <w:color w:val="000000"/>
          <w:sz w:val="28"/>
        </w:rPr>
        <w:t>
      Строительство автодороги, соединяющей пробиваемую улицы В. Чкалова и проектируемую северную автодорогу протяженностью 1,8 км, которая позволит улучшить транспортную связанность северной части города.</w:t>
      </w:r>
    </w:p>
    <w:bookmarkEnd w:id="145"/>
    <w:bookmarkStart w:name="z152" w:id="146"/>
    <w:p>
      <w:pPr>
        <w:spacing w:after="0"/>
        <w:ind w:left="0"/>
        <w:jc w:val="both"/>
      </w:pPr>
      <w:r>
        <w:rPr>
          <w:rFonts w:ascii="Times New Roman"/>
          <w:b w:val="false"/>
          <w:i w:val="false"/>
          <w:color w:val="000000"/>
          <w:sz w:val="28"/>
        </w:rPr>
        <w:t>
      Строительство группы автодорог для обеспечения связанности северо-западной части с юго-западной части города протяженность 22,2 км.</w:t>
      </w:r>
    </w:p>
    <w:bookmarkEnd w:id="146"/>
    <w:bookmarkStart w:name="z153" w:id="147"/>
    <w:p>
      <w:pPr>
        <w:spacing w:after="0"/>
        <w:ind w:left="0"/>
        <w:jc w:val="both"/>
      </w:pPr>
      <w:r>
        <w:rPr>
          <w:rFonts w:ascii="Times New Roman"/>
          <w:b w:val="false"/>
          <w:i w:val="false"/>
          <w:color w:val="000000"/>
          <w:sz w:val="28"/>
        </w:rPr>
        <w:t>
      Строительство отрезка, соединяющего улицы Абая и Акын-Сара, проходящие между Дворцом культуры имени И. Жансугурова и ЦОН, южнее городской площади, протяженностью 265 метров.</w:t>
      </w:r>
    </w:p>
    <w:bookmarkEnd w:id="147"/>
    <w:bookmarkStart w:name="z154" w:id="148"/>
    <w:p>
      <w:pPr>
        <w:spacing w:after="0"/>
        <w:ind w:left="0"/>
        <w:jc w:val="both"/>
      </w:pPr>
      <w:r>
        <w:rPr>
          <w:rFonts w:ascii="Times New Roman"/>
          <w:b w:val="false"/>
          <w:i w:val="false"/>
          <w:color w:val="000000"/>
          <w:sz w:val="28"/>
        </w:rPr>
        <w:t>
      Реконструкция улиц И. Жансугурова и проспекта Н. Назарбаева под 6 полосную магистральную улицу общегородского значения протяженностью (7,1 км и 6 км, соответственно).</w:t>
      </w:r>
    </w:p>
    <w:bookmarkEnd w:id="148"/>
    <w:bookmarkStart w:name="z155" w:id="149"/>
    <w:p>
      <w:pPr>
        <w:spacing w:after="0"/>
        <w:ind w:left="0"/>
        <w:jc w:val="both"/>
      </w:pPr>
      <w:r>
        <w:rPr>
          <w:rFonts w:ascii="Times New Roman"/>
          <w:b w:val="false"/>
          <w:i w:val="false"/>
          <w:color w:val="000000"/>
          <w:sz w:val="28"/>
        </w:rPr>
        <w:t>
      Спрямление существующего участка магистральной дороги на стыке с Алматинской трассой и дорогой на коттеджный городок.</w:t>
      </w:r>
    </w:p>
    <w:bookmarkEnd w:id="149"/>
    <w:bookmarkStart w:name="z156" w:id="150"/>
    <w:p>
      <w:pPr>
        <w:spacing w:after="0"/>
        <w:ind w:left="0"/>
        <w:jc w:val="both"/>
      </w:pPr>
      <w:r>
        <w:rPr>
          <w:rFonts w:ascii="Times New Roman"/>
          <w:b w:val="false"/>
          <w:i w:val="false"/>
          <w:color w:val="000000"/>
          <w:sz w:val="28"/>
        </w:rPr>
        <w:t>
      Строительство западной объездной дороги протяженностью 10 км.</w:t>
      </w:r>
    </w:p>
    <w:bookmarkEnd w:id="150"/>
    <w:bookmarkStart w:name="z157" w:id="151"/>
    <w:p>
      <w:pPr>
        <w:spacing w:after="0"/>
        <w:ind w:left="0"/>
        <w:jc w:val="both"/>
      </w:pPr>
      <w:r>
        <w:rPr>
          <w:rFonts w:ascii="Times New Roman"/>
          <w:b w:val="false"/>
          <w:i w:val="false"/>
          <w:color w:val="000000"/>
          <w:sz w:val="28"/>
        </w:rPr>
        <w:t>
      Кроме того, улично-дорожная сеть дополняется участками магистральных дорог, пробитых в зонах существующих и новой застройки и прилегающих селах Енбек, 3-е отделение, Отенай, Коктал.</w:t>
      </w:r>
    </w:p>
    <w:bookmarkEnd w:id="151"/>
    <w:bookmarkStart w:name="z158" w:id="152"/>
    <w:p>
      <w:pPr>
        <w:spacing w:after="0"/>
        <w:ind w:left="0"/>
        <w:jc w:val="both"/>
      </w:pPr>
      <w:r>
        <w:rPr>
          <w:rFonts w:ascii="Times New Roman"/>
          <w:b w:val="false"/>
          <w:i w:val="false"/>
          <w:color w:val="000000"/>
          <w:sz w:val="28"/>
        </w:rPr>
        <w:t xml:space="preserve">
      Все эти магистрали, проходя через город в широтном и меридиональном направлении, замыкаются на кольцевую обводную дорогу, предусмотренную проектом. </w:t>
      </w:r>
    </w:p>
    <w:bookmarkEnd w:id="152"/>
    <w:bookmarkStart w:name="z159" w:id="153"/>
    <w:p>
      <w:pPr>
        <w:spacing w:after="0"/>
        <w:ind w:left="0"/>
        <w:jc w:val="both"/>
      </w:pPr>
      <w:r>
        <w:rPr>
          <w:rFonts w:ascii="Times New Roman"/>
          <w:b w:val="false"/>
          <w:i w:val="false"/>
          <w:color w:val="000000"/>
          <w:sz w:val="28"/>
        </w:rPr>
        <w:t>
      В соответствии с проектными решениями развитие транспортной и дорожной инфраструктуры предусматривает поэтапное увеличение количества ключевых объектов.</w:t>
      </w:r>
    </w:p>
    <w:bookmarkEnd w:id="153"/>
    <w:bookmarkStart w:name="z160" w:id="154"/>
    <w:p>
      <w:pPr>
        <w:spacing w:after="0"/>
        <w:ind w:left="0"/>
        <w:jc w:val="both"/>
      </w:pPr>
      <w:r>
        <w:rPr>
          <w:rFonts w:ascii="Times New Roman"/>
          <w:b w:val="false"/>
          <w:i w:val="false"/>
          <w:color w:val="000000"/>
          <w:sz w:val="28"/>
        </w:rPr>
        <w:t>
      На расчетный срок планируется значительное расширение пропускной способности транспортной сети за счет строительства четырех транспортных развязок в двух уровнях, при том, что в настоящее время функционирует одна, а в первую очередь запланировано строительство еще одной.</w:t>
      </w:r>
    </w:p>
    <w:bookmarkEnd w:id="154"/>
    <w:bookmarkStart w:name="z161" w:id="155"/>
    <w:p>
      <w:pPr>
        <w:spacing w:after="0"/>
        <w:ind w:left="0"/>
        <w:jc w:val="both"/>
      </w:pPr>
      <w:r>
        <w:rPr>
          <w:rFonts w:ascii="Times New Roman"/>
          <w:b w:val="false"/>
          <w:i w:val="false"/>
          <w:color w:val="000000"/>
          <w:sz w:val="28"/>
        </w:rPr>
        <w:t>
      Количество мостов также будет увеличено: с существующих 14 до 15 на первом этапе и до 17 - к расчетному сроку.</w:t>
      </w:r>
    </w:p>
    <w:bookmarkEnd w:id="155"/>
    <w:bookmarkStart w:name="z162" w:id="156"/>
    <w:p>
      <w:pPr>
        <w:spacing w:after="0"/>
        <w:ind w:left="0"/>
        <w:jc w:val="left"/>
      </w:pPr>
      <w:r>
        <w:rPr>
          <w:rFonts w:ascii="Times New Roman"/>
          <w:b/>
          <w:i w:val="false"/>
          <w:color w:val="000000"/>
        </w:rPr>
        <w:t xml:space="preserve"> Глава 8. Инженерная инфраструктура</w:t>
      </w:r>
    </w:p>
    <w:bookmarkEnd w:id="156"/>
    <w:bookmarkStart w:name="z163" w:id="157"/>
    <w:p>
      <w:pPr>
        <w:spacing w:after="0"/>
        <w:ind w:left="0"/>
        <w:jc w:val="left"/>
      </w:pPr>
      <w:r>
        <w:rPr>
          <w:rFonts w:ascii="Times New Roman"/>
          <w:b/>
          <w:i w:val="false"/>
          <w:color w:val="000000"/>
        </w:rPr>
        <w:t xml:space="preserve"> Параграф 1. Водоснабжение</w:t>
      </w:r>
    </w:p>
    <w:bookmarkEnd w:id="157"/>
    <w:bookmarkStart w:name="z164" w:id="158"/>
    <w:p>
      <w:pPr>
        <w:spacing w:after="0"/>
        <w:ind w:left="0"/>
        <w:jc w:val="both"/>
      </w:pPr>
      <w:r>
        <w:rPr>
          <w:rFonts w:ascii="Times New Roman"/>
          <w:b w:val="false"/>
          <w:i w:val="false"/>
          <w:color w:val="000000"/>
          <w:sz w:val="28"/>
        </w:rPr>
        <w:t>
      В настоящее время в городе Талдыкоргане действует единая централизованная система хозяйственно-питьевого, противопожарного и промышленного водоснабжения.</w:t>
      </w:r>
    </w:p>
    <w:bookmarkEnd w:id="158"/>
    <w:bookmarkStart w:name="z165" w:id="159"/>
    <w:p>
      <w:pPr>
        <w:spacing w:after="0"/>
        <w:ind w:left="0"/>
        <w:jc w:val="both"/>
      </w:pPr>
      <w:r>
        <w:rPr>
          <w:rFonts w:ascii="Times New Roman"/>
          <w:b w:val="false"/>
          <w:i w:val="false"/>
          <w:color w:val="000000"/>
          <w:sz w:val="28"/>
        </w:rPr>
        <w:t>
      Проектом предлагаются на территории города сохранение и дальнейшее развитие централизованной системы объединенного питьевого и противопожарного водоснабжения.</w:t>
      </w:r>
    </w:p>
    <w:bookmarkEnd w:id="159"/>
    <w:bookmarkStart w:name="z166" w:id="160"/>
    <w:p>
      <w:pPr>
        <w:spacing w:after="0"/>
        <w:ind w:left="0"/>
        <w:jc w:val="both"/>
      </w:pPr>
      <w:r>
        <w:rPr>
          <w:rFonts w:ascii="Times New Roman"/>
          <w:b w:val="false"/>
          <w:i w:val="false"/>
          <w:color w:val="000000"/>
          <w:sz w:val="28"/>
        </w:rPr>
        <w:t>
      Расчетное количество средне-суточного водопотребления на первую очередь составит – 41992 м3/сут, на расчетный срок – 58472 м3/сут.</w:t>
      </w:r>
    </w:p>
    <w:bookmarkEnd w:id="160"/>
    <w:bookmarkStart w:name="z167" w:id="161"/>
    <w:p>
      <w:pPr>
        <w:spacing w:after="0"/>
        <w:ind w:left="0"/>
        <w:jc w:val="both"/>
      </w:pPr>
      <w:r>
        <w:rPr>
          <w:rFonts w:ascii="Times New Roman"/>
          <w:b w:val="false"/>
          <w:i w:val="false"/>
          <w:color w:val="000000"/>
          <w:sz w:val="28"/>
        </w:rPr>
        <w:t>
      Методы реализации развития системы водоснабжения</w:t>
      </w:r>
    </w:p>
    <w:bookmarkEnd w:id="161"/>
    <w:bookmarkStart w:name="z168" w:id="162"/>
    <w:p>
      <w:pPr>
        <w:spacing w:after="0"/>
        <w:ind w:left="0"/>
        <w:jc w:val="both"/>
      </w:pPr>
      <w:r>
        <w:rPr>
          <w:rFonts w:ascii="Times New Roman"/>
          <w:b w:val="false"/>
          <w:i w:val="false"/>
          <w:color w:val="000000"/>
          <w:sz w:val="28"/>
        </w:rPr>
        <w:t xml:space="preserve">
      Генеральным планом города Талдыкоргана для развития системы водоснабжения предусматриваются: </w:t>
      </w:r>
    </w:p>
    <w:bookmarkEnd w:id="162"/>
    <w:bookmarkStart w:name="z169" w:id="163"/>
    <w:p>
      <w:pPr>
        <w:spacing w:after="0"/>
        <w:ind w:left="0"/>
        <w:jc w:val="both"/>
      </w:pPr>
      <w:r>
        <w:rPr>
          <w:rFonts w:ascii="Times New Roman"/>
          <w:b w:val="false"/>
          <w:i w:val="false"/>
          <w:color w:val="000000"/>
          <w:sz w:val="28"/>
        </w:rPr>
        <w:t>
      1. До окончания I очереди согласно срокам реализации Генерального плана города Талдыкоргана:</w:t>
      </w:r>
    </w:p>
    <w:bookmarkEnd w:id="163"/>
    <w:bookmarkStart w:name="z170" w:id="164"/>
    <w:p>
      <w:pPr>
        <w:spacing w:after="0"/>
        <w:ind w:left="0"/>
        <w:jc w:val="both"/>
      </w:pPr>
      <w:r>
        <w:rPr>
          <w:rFonts w:ascii="Times New Roman"/>
          <w:b w:val="false"/>
          <w:i w:val="false"/>
          <w:color w:val="000000"/>
          <w:sz w:val="28"/>
        </w:rPr>
        <w:t>
      реконструкция систем водоподготовки обеззараживания подземных вод;</w:t>
      </w:r>
    </w:p>
    <w:bookmarkEnd w:id="164"/>
    <w:bookmarkStart w:name="z171" w:id="165"/>
    <w:p>
      <w:pPr>
        <w:spacing w:after="0"/>
        <w:ind w:left="0"/>
        <w:jc w:val="both"/>
      </w:pPr>
      <w:r>
        <w:rPr>
          <w:rFonts w:ascii="Times New Roman"/>
          <w:b w:val="false"/>
          <w:i w:val="false"/>
          <w:color w:val="000000"/>
          <w:sz w:val="28"/>
        </w:rPr>
        <w:t>
      проектирование и строительство системы водоподготовки;</w:t>
      </w:r>
    </w:p>
    <w:bookmarkEnd w:id="165"/>
    <w:bookmarkStart w:name="z172" w:id="166"/>
    <w:p>
      <w:pPr>
        <w:spacing w:after="0"/>
        <w:ind w:left="0"/>
        <w:jc w:val="both"/>
      </w:pPr>
      <w:r>
        <w:rPr>
          <w:rFonts w:ascii="Times New Roman"/>
          <w:b w:val="false"/>
          <w:i w:val="false"/>
          <w:color w:val="000000"/>
          <w:sz w:val="28"/>
        </w:rPr>
        <w:t>
      реконструкция существующих водопроводных сетей, находящихся в аварийном состоянии, а также с истекшим сроком эксплуатации;</w:t>
      </w:r>
    </w:p>
    <w:bookmarkEnd w:id="166"/>
    <w:bookmarkStart w:name="z173" w:id="167"/>
    <w:p>
      <w:pPr>
        <w:spacing w:after="0"/>
        <w:ind w:left="0"/>
        <w:jc w:val="both"/>
      </w:pPr>
      <w:r>
        <w:rPr>
          <w:rFonts w:ascii="Times New Roman"/>
          <w:b w:val="false"/>
          <w:i w:val="false"/>
          <w:color w:val="000000"/>
          <w:sz w:val="28"/>
        </w:rPr>
        <w:t>
      строительство новых водопроводных сетей протяженностью 44,5 км (общая протяженность на первую очередь составит 654,1 км);</w:t>
      </w:r>
    </w:p>
    <w:bookmarkEnd w:id="167"/>
    <w:bookmarkStart w:name="z174" w:id="168"/>
    <w:p>
      <w:pPr>
        <w:spacing w:after="0"/>
        <w:ind w:left="0"/>
        <w:jc w:val="both"/>
      </w:pPr>
      <w:r>
        <w:rPr>
          <w:rFonts w:ascii="Times New Roman"/>
          <w:b w:val="false"/>
          <w:i w:val="false"/>
          <w:color w:val="000000"/>
          <w:sz w:val="28"/>
        </w:rPr>
        <w:t>
      разработка проектов по установлению зон санитарной охраны подземных источников водоснабжения и водопроводных сооружений;</w:t>
      </w:r>
    </w:p>
    <w:bookmarkEnd w:id="168"/>
    <w:bookmarkStart w:name="z175" w:id="169"/>
    <w:p>
      <w:pPr>
        <w:spacing w:after="0"/>
        <w:ind w:left="0"/>
        <w:jc w:val="both"/>
      </w:pPr>
      <w:r>
        <w:rPr>
          <w:rFonts w:ascii="Times New Roman"/>
          <w:b w:val="false"/>
          <w:i w:val="false"/>
          <w:color w:val="000000"/>
          <w:sz w:val="28"/>
        </w:rPr>
        <w:t>
      организация мероприятий по ограничению территории, установленных проектом зон санитарной охраны подземного источника водоснабжения и водопроводных сооружений;</w:t>
      </w:r>
    </w:p>
    <w:bookmarkEnd w:id="169"/>
    <w:bookmarkStart w:name="z176" w:id="170"/>
    <w:p>
      <w:pPr>
        <w:spacing w:after="0"/>
        <w:ind w:left="0"/>
        <w:jc w:val="both"/>
      </w:pPr>
      <w:r>
        <w:rPr>
          <w:rFonts w:ascii="Times New Roman"/>
          <w:b w:val="false"/>
          <w:i w:val="false"/>
          <w:color w:val="000000"/>
          <w:sz w:val="28"/>
        </w:rPr>
        <w:t>
      устройство пожарных гидрантов при строительстве и ремонте водопроводов;</w:t>
      </w:r>
    </w:p>
    <w:bookmarkEnd w:id="170"/>
    <w:bookmarkStart w:name="z177" w:id="171"/>
    <w:p>
      <w:pPr>
        <w:spacing w:after="0"/>
        <w:ind w:left="0"/>
        <w:jc w:val="both"/>
      </w:pPr>
      <w:r>
        <w:rPr>
          <w:rFonts w:ascii="Times New Roman"/>
          <w:b w:val="false"/>
          <w:i w:val="false"/>
          <w:color w:val="000000"/>
          <w:sz w:val="28"/>
        </w:rPr>
        <w:t>
      дальнейшие мероприятия по мониторингу качества питьевой воды, подаваемой населению.</w:t>
      </w:r>
    </w:p>
    <w:bookmarkEnd w:id="171"/>
    <w:bookmarkStart w:name="z178" w:id="172"/>
    <w:p>
      <w:pPr>
        <w:spacing w:after="0"/>
        <w:ind w:left="0"/>
        <w:jc w:val="both"/>
      </w:pPr>
      <w:r>
        <w:rPr>
          <w:rFonts w:ascii="Times New Roman"/>
          <w:b w:val="false"/>
          <w:i w:val="false"/>
          <w:color w:val="000000"/>
          <w:sz w:val="28"/>
        </w:rPr>
        <w:t>
      2. До конца расчетного срока реализации Генерального плана города Талдыкоргана:</w:t>
      </w:r>
    </w:p>
    <w:bookmarkEnd w:id="172"/>
    <w:bookmarkStart w:name="z179" w:id="173"/>
    <w:p>
      <w:pPr>
        <w:spacing w:after="0"/>
        <w:ind w:left="0"/>
        <w:jc w:val="both"/>
      </w:pPr>
      <w:r>
        <w:rPr>
          <w:rFonts w:ascii="Times New Roman"/>
          <w:b w:val="false"/>
          <w:i w:val="false"/>
          <w:color w:val="000000"/>
          <w:sz w:val="28"/>
        </w:rPr>
        <w:t>
      строительство дополнительных резервуаров чистой воды, насосных станции 2-й и 3-го подъема на территории водозаборных сооружений;</w:t>
      </w:r>
    </w:p>
    <w:bookmarkEnd w:id="173"/>
    <w:bookmarkStart w:name="z180" w:id="174"/>
    <w:p>
      <w:pPr>
        <w:spacing w:after="0"/>
        <w:ind w:left="0"/>
        <w:jc w:val="both"/>
      </w:pPr>
      <w:r>
        <w:rPr>
          <w:rFonts w:ascii="Times New Roman"/>
          <w:b w:val="false"/>
          <w:i w:val="false"/>
          <w:color w:val="000000"/>
          <w:sz w:val="28"/>
        </w:rPr>
        <w:t>
      строительство новых водопроводных сетей протяженностью 35,6 км (общая протяженность на расчетный срок составит 689,7 км);</w:t>
      </w:r>
    </w:p>
    <w:bookmarkEnd w:id="174"/>
    <w:bookmarkStart w:name="z181" w:id="175"/>
    <w:p>
      <w:pPr>
        <w:spacing w:after="0"/>
        <w:ind w:left="0"/>
        <w:jc w:val="both"/>
      </w:pPr>
      <w:r>
        <w:rPr>
          <w:rFonts w:ascii="Times New Roman"/>
          <w:b w:val="false"/>
          <w:i w:val="false"/>
          <w:color w:val="000000"/>
          <w:sz w:val="28"/>
        </w:rPr>
        <w:t>
      организация по устройству пожарных гидрантов при строительстве и ремонте водопроводов;</w:t>
      </w:r>
    </w:p>
    <w:bookmarkEnd w:id="175"/>
    <w:bookmarkStart w:name="z182" w:id="176"/>
    <w:p>
      <w:pPr>
        <w:spacing w:after="0"/>
        <w:ind w:left="0"/>
        <w:jc w:val="both"/>
      </w:pPr>
      <w:r>
        <w:rPr>
          <w:rFonts w:ascii="Times New Roman"/>
          <w:b w:val="false"/>
          <w:i w:val="false"/>
          <w:color w:val="000000"/>
          <w:sz w:val="28"/>
        </w:rPr>
        <w:t>
      организация системы учета расхода воды.</w:t>
      </w:r>
    </w:p>
    <w:bookmarkEnd w:id="176"/>
    <w:bookmarkStart w:name="z183" w:id="177"/>
    <w:p>
      <w:pPr>
        <w:spacing w:after="0"/>
        <w:ind w:left="0"/>
        <w:jc w:val="left"/>
      </w:pPr>
      <w:r>
        <w:rPr>
          <w:rFonts w:ascii="Times New Roman"/>
          <w:b/>
          <w:i w:val="false"/>
          <w:color w:val="000000"/>
        </w:rPr>
        <w:t xml:space="preserve"> Параграф 2. Водоотведение</w:t>
      </w:r>
    </w:p>
    <w:bookmarkEnd w:id="177"/>
    <w:bookmarkStart w:name="z184" w:id="178"/>
    <w:p>
      <w:pPr>
        <w:spacing w:after="0"/>
        <w:ind w:left="0"/>
        <w:jc w:val="both"/>
      </w:pPr>
      <w:r>
        <w:rPr>
          <w:rFonts w:ascii="Times New Roman"/>
          <w:b w:val="false"/>
          <w:i w:val="false"/>
          <w:color w:val="000000"/>
          <w:sz w:val="28"/>
        </w:rPr>
        <w:t xml:space="preserve">
      Система водоотведения города Талдыкоргана - централизованная, объединенная (хозяйственно-бытовые и промышленные стоки), с самотечными и напорными коллекторами, КНС и очистными сооружениями, что соответствует п. 6.1.1 СН РК 4.01-03-2011. </w:t>
      </w:r>
    </w:p>
    <w:bookmarkEnd w:id="178"/>
    <w:bookmarkStart w:name="z185" w:id="179"/>
    <w:p>
      <w:pPr>
        <w:spacing w:after="0"/>
        <w:ind w:left="0"/>
        <w:jc w:val="both"/>
      </w:pPr>
      <w:r>
        <w:rPr>
          <w:rFonts w:ascii="Times New Roman"/>
          <w:b w:val="false"/>
          <w:i w:val="false"/>
          <w:color w:val="000000"/>
          <w:sz w:val="28"/>
        </w:rPr>
        <w:t>
      При отсутствии присоединения к сетям канализации города откачка бытовых сточных вод из септиков частных жилых домов, локальных очистных сооружений производится ассенизационным транспортом с вакуумной (пневматической)  загрузкой, которые затем сливают в колодцы канализационной системы или за городом в яму или овраг.</w:t>
      </w:r>
    </w:p>
    <w:bookmarkEnd w:id="179"/>
    <w:bookmarkStart w:name="z186" w:id="180"/>
    <w:p>
      <w:pPr>
        <w:spacing w:after="0"/>
        <w:ind w:left="0"/>
        <w:jc w:val="both"/>
      </w:pPr>
      <w:r>
        <w:rPr>
          <w:rFonts w:ascii="Times New Roman"/>
          <w:b w:val="false"/>
          <w:i w:val="false"/>
          <w:color w:val="000000"/>
          <w:sz w:val="28"/>
        </w:rPr>
        <w:t xml:space="preserve">
      Хозяйственно-бытовые стоки от зданий и сооружений, подключенных к централизованной системе водоотведения, собираются сетью самотечных коллекторов и поступают на очистные сооружения. </w:t>
      </w:r>
    </w:p>
    <w:bookmarkEnd w:id="180"/>
    <w:bookmarkStart w:name="z187" w:id="181"/>
    <w:p>
      <w:pPr>
        <w:spacing w:after="0"/>
        <w:ind w:left="0"/>
        <w:jc w:val="both"/>
      </w:pPr>
      <w:r>
        <w:rPr>
          <w:rFonts w:ascii="Times New Roman"/>
          <w:b w:val="false"/>
          <w:i w:val="false"/>
          <w:color w:val="000000"/>
          <w:sz w:val="28"/>
        </w:rPr>
        <w:t xml:space="preserve">
      Расход сточных вод в настоящее время составляет 25,4 тыс. м3/сутки. Указанный объем учитывает сброс от жилых и общественных зданий в количестве 24,7 тыс. м3/сутки, а также от промышленных объектов в количестве 0,74 тыс. м3/сутки. </w:t>
      </w:r>
    </w:p>
    <w:bookmarkEnd w:id="181"/>
    <w:bookmarkStart w:name="z188" w:id="182"/>
    <w:p>
      <w:pPr>
        <w:spacing w:after="0"/>
        <w:ind w:left="0"/>
        <w:jc w:val="both"/>
      </w:pPr>
      <w:r>
        <w:rPr>
          <w:rFonts w:ascii="Times New Roman"/>
          <w:b w:val="false"/>
          <w:i w:val="false"/>
          <w:color w:val="000000"/>
          <w:sz w:val="28"/>
        </w:rPr>
        <w:t>
      Проектом предусматривается поэтапное подключение к системе централизованного водоотведения объектов жилого и общественного назначения в неканализованных районах города Талдыкоргана.</w:t>
      </w:r>
    </w:p>
    <w:bookmarkEnd w:id="182"/>
    <w:bookmarkStart w:name="z189" w:id="183"/>
    <w:p>
      <w:pPr>
        <w:spacing w:after="0"/>
        <w:ind w:left="0"/>
        <w:jc w:val="both"/>
      </w:pPr>
      <w:r>
        <w:rPr>
          <w:rFonts w:ascii="Times New Roman"/>
          <w:b w:val="false"/>
          <w:i w:val="false"/>
          <w:color w:val="000000"/>
          <w:sz w:val="28"/>
        </w:rPr>
        <w:t>
      Расчетное количество сточных вод составляет:</w:t>
      </w:r>
    </w:p>
    <w:bookmarkEnd w:id="183"/>
    <w:bookmarkStart w:name="z190" w:id="184"/>
    <w:p>
      <w:pPr>
        <w:spacing w:after="0"/>
        <w:ind w:left="0"/>
        <w:jc w:val="both"/>
      </w:pPr>
      <w:r>
        <w:rPr>
          <w:rFonts w:ascii="Times New Roman"/>
          <w:b w:val="false"/>
          <w:i w:val="false"/>
          <w:color w:val="000000"/>
          <w:sz w:val="28"/>
        </w:rPr>
        <w:t>
      на современное состояние – 25443 м3/сут,</w:t>
      </w:r>
    </w:p>
    <w:bookmarkEnd w:id="184"/>
    <w:bookmarkStart w:name="z191" w:id="185"/>
    <w:p>
      <w:pPr>
        <w:spacing w:after="0"/>
        <w:ind w:left="0"/>
        <w:jc w:val="both"/>
      </w:pPr>
      <w:r>
        <w:rPr>
          <w:rFonts w:ascii="Times New Roman"/>
          <w:b w:val="false"/>
          <w:i w:val="false"/>
          <w:color w:val="000000"/>
          <w:sz w:val="28"/>
        </w:rPr>
        <w:t xml:space="preserve">
      на первую очередь – 41992 м3/сут, </w:t>
      </w:r>
    </w:p>
    <w:bookmarkEnd w:id="185"/>
    <w:bookmarkStart w:name="z192" w:id="186"/>
    <w:p>
      <w:pPr>
        <w:spacing w:after="0"/>
        <w:ind w:left="0"/>
        <w:jc w:val="both"/>
      </w:pPr>
      <w:r>
        <w:rPr>
          <w:rFonts w:ascii="Times New Roman"/>
          <w:b w:val="false"/>
          <w:i w:val="false"/>
          <w:color w:val="000000"/>
          <w:sz w:val="28"/>
        </w:rPr>
        <w:t>
      на расчетный срок – 58472 м3/сут.</w:t>
      </w:r>
    </w:p>
    <w:bookmarkEnd w:id="186"/>
    <w:bookmarkStart w:name="z193" w:id="187"/>
    <w:p>
      <w:pPr>
        <w:spacing w:after="0"/>
        <w:ind w:left="0"/>
        <w:jc w:val="both"/>
      </w:pPr>
      <w:r>
        <w:rPr>
          <w:rFonts w:ascii="Times New Roman"/>
          <w:b w:val="false"/>
          <w:i w:val="false"/>
          <w:color w:val="000000"/>
          <w:sz w:val="28"/>
        </w:rPr>
        <w:t>
      В связи с износом оборудования, несоответствием санитарным нормам, требованиям по охране окружающей среды и расположением в пределах городской черты предусмотрены мероприятия по закрытию действующих канализационных очистных сооружений (КОС) и переносу их за пределы жилой застройки. Новая площадка КОС планируется с учетом соблюдения санитарно-защитной зоны, технологических нормативов и возможности подключения к существующим сетям водоотведения.</w:t>
      </w:r>
    </w:p>
    <w:bookmarkEnd w:id="187"/>
    <w:bookmarkStart w:name="z194" w:id="188"/>
    <w:p>
      <w:pPr>
        <w:spacing w:after="0"/>
        <w:ind w:left="0"/>
        <w:jc w:val="both"/>
      </w:pPr>
      <w:r>
        <w:rPr>
          <w:rFonts w:ascii="Times New Roman"/>
          <w:b w:val="false"/>
          <w:i w:val="false"/>
          <w:color w:val="000000"/>
          <w:sz w:val="28"/>
        </w:rPr>
        <w:t>
      Ориентировочное местоположение для строительства новых канализационных очистных сооружений предлагается в северо-западном направлении за границей города Талдыкорган на расстоянии 6 км.</w:t>
      </w:r>
    </w:p>
    <w:bookmarkEnd w:id="188"/>
    <w:bookmarkStart w:name="z195" w:id="189"/>
    <w:p>
      <w:pPr>
        <w:spacing w:after="0"/>
        <w:ind w:left="0"/>
        <w:jc w:val="both"/>
      </w:pPr>
      <w:r>
        <w:rPr>
          <w:rFonts w:ascii="Times New Roman"/>
          <w:b w:val="false"/>
          <w:i w:val="false"/>
          <w:color w:val="000000"/>
          <w:sz w:val="28"/>
        </w:rPr>
        <w:t>
      Проектом предусматриваются поэтапное развитие и модернизация системы водоотведения города:</w:t>
      </w:r>
    </w:p>
    <w:bookmarkEnd w:id="189"/>
    <w:bookmarkStart w:name="z196" w:id="190"/>
    <w:p>
      <w:pPr>
        <w:spacing w:after="0"/>
        <w:ind w:left="0"/>
        <w:jc w:val="both"/>
      </w:pPr>
      <w:r>
        <w:rPr>
          <w:rFonts w:ascii="Times New Roman"/>
          <w:b w:val="false"/>
          <w:i w:val="false"/>
          <w:color w:val="000000"/>
          <w:sz w:val="28"/>
        </w:rPr>
        <w:t xml:space="preserve">
      В период с текущего года и до 1-ой стадии реализации Генерального плана города: </w:t>
      </w:r>
    </w:p>
    <w:bookmarkEnd w:id="190"/>
    <w:bookmarkStart w:name="z197" w:id="191"/>
    <w:p>
      <w:pPr>
        <w:spacing w:after="0"/>
        <w:ind w:left="0"/>
        <w:jc w:val="both"/>
      </w:pPr>
      <w:r>
        <w:rPr>
          <w:rFonts w:ascii="Times New Roman"/>
          <w:b w:val="false"/>
          <w:i w:val="false"/>
          <w:color w:val="000000"/>
          <w:sz w:val="28"/>
        </w:rPr>
        <w:t>
      Подключение новых абонентов в районах, не обеспеченных водоотведением, за счет строительства новых самотечных и напорных сетей протяженностью 156,1 км (общая протяженность на первую очередь составит 520,5 км).</w:t>
      </w:r>
    </w:p>
    <w:bookmarkEnd w:id="191"/>
    <w:bookmarkStart w:name="z198" w:id="192"/>
    <w:p>
      <w:pPr>
        <w:spacing w:after="0"/>
        <w:ind w:left="0"/>
        <w:jc w:val="both"/>
      </w:pPr>
      <w:r>
        <w:rPr>
          <w:rFonts w:ascii="Times New Roman"/>
          <w:b w:val="false"/>
          <w:i w:val="false"/>
          <w:color w:val="000000"/>
          <w:sz w:val="28"/>
        </w:rPr>
        <w:t>
      Замена изношенных участков канализационных труб (износ 55%) с недостаточной пропускной способностью.</w:t>
      </w:r>
    </w:p>
    <w:bookmarkEnd w:id="192"/>
    <w:bookmarkStart w:name="z199" w:id="193"/>
    <w:p>
      <w:pPr>
        <w:spacing w:after="0"/>
        <w:ind w:left="0"/>
        <w:jc w:val="both"/>
      </w:pPr>
      <w:r>
        <w:rPr>
          <w:rFonts w:ascii="Times New Roman"/>
          <w:b w:val="false"/>
          <w:i w:val="false"/>
          <w:color w:val="000000"/>
          <w:sz w:val="28"/>
        </w:rPr>
        <w:t>
      Увеличение мощности существующих канализационных очистных сооружений с 36 тыс. м³/сут до 50 тыс. м³/сут за счет замены оборудования и улучшения технологии очистки.</w:t>
      </w:r>
    </w:p>
    <w:bookmarkEnd w:id="193"/>
    <w:bookmarkStart w:name="z200" w:id="194"/>
    <w:p>
      <w:pPr>
        <w:spacing w:after="0"/>
        <w:ind w:left="0"/>
        <w:jc w:val="both"/>
      </w:pPr>
      <w:r>
        <w:rPr>
          <w:rFonts w:ascii="Times New Roman"/>
          <w:b w:val="false"/>
          <w:i w:val="false"/>
          <w:color w:val="000000"/>
          <w:sz w:val="28"/>
        </w:rPr>
        <w:t>
      Организация официального приема сточных вод от ассенизаторского транспорта с размещением модульной станции на прилегающей территории к существующим КОС.</w:t>
      </w:r>
    </w:p>
    <w:bookmarkEnd w:id="194"/>
    <w:bookmarkStart w:name="z201" w:id="195"/>
    <w:p>
      <w:pPr>
        <w:spacing w:after="0"/>
        <w:ind w:left="0"/>
        <w:jc w:val="both"/>
      </w:pPr>
      <w:r>
        <w:rPr>
          <w:rFonts w:ascii="Times New Roman"/>
          <w:b w:val="false"/>
          <w:i w:val="false"/>
          <w:color w:val="000000"/>
          <w:sz w:val="28"/>
        </w:rPr>
        <w:t>
      Модернизация насосного оборудования и систем управления на всех КНС для повышения энергоэффективности и надежности.</w:t>
      </w:r>
    </w:p>
    <w:bookmarkEnd w:id="195"/>
    <w:bookmarkStart w:name="z202" w:id="196"/>
    <w:p>
      <w:pPr>
        <w:spacing w:after="0"/>
        <w:ind w:left="0"/>
        <w:jc w:val="both"/>
      </w:pPr>
      <w:r>
        <w:rPr>
          <w:rFonts w:ascii="Times New Roman"/>
          <w:b w:val="false"/>
          <w:i w:val="false"/>
          <w:color w:val="000000"/>
          <w:sz w:val="28"/>
        </w:rPr>
        <w:t>
      Устройство оборудованных мест врезки в существующие коллекторы с ревизионными колодцами в зонах перспективного подключения.</w:t>
      </w:r>
    </w:p>
    <w:bookmarkEnd w:id="196"/>
    <w:bookmarkStart w:name="z203" w:id="197"/>
    <w:p>
      <w:pPr>
        <w:spacing w:after="0"/>
        <w:ind w:left="0"/>
        <w:jc w:val="both"/>
      </w:pPr>
      <w:r>
        <w:rPr>
          <w:rFonts w:ascii="Times New Roman"/>
          <w:b w:val="false"/>
          <w:i w:val="false"/>
          <w:color w:val="000000"/>
          <w:sz w:val="28"/>
        </w:rPr>
        <w:t>
      В период с начала 1-ой стадии и до расчетного срока реализации Генерального плана города:</w:t>
      </w:r>
    </w:p>
    <w:bookmarkEnd w:id="197"/>
    <w:bookmarkStart w:name="z204" w:id="198"/>
    <w:p>
      <w:pPr>
        <w:spacing w:after="0"/>
        <w:ind w:left="0"/>
        <w:jc w:val="both"/>
      </w:pPr>
      <w:r>
        <w:rPr>
          <w:rFonts w:ascii="Times New Roman"/>
          <w:b w:val="false"/>
          <w:i w:val="false"/>
          <w:color w:val="000000"/>
          <w:sz w:val="28"/>
        </w:rPr>
        <w:t>
      Возведение новых канализационных очистных сооружений мощностью 60 тыс. м³/сут в северо-западной части города на расстоянии 6 км от городской черты с учетом санитарной зоны 300 м.</w:t>
      </w:r>
    </w:p>
    <w:bookmarkEnd w:id="198"/>
    <w:bookmarkStart w:name="z205" w:id="199"/>
    <w:p>
      <w:pPr>
        <w:spacing w:after="0"/>
        <w:ind w:left="0"/>
        <w:jc w:val="both"/>
      </w:pPr>
      <w:r>
        <w:rPr>
          <w:rFonts w:ascii="Times New Roman"/>
          <w:b w:val="false"/>
          <w:i w:val="false"/>
          <w:color w:val="000000"/>
          <w:sz w:val="28"/>
        </w:rPr>
        <w:t>
      В составе комплекса КОС предусматривается сливная станция (прием стоков от автоассенизаторского транспорта). Для данного объекта устанавливается нормативная СЗЗ 300 м согласно СП "Санитарно-эпидемиологические требования по установлению санитарно-защитной зоны объектов, являющихся объектами воздействия на среду обитания и здоровье человека", что является обязательным к соблюдению.</w:t>
      </w:r>
    </w:p>
    <w:bookmarkEnd w:id="199"/>
    <w:bookmarkStart w:name="z206" w:id="200"/>
    <w:p>
      <w:pPr>
        <w:spacing w:after="0"/>
        <w:ind w:left="0"/>
        <w:jc w:val="both"/>
      </w:pPr>
      <w:r>
        <w:rPr>
          <w:rFonts w:ascii="Times New Roman"/>
          <w:b w:val="false"/>
          <w:i w:val="false"/>
          <w:color w:val="000000"/>
          <w:sz w:val="28"/>
        </w:rPr>
        <w:t>
      Размеры и границы поясов СЗЗ - I (строгого режима), II и III - для комплекса КОС будут определены отдельным проектом (проектом СЗЗ) на основании расчетов рассеивания (запахообразующие вещества, биоаэрозоли), акустических расчетов, метеоусловий, рельефа и учтенных инженерно-технологических мероприятий (укрытия, герметизация, системы дезодорации/биофильтрации и т.п.).</w:t>
      </w:r>
    </w:p>
    <w:bookmarkEnd w:id="200"/>
    <w:bookmarkStart w:name="z207" w:id="201"/>
    <w:p>
      <w:pPr>
        <w:spacing w:after="0"/>
        <w:ind w:left="0"/>
        <w:jc w:val="both"/>
      </w:pPr>
      <w:r>
        <w:rPr>
          <w:rFonts w:ascii="Times New Roman"/>
          <w:b w:val="false"/>
          <w:i w:val="false"/>
          <w:color w:val="000000"/>
          <w:sz w:val="28"/>
        </w:rPr>
        <w:t>
      Постепенное закрытие действующих КОС, расположенных в черте города, с ликвидацией биопрудов и иловых карт, в связи с несоответствием санитарным нормам и требованиям по охране окружающей среды.</w:t>
      </w:r>
    </w:p>
    <w:bookmarkEnd w:id="201"/>
    <w:bookmarkStart w:name="z208" w:id="202"/>
    <w:p>
      <w:pPr>
        <w:spacing w:after="0"/>
        <w:ind w:left="0"/>
        <w:jc w:val="both"/>
      </w:pPr>
      <w:r>
        <w:rPr>
          <w:rFonts w:ascii="Times New Roman"/>
          <w:b w:val="false"/>
          <w:i w:val="false"/>
          <w:color w:val="000000"/>
          <w:sz w:val="28"/>
        </w:rPr>
        <w:t>
      Строительство 132,7 км новых самотечных и напорных канализационных сетей для охвата вновь застраиваемых территорий и перспективных районов км (общая протяженность на расчетный срок составит 653,2 км).</w:t>
      </w:r>
    </w:p>
    <w:bookmarkEnd w:id="202"/>
    <w:bookmarkStart w:name="z209" w:id="203"/>
    <w:p>
      <w:pPr>
        <w:spacing w:after="0"/>
        <w:ind w:left="0"/>
        <w:jc w:val="left"/>
      </w:pPr>
      <w:r>
        <w:rPr>
          <w:rFonts w:ascii="Times New Roman"/>
          <w:b/>
          <w:i w:val="false"/>
          <w:color w:val="000000"/>
        </w:rPr>
        <w:t xml:space="preserve"> Параграф 3. Теплоснабжение</w:t>
      </w:r>
    </w:p>
    <w:bookmarkEnd w:id="203"/>
    <w:bookmarkStart w:name="z210" w:id="204"/>
    <w:p>
      <w:pPr>
        <w:spacing w:after="0"/>
        <w:ind w:left="0"/>
        <w:jc w:val="both"/>
      </w:pPr>
      <w:r>
        <w:rPr>
          <w:rFonts w:ascii="Times New Roman"/>
          <w:b w:val="false"/>
          <w:i w:val="false"/>
          <w:color w:val="000000"/>
          <w:sz w:val="28"/>
        </w:rPr>
        <w:t xml:space="preserve">
      Технологический цикл ГГКП "Талдыкоргантеплосервис" объединяет: </w:t>
      </w:r>
    </w:p>
    <w:bookmarkEnd w:id="204"/>
    <w:bookmarkStart w:name="z211" w:id="205"/>
    <w:p>
      <w:pPr>
        <w:spacing w:after="0"/>
        <w:ind w:left="0"/>
        <w:jc w:val="both"/>
      </w:pPr>
      <w:r>
        <w:rPr>
          <w:rFonts w:ascii="Times New Roman"/>
          <w:b w:val="false"/>
          <w:i w:val="false"/>
          <w:color w:val="000000"/>
          <w:sz w:val="28"/>
        </w:rPr>
        <w:t xml:space="preserve">
      а) основное производство – источник теплоэнергии, представленный 8 котельными различной мощности от 2 Гкал/ч до 289 Гкал/ч: центральная котельная "Баскуат"; квартальные котельные №1, 2, 3, 4, 18; 2 котельные малой мощности № 10 и № 22; </w:t>
      </w:r>
    </w:p>
    <w:bookmarkEnd w:id="205"/>
    <w:bookmarkStart w:name="z212" w:id="206"/>
    <w:p>
      <w:pPr>
        <w:spacing w:after="0"/>
        <w:ind w:left="0"/>
        <w:jc w:val="both"/>
      </w:pPr>
      <w:r>
        <w:rPr>
          <w:rFonts w:ascii="Times New Roman"/>
          <w:b w:val="false"/>
          <w:i w:val="false"/>
          <w:color w:val="000000"/>
          <w:sz w:val="28"/>
        </w:rPr>
        <w:t xml:space="preserve">
      б) тепловые сети 201,8 км (в 2-х трубном исполнении); </w:t>
      </w:r>
    </w:p>
    <w:bookmarkEnd w:id="206"/>
    <w:bookmarkStart w:name="z213" w:id="207"/>
    <w:p>
      <w:pPr>
        <w:spacing w:after="0"/>
        <w:ind w:left="0"/>
        <w:jc w:val="both"/>
      </w:pPr>
      <w:r>
        <w:rPr>
          <w:rFonts w:ascii="Times New Roman"/>
          <w:b w:val="false"/>
          <w:i w:val="false"/>
          <w:color w:val="000000"/>
          <w:sz w:val="28"/>
        </w:rPr>
        <w:t xml:space="preserve">
      в) вспомогательное производство: цех по ремонту; автотранспортное хозяйство; ремонтно-строительный участок; центральная аварийно-диспетчерская служба; </w:t>
      </w:r>
    </w:p>
    <w:bookmarkEnd w:id="207"/>
    <w:bookmarkStart w:name="z214" w:id="208"/>
    <w:p>
      <w:pPr>
        <w:spacing w:after="0"/>
        <w:ind w:left="0"/>
        <w:jc w:val="both"/>
      </w:pPr>
      <w:r>
        <w:rPr>
          <w:rFonts w:ascii="Times New Roman"/>
          <w:b w:val="false"/>
          <w:i w:val="false"/>
          <w:color w:val="000000"/>
          <w:sz w:val="28"/>
        </w:rPr>
        <w:t xml:space="preserve">
      г) административно-управленческий персонал; </w:t>
      </w:r>
    </w:p>
    <w:bookmarkEnd w:id="208"/>
    <w:bookmarkStart w:name="z215" w:id="209"/>
    <w:p>
      <w:pPr>
        <w:spacing w:after="0"/>
        <w:ind w:left="0"/>
        <w:jc w:val="both"/>
      </w:pPr>
      <w:r>
        <w:rPr>
          <w:rFonts w:ascii="Times New Roman"/>
          <w:b w:val="false"/>
          <w:i w:val="false"/>
          <w:color w:val="000000"/>
          <w:sz w:val="28"/>
        </w:rPr>
        <w:t>
      д) линейный персонал;</w:t>
      </w:r>
    </w:p>
    <w:bookmarkEnd w:id="209"/>
    <w:bookmarkStart w:name="z216" w:id="210"/>
    <w:p>
      <w:pPr>
        <w:spacing w:after="0"/>
        <w:ind w:left="0"/>
        <w:jc w:val="both"/>
      </w:pPr>
      <w:r>
        <w:rPr>
          <w:rFonts w:ascii="Times New Roman"/>
          <w:b w:val="false"/>
          <w:i w:val="false"/>
          <w:color w:val="000000"/>
          <w:sz w:val="28"/>
        </w:rPr>
        <w:t xml:space="preserve">
      е) абонентская служба; </w:t>
      </w:r>
    </w:p>
    <w:bookmarkEnd w:id="210"/>
    <w:bookmarkStart w:name="z217" w:id="211"/>
    <w:p>
      <w:pPr>
        <w:spacing w:after="0"/>
        <w:ind w:left="0"/>
        <w:jc w:val="both"/>
      </w:pPr>
      <w:r>
        <w:rPr>
          <w:rFonts w:ascii="Times New Roman"/>
          <w:b w:val="false"/>
          <w:i w:val="false"/>
          <w:color w:val="000000"/>
          <w:sz w:val="28"/>
        </w:rPr>
        <w:t xml:space="preserve">
      ж) прочий обслуживающий персонал. </w:t>
      </w:r>
    </w:p>
    <w:bookmarkEnd w:id="211"/>
    <w:bookmarkStart w:name="z218" w:id="212"/>
    <w:p>
      <w:pPr>
        <w:spacing w:after="0"/>
        <w:ind w:left="0"/>
        <w:jc w:val="both"/>
      </w:pPr>
      <w:r>
        <w:rPr>
          <w:rFonts w:ascii="Times New Roman"/>
          <w:b w:val="false"/>
          <w:i w:val="false"/>
          <w:color w:val="000000"/>
          <w:sz w:val="28"/>
        </w:rPr>
        <w:t xml:space="preserve">
      Тепловые сети разбиты на 8 эксплуатационных участков от котельных (ТС котельной): ЭР-1, ЭР-2, №1-4, № 18 и КММ (котельные малой мощности). </w:t>
      </w:r>
    </w:p>
    <w:bookmarkEnd w:id="212"/>
    <w:bookmarkStart w:name="z219" w:id="213"/>
    <w:p>
      <w:pPr>
        <w:spacing w:after="0"/>
        <w:ind w:left="0"/>
        <w:jc w:val="both"/>
      </w:pPr>
      <w:r>
        <w:rPr>
          <w:rFonts w:ascii="Times New Roman"/>
          <w:b w:val="false"/>
          <w:i w:val="false"/>
          <w:color w:val="000000"/>
          <w:sz w:val="28"/>
        </w:rPr>
        <w:t>
      Централизованное теплоснабжение потребителей большей части города Талдыкоргана осуществляется от крупного теплоисточника городской котельной "Баскуат" с располагаемой мощностью 200 Гкал/час, которая была введена в 1981 году.</w:t>
      </w:r>
    </w:p>
    <w:bookmarkEnd w:id="213"/>
    <w:bookmarkStart w:name="z220" w:id="214"/>
    <w:p>
      <w:pPr>
        <w:spacing w:after="0"/>
        <w:ind w:left="0"/>
        <w:jc w:val="both"/>
      </w:pPr>
      <w:r>
        <w:rPr>
          <w:rFonts w:ascii="Times New Roman"/>
          <w:b w:val="false"/>
          <w:i w:val="false"/>
          <w:color w:val="000000"/>
          <w:sz w:val="28"/>
        </w:rPr>
        <w:t>
      Городская котельная "Баскуат" вырабатывает тепловую энергию для теплоснабжения потребителей центральной части города.</w:t>
      </w:r>
    </w:p>
    <w:bookmarkEnd w:id="214"/>
    <w:bookmarkStart w:name="z221" w:id="215"/>
    <w:p>
      <w:pPr>
        <w:spacing w:after="0"/>
        <w:ind w:left="0"/>
        <w:jc w:val="both"/>
      </w:pPr>
      <w:r>
        <w:rPr>
          <w:rFonts w:ascii="Times New Roman"/>
          <w:b w:val="false"/>
          <w:i w:val="false"/>
          <w:color w:val="000000"/>
          <w:sz w:val="28"/>
        </w:rPr>
        <w:t xml:space="preserve">
      Сегодня она обеспечивает теплом свыше 500 многоквартирных и 1000 частных жилых домов, 20 школ, 25 детских садов, 10 больниц и 90 административных зданий. </w:t>
      </w:r>
    </w:p>
    <w:bookmarkEnd w:id="215"/>
    <w:bookmarkStart w:name="z222" w:id="216"/>
    <w:p>
      <w:pPr>
        <w:spacing w:after="0"/>
        <w:ind w:left="0"/>
        <w:jc w:val="both"/>
      </w:pPr>
      <w:r>
        <w:rPr>
          <w:rFonts w:ascii="Times New Roman"/>
          <w:b w:val="false"/>
          <w:i w:val="false"/>
          <w:color w:val="000000"/>
          <w:sz w:val="28"/>
        </w:rPr>
        <w:t>
      Вместе с тем с учетом интенсивной застройки города Талдыкоргана и ежегодного увеличения нагрузки планируется провести ее модернизацию, предусмотрев увеличение мощности до 311 Гкал/час и перевод объекта на газ.</w:t>
      </w:r>
    </w:p>
    <w:bookmarkEnd w:id="216"/>
    <w:bookmarkStart w:name="z223" w:id="217"/>
    <w:p>
      <w:pPr>
        <w:spacing w:after="0"/>
        <w:ind w:left="0"/>
        <w:jc w:val="both"/>
      </w:pPr>
      <w:r>
        <w:rPr>
          <w:rFonts w:ascii="Times New Roman"/>
          <w:b w:val="false"/>
          <w:i w:val="false"/>
          <w:color w:val="000000"/>
          <w:sz w:val="28"/>
        </w:rPr>
        <w:t>
      По первому этапу будет предусмотрено строительство пристройки к котельной, где предполагается установить два котла мощностью по 50 Гкал/час каждая. По второму и третьему этапу будет предусмотрен перевод на газ четырех водогрейных котлов с увеличением мощности до 311 Гкал/час.</w:t>
      </w:r>
    </w:p>
    <w:bookmarkEnd w:id="217"/>
    <w:bookmarkStart w:name="z224" w:id="218"/>
    <w:p>
      <w:pPr>
        <w:spacing w:after="0"/>
        <w:ind w:left="0"/>
        <w:jc w:val="both"/>
      </w:pPr>
      <w:r>
        <w:rPr>
          <w:rFonts w:ascii="Times New Roman"/>
          <w:b w:val="false"/>
          <w:i w:val="false"/>
          <w:color w:val="000000"/>
          <w:sz w:val="28"/>
        </w:rPr>
        <w:t>
      Проектными решениями предусматривается целесообразность централизации теплоснабжения на основе строительства дополнительных источников тепловой энергии и реконструкции действующих с последующим распределением тепла по сети магистральных и разводящих теплотрасс.</w:t>
      </w:r>
    </w:p>
    <w:bookmarkEnd w:id="218"/>
    <w:bookmarkStart w:name="z225" w:id="219"/>
    <w:p>
      <w:pPr>
        <w:spacing w:after="0"/>
        <w:ind w:left="0"/>
        <w:jc w:val="both"/>
      </w:pPr>
      <w:r>
        <w:rPr>
          <w:rFonts w:ascii="Times New Roman"/>
          <w:b w:val="false"/>
          <w:i w:val="false"/>
          <w:color w:val="000000"/>
          <w:sz w:val="28"/>
        </w:rPr>
        <w:t>
      Генеральным планом города Талдыкоргана для улучшения и модернизации системы теплоснабжения предлагаются на первую очередь:</w:t>
      </w:r>
    </w:p>
    <w:bookmarkEnd w:id="219"/>
    <w:bookmarkStart w:name="z226" w:id="220"/>
    <w:p>
      <w:pPr>
        <w:spacing w:after="0"/>
        <w:ind w:left="0"/>
        <w:jc w:val="both"/>
      </w:pPr>
      <w:r>
        <w:rPr>
          <w:rFonts w:ascii="Times New Roman"/>
          <w:b w:val="false"/>
          <w:i w:val="false"/>
          <w:color w:val="000000"/>
          <w:sz w:val="28"/>
        </w:rPr>
        <w:t>
      увеличение мощности котельной Баскуат до 311 МВт;</w:t>
      </w:r>
    </w:p>
    <w:bookmarkEnd w:id="220"/>
    <w:bookmarkStart w:name="z227" w:id="221"/>
    <w:p>
      <w:pPr>
        <w:spacing w:after="0"/>
        <w:ind w:left="0"/>
        <w:jc w:val="both"/>
      </w:pPr>
      <w:r>
        <w:rPr>
          <w:rFonts w:ascii="Times New Roman"/>
          <w:b w:val="false"/>
          <w:i w:val="false"/>
          <w:color w:val="000000"/>
          <w:sz w:val="28"/>
        </w:rPr>
        <w:t>
      модернизация существующих котлов на котельных № 1, 2, 3: существующие котлы могут быть модернизированы, чтобы повысить их мощность и сделать более эффективными;</w:t>
      </w:r>
    </w:p>
    <w:bookmarkEnd w:id="221"/>
    <w:bookmarkStart w:name="z228" w:id="222"/>
    <w:p>
      <w:pPr>
        <w:spacing w:after="0"/>
        <w:ind w:left="0"/>
        <w:jc w:val="both"/>
      </w:pPr>
      <w:r>
        <w:rPr>
          <w:rFonts w:ascii="Times New Roman"/>
          <w:b w:val="false"/>
          <w:i w:val="false"/>
          <w:color w:val="000000"/>
          <w:sz w:val="28"/>
        </w:rPr>
        <w:t>
      поэтапная замена тепломагистралей диаметром 500 мм, 300 мм, 250 мм (тепломагистрали, на которых передается тепло в городе, могут быть заменены на новые и более эффективные, которые могут иметь меньшую потерю тепла и обеспечить более равномерную температуру по всему городу);</w:t>
      </w:r>
    </w:p>
    <w:bookmarkEnd w:id="222"/>
    <w:bookmarkStart w:name="z229" w:id="223"/>
    <w:p>
      <w:pPr>
        <w:spacing w:after="0"/>
        <w:ind w:left="0"/>
        <w:jc w:val="both"/>
      </w:pPr>
      <w:r>
        <w:rPr>
          <w:rFonts w:ascii="Times New Roman"/>
          <w:b w:val="false"/>
          <w:i w:val="false"/>
          <w:color w:val="000000"/>
          <w:sz w:val="28"/>
        </w:rPr>
        <w:t>
      строительство новых тепломагистралей диаметром 300 мм протяженностью 26 км, 200 мм протяженностью 15 км, 100 мм протяженностью 23 км;</w:t>
      </w:r>
    </w:p>
    <w:bookmarkEnd w:id="223"/>
    <w:bookmarkStart w:name="z230" w:id="224"/>
    <w:p>
      <w:pPr>
        <w:spacing w:after="0"/>
        <w:ind w:left="0"/>
        <w:jc w:val="both"/>
      </w:pPr>
      <w:r>
        <w:rPr>
          <w:rFonts w:ascii="Times New Roman"/>
          <w:b w:val="false"/>
          <w:i w:val="false"/>
          <w:color w:val="000000"/>
          <w:sz w:val="28"/>
        </w:rPr>
        <w:t>
      строительство центральных тепловых пунктов (7 штук) в районах строительства многоквартирных жилых домов;</w:t>
      </w:r>
    </w:p>
    <w:bookmarkEnd w:id="224"/>
    <w:bookmarkStart w:name="z231" w:id="225"/>
    <w:p>
      <w:pPr>
        <w:spacing w:after="0"/>
        <w:ind w:left="0"/>
        <w:jc w:val="both"/>
      </w:pPr>
      <w:r>
        <w:rPr>
          <w:rFonts w:ascii="Times New Roman"/>
          <w:b w:val="false"/>
          <w:i w:val="false"/>
          <w:color w:val="000000"/>
          <w:sz w:val="28"/>
        </w:rPr>
        <w:t>
      Генеральным планом города Талдыкоргана для улучшения и модернизации системы теплоснабжения предлагаются на расчетный срок:</w:t>
      </w:r>
    </w:p>
    <w:bookmarkEnd w:id="225"/>
    <w:bookmarkStart w:name="z232" w:id="226"/>
    <w:p>
      <w:pPr>
        <w:spacing w:after="0"/>
        <w:ind w:left="0"/>
        <w:jc w:val="both"/>
      </w:pPr>
      <w:r>
        <w:rPr>
          <w:rFonts w:ascii="Times New Roman"/>
          <w:b w:val="false"/>
          <w:i w:val="false"/>
          <w:color w:val="000000"/>
          <w:sz w:val="28"/>
        </w:rPr>
        <w:t>
      увеличение мощности котельной Баскуат до 500 МВт;</w:t>
      </w:r>
    </w:p>
    <w:bookmarkEnd w:id="226"/>
    <w:bookmarkStart w:name="z233" w:id="227"/>
    <w:p>
      <w:pPr>
        <w:spacing w:after="0"/>
        <w:ind w:left="0"/>
        <w:jc w:val="both"/>
      </w:pPr>
      <w:r>
        <w:rPr>
          <w:rFonts w:ascii="Times New Roman"/>
          <w:b w:val="false"/>
          <w:i w:val="false"/>
          <w:color w:val="000000"/>
          <w:sz w:val="28"/>
        </w:rPr>
        <w:t>
      строительство газотурбинной станции мощностью 300 МВт;</w:t>
      </w:r>
    </w:p>
    <w:bookmarkEnd w:id="227"/>
    <w:bookmarkStart w:name="z234" w:id="228"/>
    <w:p>
      <w:pPr>
        <w:spacing w:after="0"/>
        <w:ind w:left="0"/>
        <w:jc w:val="both"/>
      </w:pPr>
      <w:r>
        <w:rPr>
          <w:rFonts w:ascii="Times New Roman"/>
          <w:b w:val="false"/>
          <w:i w:val="false"/>
          <w:color w:val="000000"/>
          <w:sz w:val="28"/>
        </w:rPr>
        <w:t>
      модернизация существующих котлов на котельных №4, 5 и коттеджный городок: существующие котлы могут быть модернизированы, чтобы повысить их мощность и сделать более эффективными;</w:t>
      </w:r>
    </w:p>
    <w:bookmarkEnd w:id="228"/>
    <w:bookmarkStart w:name="z235" w:id="229"/>
    <w:p>
      <w:pPr>
        <w:spacing w:after="0"/>
        <w:ind w:left="0"/>
        <w:jc w:val="both"/>
      </w:pPr>
      <w:r>
        <w:rPr>
          <w:rFonts w:ascii="Times New Roman"/>
          <w:b w:val="false"/>
          <w:i w:val="false"/>
          <w:color w:val="000000"/>
          <w:sz w:val="28"/>
        </w:rPr>
        <w:t>
      замена устаревших теплогенерирующих установок (старые котельные и системы передачи тепла иногда бывают неэффективными, имеют низкий КПД и часто находятся в аварийном состоянии, замена старых систем на более современные и эффективные может значительно улучшить систему теплоснабжения города);</w:t>
      </w:r>
    </w:p>
    <w:bookmarkEnd w:id="229"/>
    <w:bookmarkStart w:name="z236" w:id="230"/>
    <w:p>
      <w:pPr>
        <w:spacing w:after="0"/>
        <w:ind w:left="0"/>
        <w:jc w:val="both"/>
      </w:pPr>
      <w:r>
        <w:rPr>
          <w:rFonts w:ascii="Times New Roman"/>
          <w:b w:val="false"/>
          <w:i w:val="false"/>
          <w:color w:val="000000"/>
          <w:sz w:val="28"/>
        </w:rPr>
        <w:t>
       замена и увеличение тепломагистралей диаметром 700 мм, 400 мм, 150 мм, 100 мм (тепломагистрали, на которых передается тепло в городе, могут быть заменены на новые и более эффективные, которые могут иметь меньшую потерю тепла и обеспечить более равномерную температуру по всему городу);</w:t>
      </w:r>
    </w:p>
    <w:bookmarkEnd w:id="230"/>
    <w:bookmarkStart w:name="z237" w:id="231"/>
    <w:p>
      <w:pPr>
        <w:spacing w:after="0"/>
        <w:ind w:left="0"/>
        <w:jc w:val="both"/>
      </w:pPr>
      <w:r>
        <w:rPr>
          <w:rFonts w:ascii="Times New Roman"/>
          <w:b w:val="false"/>
          <w:i w:val="false"/>
          <w:color w:val="000000"/>
          <w:sz w:val="28"/>
        </w:rPr>
        <w:t>
       строительство новых тепломагистралей диаметром 300 мм протяженностью 14 км, 250 мм протяженностью 7 км;</w:t>
      </w:r>
    </w:p>
    <w:bookmarkEnd w:id="231"/>
    <w:bookmarkStart w:name="z238" w:id="232"/>
    <w:p>
      <w:pPr>
        <w:spacing w:after="0"/>
        <w:ind w:left="0"/>
        <w:jc w:val="both"/>
      </w:pPr>
      <w:r>
        <w:rPr>
          <w:rFonts w:ascii="Times New Roman"/>
          <w:b w:val="false"/>
          <w:i w:val="false"/>
          <w:color w:val="000000"/>
          <w:sz w:val="28"/>
        </w:rPr>
        <w:t>
       строительство центральных тепловых пунктов в районах строительства многоквартирных жилых домов;</w:t>
      </w:r>
    </w:p>
    <w:bookmarkEnd w:id="232"/>
    <w:bookmarkStart w:name="z239" w:id="233"/>
    <w:p>
      <w:pPr>
        <w:spacing w:after="0"/>
        <w:ind w:left="0"/>
        <w:jc w:val="both"/>
      </w:pPr>
      <w:r>
        <w:rPr>
          <w:rFonts w:ascii="Times New Roman"/>
          <w:b w:val="false"/>
          <w:i w:val="false"/>
          <w:color w:val="000000"/>
          <w:sz w:val="28"/>
        </w:rPr>
        <w:t>
       оптимизация управления (технологии управления могут быть улучшены, чтобы система была более гибкой и адаптивной к изменяющимся потребностям города, это позволит быстрее реагировать на изменения погодных условий и потребности в тепле);</w:t>
      </w:r>
    </w:p>
    <w:bookmarkEnd w:id="233"/>
    <w:bookmarkStart w:name="z240" w:id="234"/>
    <w:p>
      <w:pPr>
        <w:spacing w:after="0"/>
        <w:ind w:left="0"/>
        <w:jc w:val="both"/>
      </w:pPr>
      <w:r>
        <w:rPr>
          <w:rFonts w:ascii="Times New Roman"/>
          <w:b w:val="false"/>
          <w:i w:val="false"/>
          <w:color w:val="000000"/>
          <w:sz w:val="28"/>
        </w:rPr>
        <w:t>
       повышение энергоэффективности зданий (улучшение энергоэффективности зданий может снизить потребность в тепле и, следовательно, уменьшить нагрузку на систему теплоснабжения города);</w:t>
      </w:r>
    </w:p>
    <w:bookmarkEnd w:id="234"/>
    <w:bookmarkStart w:name="z241" w:id="235"/>
    <w:p>
      <w:pPr>
        <w:spacing w:after="0"/>
        <w:ind w:left="0"/>
        <w:jc w:val="both"/>
      </w:pPr>
      <w:r>
        <w:rPr>
          <w:rFonts w:ascii="Times New Roman"/>
          <w:b w:val="false"/>
          <w:i w:val="false"/>
          <w:color w:val="000000"/>
          <w:sz w:val="28"/>
        </w:rPr>
        <w:t>
      использование возобновляемых источников энергии, таких как солнечная или ветровая энергия может снизить нагрузку на существующие системы теплоснабжения и расход на топливо;</w:t>
      </w:r>
    </w:p>
    <w:bookmarkEnd w:id="235"/>
    <w:bookmarkStart w:name="z242" w:id="236"/>
    <w:p>
      <w:pPr>
        <w:spacing w:after="0"/>
        <w:ind w:left="0"/>
        <w:jc w:val="both"/>
      </w:pPr>
      <w:r>
        <w:rPr>
          <w:rFonts w:ascii="Times New Roman"/>
          <w:b w:val="false"/>
          <w:i w:val="false"/>
          <w:color w:val="000000"/>
          <w:sz w:val="28"/>
        </w:rPr>
        <w:t>
      модернизация существующей системы учета может помочь более точно определять потребности города в тепле и более точно управлять расходом топлива;</w:t>
      </w:r>
    </w:p>
    <w:bookmarkEnd w:id="236"/>
    <w:bookmarkStart w:name="z243" w:id="237"/>
    <w:p>
      <w:pPr>
        <w:spacing w:after="0"/>
        <w:ind w:left="0"/>
        <w:jc w:val="both"/>
      </w:pPr>
      <w:r>
        <w:rPr>
          <w:rFonts w:ascii="Times New Roman"/>
          <w:b w:val="false"/>
          <w:i w:val="false"/>
          <w:color w:val="000000"/>
          <w:sz w:val="28"/>
        </w:rPr>
        <w:t>
      принятие мер по повышению социальной ответственности жителей города, такие как сокращение потребления электроэнергии и использование более энергоэффективных приборов, могут помочь снизить нагрузку на систему теплоснабжения и таким образом улучшить ее работу.</w:t>
      </w:r>
    </w:p>
    <w:bookmarkEnd w:id="237"/>
    <w:bookmarkStart w:name="z244" w:id="238"/>
    <w:p>
      <w:pPr>
        <w:spacing w:after="0"/>
        <w:ind w:left="0"/>
        <w:jc w:val="both"/>
      </w:pPr>
      <w:r>
        <w:rPr>
          <w:rFonts w:ascii="Times New Roman"/>
          <w:b w:val="false"/>
          <w:i w:val="false"/>
          <w:color w:val="000000"/>
          <w:sz w:val="28"/>
        </w:rPr>
        <w:t>
      До расчетного срока реализации Генерального плана проектом предлагаются реконструкция котельной "Баскуат", строительство двух новых котельных и газотурбинной станций.</w:t>
      </w:r>
    </w:p>
    <w:bookmarkEnd w:id="238"/>
    <w:bookmarkStart w:name="z245" w:id="239"/>
    <w:p>
      <w:pPr>
        <w:spacing w:after="0"/>
        <w:ind w:left="0"/>
        <w:jc w:val="left"/>
      </w:pPr>
      <w:r>
        <w:rPr>
          <w:rFonts w:ascii="Times New Roman"/>
          <w:b/>
          <w:i w:val="false"/>
          <w:color w:val="000000"/>
        </w:rPr>
        <w:t xml:space="preserve"> Параграф 4. Газоснабжение</w:t>
      </w:r>
    </w:p>
    <w:bookmarkEnd w:id="239"/>
    <w:bookmarkStart w:name="z246" w:id="240"/>
    <w:p>
      <w:pPr>
        <w:spacing w:after="0"/>
        <w:ind w:left="0"/>
        <w:jc w:val="both"/>
      </w:pPr>
      <w:r>
        <w:rPr>
          <w:rFonts w:ascii="Times New Roman"/>
          <w:b w:val="false"/>
          <w:i w:val="false"/>
          <w:color w:val="000000"/>
          <w:sz w:val="28"/>
        </w:rPr>
        <w:t>
      Поставка природного газа в город Талдыкорган осуществляется от магистрального газопровода "Алматы – Талдыкорган" через АГРС "Талдыкорган" с дальнейшим распределением по городским сетям газоснабжения.</w:t>
      </w:r>
    </w:p>
    <w:bookmarkEnd w:id="240"/>
    <w:bookmarkStart w:name="z247" w:id="241"/>
    <w:p>
      <w:pPr>
        <w:spacing w:after="0"/>
        <w:ind w:left="0"/>
        <w:jc w:val="both"/>
      </w:pPr>
      <w:r>
        <w:rPr>
          <w:rFonts w:ascii="Times New Roman"/>
          <w:b w:val="false"/>
          <w:i w:val="false"/>
          <w:color w:val="000000"/>
          <w:sz w:val="28"/>
        </w:rPr>
        <w:t>
      Вопросы по развитию и обеспечению газофикацией потребителей города Талдыкорган решаются организациями: АО "QAZAQGAZ AIMAQ", АО "Интергаз Центральная Азия", АО "Корпорация Жетысугаз".</w:t>
      </w:r>
    </w:p>
    <w:bookmarkEnd w:id="241"/>
    <w:bookmarkStart w:name="z248" w:id="242"/>
    <w:p>
      <w:pPr>
        <w:spacing w:after="0"/>
        <w:ind w:left="0"/>
        <w:jc w:val="both"/>
      </w:pPr>
      <w:r>
        <w:rPr>
          <w:rFonts w:ascii="Times New Roman"/>
          <w:b w:val="false"/>
          <w:i w:val="false"/>
          <w:color w:val="000000"/>
          <w:sz w:val="28"/>
        </w:rPr>
        <w:t>
      АО "QAZAQGAZ AIMAQ" обеспечивает транспортировку природного газа до потребителей.</w:t>
      </w:r>
    </w:p>
    <w:bookmarkEnd w:id="242"/>
    <w:bookmarkStart w:name="z249" w:id="243"/>
    <w:p>
      <w:pPr>
        <w:spacing w:after="0"/>
        <w:ind w:left="0"/>
        <w:jc w:val="both"/>
      </w:pPr>
      <w:r>
        <w:rPr>
          <w:rFonts w:ascii="Times New Roman"/>
          <w:b w:val="false"/>
          <w:i w:val="false"/>
          <w:color w:val="000000"/>
          <w:sz w:val="28"/>
        </w:rPr>
        <w:t>
      АО "Интергаз Центральная Азия" эксплуатирующая организация по обеспечению надежности и бесперебойнему обеспечению природным газом.</w:t>
      </w:r>
    </w:p>
    <w:bookmarkEnd w:id="243"/>
    <w:bookmarkStart w:name="z250" w:id="244"/>
    <w:p>
      <w:pPr>
        <w:spacing w:after="0"/>
        <w:ind w:left="0"/>
        <w:jc w:val="both"/>
      </w:pPr>
      <w:r>
        <w:rPr>
          <w:rFonts w:ascii="Times New Roman"/>
          <w:b w:val="false"/>
          <w:i w:val="false"/>
          <w:color w:val="000000"/>
          <w:sz w:val="28"/>
        </w:rPr>
        <w:t>
      Основными видами деятельности компании АО "Корпорация Жетысугаз" являются подключение потребителей к природному газу и реализация сжиженного газа в бытовых баллонах.</w:t>
      </w:r>
    </w:p>
    <w:bookmarkEnd w:id="244"/>
    <w:bookmarkStart w:name="z251" w:id="245"/>
    <w:p>
      <w:pPr>
        <w:spacing w:after="0"/>
        <w:ind w:left="0"/>
        <w:jc w:val="both"/>
      </w:pPr>
      <w:r>
        <w:rPr>
          <w:rFonts w:ascii="Times New Roman"/>
          <w:b w:val="false"/>
          <w:i w:val="false"/>
          <w:color w:val="000000"/>
          <w:sz w:val="28"/>
        </w:rPr>
        <w:t>
      Доступ к голубому топливу получили свыше 4200 жителей или более 1500 абонентов. Проект газификации жилого массива стартовал в 2020 году, на что было выделено свыше 388 млн. тенге, проложено 43 км газовых сетей.</w:t>
      </w:r>
    </w:p>
    <w:bookmarkEnd w:id="245"/>
    <w:bookmarkStart w:name="z252" w:id="246"/>
    <w:p>
      <w:pPr>
        <w:spacing w:after="0"/>
        <w:ind w:left="0"/>
        <w:jc w:val="both"/>
      </w:pPr>
      <w:r>
        <w:rPr>
          <w:rFonts w:ascii="Times New Roman"/>
          <w:b w:val="false"/>
          <w:i w:val="false"/>
          <w:color w:val="000000"/>
          <w:sz w:val="28"/>
        </w:rPr>
        <w:t>
      Источником подачи газа для обеспечения потребителей города Талдыкоргана являются существующий магистральный газопровод: "Алматы – Талдыкорган" и отвод на газораспределительную станцию АГРС "Талдыкорган".</w:t>
      </w:r>
    </w:p>
    <w:bookmarkEnd w:id="246"/>
    <w:bookmarkStart w:name="z253" w:id="247"/>
    <w:p>
      <w:pPr>
        <w:spacing w:after="0"/>
        <w:ind w:left="0"/>
        <w:jc w:val="both"/>
      </w:pPr>
      <w:r>
        <w:rPr>
          <w:rFonts w:ascii="Times New Roman"/>
          <w:b w:val="false"/>
          <w:i w:val="false"/>
          <w:color w:val="000000"/>
          <w:sz w:val="28"/>
        </w:rPr>
        <w:t>
      Для газоснабжения объектов, предусматриваемых в Генеральном плане города Талдыкоргана, проектом предлагаются:</w:t>
      </w:r>
    </w:p>
    <w:bookmarkEnd w:id="247"/>
    <w:bookmarkStart w:name="z254" w:id="248"/>
    <w:p>
      <w:pPr>
        <w:spacing w:after="0"/>
        <w:ind w:left="0"/>
        <w:jc w:val="both"/>
      </w:pPr>
      <w:r>
        <w:rPr>
          <w:rFonts w:ascii="Times New Roman"/>
          <w:b w:val="false"/>
          <w:i w:val="false"/>
          <w:color w:val="000000"/>
          <w:sz w:val="28"/>
        </w:rPr>
        <w:t>
       строительство газораспределительных устройств с узлом учета расхода газа (ГРП);</w:t>
      </w:r>
    </w:p>
    <w:bookmarkEnd w:id="248"/>
    <w:bookmarkStart w:name="z255" w:id="249"/>
    <w:p>
      <w:pPr>
        <w:spacing w:after="0"/>
        <w:ind w:left="0"/>
        <w:jc w:val="both"/>
      </w:pPr>
      <w:r>
        <w:rPr>
          <w:rFonts w:ascii="Times New Roman"/>
          <w:b w:val="false"/>
          <w:i w:val="false"/>
          <w:color w:val="000000"/>
          <w:sz w:val="28"/>
        </w:rPr>
        <w:t>
       увеличение мощности АГРС "Талдыкорган" с доведением до 200 тысяча м3/час;</w:t>
      </w:r>
    </w:p>
    <w:bookmarkEnd w:id="249"/>
    <w:bookmarkStart w:name="z256" w:id="250"/>
    <w:p>
      <w:pPr>
        <w:spacing w:after="0"/>
        <w:ind w:left="0"/>
        <w:jc w:val="both"/>
      </w:pPr>
      <w:r>
        <w:rPr>
          <w:rFonts w:ascii="Times New Roman"/>
          <w:b w:val="false"/>
          <w:i w:val="false"/>
          <w:color w:val="000000"/>
          <w:sz w:val="28"/>
        </w:rPr>
        <w:t>
       строительство газопроводных сетей высокого давления 2-категории и среднего давления диаметрами 110-250мм протяженностью 33 км на первую очередь и 54 км на расчетный срок.</w:t>
      </w:r>
    </w:p>
    <w:bookmarkEnd w:id="250"/>
    <w:bookmarkStart w:name="z257" w:id="251"/>
    <w:p>
      <w:pPr>
        <w:spacing w:after="0"/>
        <w:ind w:left="0"/>
        <w:jc w:val="both"/>
      </w:pPr>
      <w:r>
        <w:rPr>
          <w:rFonts w:ascii="Times New Roman"/>
          <w:b w:val="false"/>
          <w:i w:val="false"/>
          <w:color w:val="000000"/>
          <w:sz w:val="28"/>
        </w:rPr>
        <w:t xml:space="preserve">
      Разработка схемы газоснабжения города Талдыкоргана направлена на развитие действующей системы газоснабжения для надежной, бесперебойной подачи газа потребителям города Талдыкоргана в объемах, обеспечивающих социально-экономическое развитие территории. </w:t>
      </w:r>
    </w:p>
    <w:bookmarkEnd w:id="251"/>
    <w:bookmarkStart w:name="z258" w:id="252"/>
    <w:p>
      <w:pPr>
        <w:spacing w:after="0"/>
        <w:ind w:left="0"/>
        <w:jc w:val="both"/>
      </w:pPr>
      <w:r>
        <w:rPr>
          <w:rFonts w:ascii="Times New Roman"/>
          <w:b w:val="false"/>
          <w:i w:val="false"/>
          <w:color w:val="000000"/>
          <w:sz w:val="28"/>
        </w:rPr>
        <w:t xml:space="preserve">
      Схема внешнего газоснабжения города Талдыкоргана включает в себя следующие элементы: </w:t>
      </w:r>
    </w:p>
    <w:bookmarkEnd w:id="252"/>
    <w:bookmarkStart w:name="z259" w:id="253"/>
    <w:p>
      <w:pPr>
        <w:spacing w:after="0"/>
        <w:ind w:left="0"/>
        <w:jc w:val="both"/>
      </w:pPr>
      <w:r>
        <w:rPr>
          <w:rFonts w:ascii="Times New Roman"/>
          <w:b w:val="false"/>
          <w:i w:val="false"/>
          <w:color w:val="000000"/>
          <w:sz w:val="28"/>
        </w:rPr>
        <w:t xml:space="preserve">
       систему магистральных газопроводов; </w:t>
      </w:r>
    </w:p>
    <w:bookmarkEnd w:id="253"/>
    <w:bookmarkStart w:name="z260" w:id="254"/>
    <w:p>
      <w:pPr>
        <w:spacing w:after="0"/>
        <w:ind w:left="0"/>
        <w:jc w:val="both"/>
      </w:pPr>
      <w:r>
        <w:rPr>
          <w:rFonts w:ascii="Times New Roman"/>
          <w:b w:val="false"/>
          <w:i w:val="false"/>
          <w:color w:val="000000"/>
          <w:sz w:val="28"/>
        </w:rPr>
        <w:t>
      газорегуляторные пункты, предназначенные для снижения давления газа и поддержания его на заданном уровне;</w:t>
      </w:r>
    </w:p>
    <w:bookmarkEnd w:id="254"/>
    <w:bookmarkStart w:name="z261" w:id="255"/>
    <w:p>
      <w:pPr>
        <w:spacing w:after="0"/>
        <w:ind w:left="0"/>
        <w:jc w:val="left"/>
      </w:pPr>
      <w:r>
        <w:rPr>
          <w:rFonts w:ascii="Times New Roman"/>
          <w:b/>
          <w:i w:val="false"/>
          <w:color w:val="000000"/>
        </w:rPr>
        <w:t xml:space="preserve"> Параграф 5. Электроснабжение</w:t>
      </w:r>
    </w:p>
    <w:bookmarkEnd w:id="255"/>
    <w:bookmarkStart w:name="z262" w:id="256"/>
    <w:p>
      <w:pPr>
        <w:spacing w:after="0"/>
        <w:ind w:left="0"/>
        <w:jc w:val="both"/>
      </w:pPr>
      <w:r>
        <w:rPr>
          <w:rFonts w:ascii="Times New Roman"/>
          <w:b w:val="false"/>
          <w:i w:val="false"/>
          <w:color w:val="000000"/>
          <w:sz w:val="28"/>
        </w:rPr>
        <w:t>
      Основное электроснабжение области Жетісу, в том числе города Талдыкорган, осуществляется за счет перетока мощности по двум линиям электропередачи напряжением 220 кВ Капчагай – Сарыозек - Талдыкорган от источников, расположенных за пределами области Жетісу, а также от малых ГЭС и Текелийского энергокомбината, расположенных на территории региона по линиям электропередачи 0,4-10-35-110кВ АО "ТАТЭК" общей протяженностью 12 864 км.</w:t>
      </w:r>
    </w:p>
    <w:bookmarkEnd w:id="256"/>
    <w:bookmarkStart w:name="z263" w:id="257"/>
    <w:p>
      <w:pPr>
        <w:spacing w:after="0"/>
        <w:ind w:left="0"/>
        <w:jc w:val="both"/>
      </w:pPr>
      <w:r>
        <w:rPr>
          <w:rFonts w:ascii="Times New Roman"/>
          <w:b w:val="false"/>
          <w:i w:val="false"/>
          <w:color w:val="000000"/>
          <w:sz w:val="28"/>
        </w:rPr>
        <w:t>
      Согласно расчетным данным на первую очередь рост увеличения нагрузок будет составлять 171,53 МВт и на расчетный срок 235,66 МВт, что предусматривает увеличение мощности существующих электрических подстанции и строительство новых, а также строительство источников энергий в виде солнечных и ветряных электростанций.</w:t>
      </w:r>
    </w:p>
    <w:bookmarkEnd w:id="257"/>
    <w:bookmarkStart w:name="z264" w:id="258"/>
    <w:p>
      <w:pPr>
        <w:spacing w:after="0"/>
        <w:ind w:left="0"/>
        <w:jc w:val="both"/>
      </w:pPr>
      <w:r>
        <w:rPr>
          <w:rFonts w:ascii="Times New Roman"/>
          <w:b w:val="false"/>
          <w:i w:val="false"/>
          <w:color w:val="000000"/>
          <w:sz w:val="28"/>
        </w:rPr>
        <w:t>
      Для покрытия нагрузок на первую очередь развития Генерального плана города Талдыкоргана предусматривается следующий объем электросетевого строительства:</w:t>
      </w:r>
    </w:p>
    <w:bookmarkEnd w:id="258"/>
    <w:bookmarkStart w:name="z265" w:id="259"/>
    <w:p>
      <w:pPr>
        <w:spacing w:after="0"/>
        <w:ind w:left="0"/>
        <w:jc w:val="both"/>
      </w:pPr>
      <w:r>
        <w:rPr>
          <w:rFonts w:ascii="Times New Roman"/>
          <w:b w:val="false"/>
          <w:i w:val="false"/>
          <w:color w:val="000000"/>
          <w:sz w:val="28"/>
        </w:rPr>
        <w:t>
      сооружение КЛ-10кВ от ПС 110/10кВ до проектируемых РП в необходимом объеме;</w:t>
      </w:r>
    </w:p>
    <w:bookmarkEnd w:id="259"/>
    <w:bookmarkStart w:name="z266" w:id="260"/>
    <w:p>
      <w:pPr>
        <w:spacing w:after="0"/>
        <w:ind w:left="0"/>
        <w:jc w:val="both"/>
      </w:pPr>
      <w:r>
        <w:rPr>
          <w:rFonts w:ascii="Times New Roman"/>
          <w:b w:val="false"/>
          <w:i w:val="false"/>
          <w:color w:val="000000"/>
          <w:sz w:val="28"/>
        </w:rPr>
        <w:t>
      реконструкция ВЛ 10 кВ протяженностью 22,5 км;</w:t>
      </w:r>
    </w:p>
    <w:bookmarkEnd w:id="260"/>
    <w:bookmarkStart w:name="z267" w:id="261"/>
    <w:p>
      <w:pPr>
        <w:spacing w:after="0"/>
        <w:ind w:left="0"/>
        <w:jc w:val="both"/>
      </w:pPr>
      <w:r>
        <w:rPr>
          <w:rFonts w:ascii="Times New Roman"/>
          <w:b w:val="false"/>
          <w:i w:val="false"/>
          <w:color w:val="000000"/>
          <w:sz w:val="28"/>
        </w:rPr>
        <w:t>
      строительство линий электропередачи 10 кВ протяженностью 28 км;</w:t>
      </w:r>
    </w:p>
    <w:bookmarkEnd w:id="261"/>
    <w:bookmarkStart w:name="z268" w:id="262"/>
    <w:p>
      <w:pPr>
        <w:spacing w:after="0"/>
        <w:ind w:left="0"/>
        <w:jc w:val="both"/>
      </w:pPr>
      <w:r>
        <w:rPr>
          <w:rFonts w:ascii="Times New Roman"/>
          <w:b w:val="false"/>
          <w:i w:val="false"/>
          <w:color w:val="000000"/>
          <w:sz w:val="28"/>
        </w:rPr>
        <w:t>
      строительство новой ПС "Правобережье";</w:t>
      </w:r>
    </w:p>
    <w:bookmarkEnd w:id="262"/>
    <w:bookmarkStart w:name="z269" w:id="263"/>
    <w:p>
      <w:pPr>
        <w:spacing w:after="0"/>
        <w:ind w:left="0"/>
        <w:jc w:val="both"/>
      </w:pPr>
      <w:r>
        <w:rPr>
          <w:rFonts w:ascii="Times New Roman"/>
          <w:b w:val="false"/>
          <w:i w:val="false"/>
          <w:color w:val="000000"/>
          <w:sz w:val="28"/>
        </w:rPr>
        <w:t>
      строительство КЛ-110 кВ от ПС №101 до ПС "Правобережье";</w:t>
      </w:r>
    </w:p>
    <w:bookmarkEnd w:id="263"/>
    <w:bookmarkStart w:name="z270" w:id="264"/>
    <w:p>
      <w:pPr>
        <w:spacing w:after="0"/>
        <w:ind w:left="0"/>
        <w:jc w:val="both"/>
      </w:pPr>
      <w:r>
        <w:rPr>
          <w:rFonts w:ascii="Times New Roman"/>
          <w:b w:val="false"/>
          <w:i w:val="false"/>
          <w:color w:val="000000"/>
          <w:sz w:val="28"/>
        </w:rPr>
        <w:t>
      модернизация ВЛ-10 кВ от ПС-103 до РП-10 кВ;</w:t>
      </w:r>
    </w:p>
    <w:bookmarkEnd w:id="264"/>
    <w:bookmarkStart w:name="z271" w:id="265"/>
    <w:p>
      <w:pPr>
        <w:spacing w:after="0"/>
        <w:ind w:left="0"/>
        <w:jc w:val="both"/>
      </w:pPr>
      <w:r>
        <w:rPr>
          <w:rFonts w:ascii="Times New Roman"/>
          <w:b w:val="false"/>
          <w:i w:val="false"/>
          <w:color w:val="000000"/>
          <w:sz w:val="28"/>
        </w:rPr>
        <w:t>
      замена ВЛ-110 кВ на КЛ-110 кВ (Л-103, 102, 155, 156) от ПС №152 до ПС №102, ПС Городская, ПС №158;</w:t>
      </w:r>
    </w:p>
    <w:bookmarkEnd w:id="265"/>
    <w:bookmarkStart w:name="z272" w:id="266"/>
    <w:p>
      <w:pPr>
        <w:spacing w:after="0"/>
        <w:ind w:left="0"/>
        <w:jc w:val="both"/>
      </w:pPr>
      <w:r>
        <w:rPr>
          <w:rFonts w:ascii="Times New Roman"/>
          <w:b w:val="false"/>
          <w:i w:val="false"/>
          <w:color w:val="000000"/>
          <w:sz w:val="28"/>
        </w:rPr>
        <w:t>
      строительство КЛ-10 кВ от ПС №103 до проектируемых РП "Ынтымак", РП "Юго-западный жилой район" и РП "Жастар-2";</w:t>
      </w:r>
    </w:p>
    <w:bookmarkEnd w:id="266"/>
    <w:bookmarkStart w:name="z273" w:id="267"/>
    <w:p>
      <w:pPr>
        <w:spacing w:after="0"/>
        <w:ind w:left="0"/>
        <w:jc w:val="both"/>
      </w:pPr>
      <w:r>
        <w:rPr>
          <w:rFonts w:ascii="Times New Roman"/>
          <w:b w:val="false"/>
          <w:i w:val="false"/>
          <w:color w:val="000000"/>
          <w:sz w:val="28"/>
        </w:rPr>
        <w:t>
      установка новых КТП-10/0,4кВ с силовыми трансформаторами;</w:t>
      </w:r>
    </w:p>
    <w:bookmarkEnd w:id="267"/>
    <w:bookmarkStart w:name="z274" w:id="268"/>
    <w:p>
      <w:pPr>
        <w:spacing w:after="0"/>
        <w:ind w:left="0"/>
        <w:jc w:val="both"/>
      </w:pPr>
      <w:r>
        <w:rPr>
          <w:rFonts w:ascii="Times New Roman"/>
          <w:b w:val="false"/>
          <w:i w:val="false"/>
          <w:color w:val="000000"/>
          <w:sz w:val="28"/>
        </w:rPr>
        <w:t>
      замена ячеек с масляными выключателями 10 кВ на ячейки КСО с вакуумными выключателями 10 кВ.</w:t>
      </w:r>
    </w:p>
    <w:bookmarkEnd w:id="268"/>
    <w:bookmarkStart w:name="z275" w:id="269"/>
    <w:p>
      <w:pPr>
        <w:spacing w:after="0"/>
        <w:ind w:left="0"/>
        <w:jc w:val="both"/>
      </w:pPr>
      <w:r>
        <w:rPr>
          <w:rFonts w:ascii="Times New Roman"/>
          <w:b w:val="false"/>
          <w:i w:val="false"/>
          <w:color w:val="000000"/>
          <w:sz w:val="28"/>
        </w:rPr>
        <w:t>
       Основными направлениями в развитие системы электроснабжения города Талдыкоргана на расчетный срок являются:</w:t>
      </w:r>
    </w:p>
    <w:bookmarkEnd w:id="269"/>
    <w:bookmarkStart w:name="z276" w:id="270"/>
    <w:p>
      <w:pPr>
        <w:spacing w:after="0"/>
        <w:ind w:left="0"/>
        <w:jc w:val="both"/>
      </w:pPr>
      <w:r>
        <w:rPr>
          <w:rFonts w:ascii="Times New Roman"/>
          <w:b w:val="false"/>
          <w:i w:val="false"/>
          <w:color w:val="000000"/>
          <w:sz w:val="28"/>
        </w:rPr>
        <w:t>
      реконструкция подстанции "Талдыкорган" 220/110/10 кВ с увеличением мощности;</w:t>
      </w:r>
    </w:p>
    <w:bookmarkEnd w:id="270"/>
    <w:bookmarkStart w:name="z277" w:id="271"/>
    <w:p>
      <w:pPr>
        <w:spacing w:after="0"/>
        <w:ind w:left="0"/>
        <w:jc w:val="both"/>
      </w:pPr>
      <w:r>
        <w:rPr>
          <w:rFonts w:ascii="Times New Roman"/>
          <w:b w:val="false"/>
          <w:i w:val="false"/>
          <w:color w:val="000000"/>
          <w:sz w:val="28"/>
        </w:rPr>
        <w:t>
      реконструкция ВЛ 10 кВ протяженностью 45,5 км;</w:t>
      </w:r>
    </w:p>
    <w:bookmarkEnd w:id="271"/>
    <w:bookmarkStart w:name="z278" w:id="272"/>
    <w:p>
      <w:pPr>
        <w:spacing w:after="0"/>
        <w:ind w:left="0"/>
        <w:jc w:val="both"/>
      </w:pPr>
      <w:r>
        <w:rPr>
          <w:rFonts w:ascii="Times New Roman"/>
          <w:b w:val="false"/>
          <w:i w:val="false"/>
          <w:color w:val="000000"/>
          <w:sz w:val="28"/>
        </w:rPr>
        <w:t>
      строительство двух солнечных электростанций мощностью 50 МВт;</w:t>
      </w:r>
    </w:p>
    <w:bookmarkEnd w:id="272"/>
    <w:bookmarkStart w:name="z279" w:id="273"/>
    <w:p>
      <w:pPr>
        <w:spacing w:after="0"/>
        <w:ind w:left="0"/>
        <w:jc w:val="both"/>
      </w:pPr>
      <w:r>
        <w:rPr>
          <w:rFonts w:ascii="Times New Roman"/>
          <w:b w:val="false"/>
          <w:i w:val="false"/>
          <w:color w:val="000000"/>
          <w:sz w:val="28"/>
        </w:rPr>
        <w:t>
      строительство распределительных пунктов 10 кВ;</w:t>
      </w:r>
    </w:p>
    <w:bookmarkEnd w:id="273"/>
    <w:bookmarkStart w:name="z280" w:id="274"/>
    <w:p>
      <w:pPr>
        <w:spacing w:after="0"/>
        <w:ind w:left="0"/>
        <w:jc w:val="both"/>
      </w:pPr>
      <w:r>
        <w:rPr>
          <w:rFonts w:ascii="Times New Roman"/>
          <w:b w:val="false"/>
          <w:i w:val="false"/>
          <w:color w:val="000000"/>
          <w:sz w:val="28"/>
        </w:rPr>
        <w:t>
      реконструкция и техническое перевооружение электрических сетей и сооружений в зоне существующей застройки с учетом перспективы;</w:t>
      </w:r>
    </w:p>
    <w:bookmarkEnd w:id="274"/>
    <w:bookmarkStart w:name="z281" w:id="275"/>
    <w:p>
      <w:pPr>
        <w:spacing w:after="0"/>
        <w:ind w:left="0"/>
        <w:jc w:val="both"/>
      </w:pPr>
      <w:r>
        <w:rPr>
          <w:rFonts w:ascii="Times New Roman"/>
          <w:b w:val="false"/>
          <w:i w:val="false"/>
          <w:color w:val="000000"/>
          <w:sz w:val="28"/>
        </w:rPr>
        <w:t>
       увеличение мощности существующих подстанций 110/10кВ Городская, № 102, № 149 за счет реконструкции и замены трансформаторов;</w:t>
      </w:r>
    </w:p>
    <w:bookmarkEnd w:id="275"/>
    <w:bookmarkStart w:name="z282" w:id="276"/>
    <w:p>
      <w:pPr>
        <w:spacing w:after="0"/>
        <w:ind w:left="0"/>
        <w:jc w:val="both"/>
      </w:pPr>
      <w:r>
        <w:rPr>
          <w:rFonts w:ascii="Times New Roman"/>
          <w:b w:val="false"/>
          <w:i w:val="false"/>
          <w:color w:val="000000"/>
          <w:sz w:val="28"/>
        </w:rPr>
        <w:t>
      строительство линий электропередачи 10 кВ протяженностью 36,7 км;</w:t>
      </w:r>
    </w:p>
    <w:bookmarkEnd w:id="276"/>
    <w:bookmarkStart w:name="z283" w:id="277"/>
    <w:p>
      <w:pPr>
        <w:spacing w:after="0"/>
        <w:ind w:left="0"/>
        <w:jc w:val="both"/>
      </w:pPr>
      <w:r>
        <w:rPr>
          <w:rFonts w:ascii="Times New Roman"/>
          <w:b w:val="false"/>
          <w:i w:val="false"/>
          <w:color w:val="000000"/>
          <w:sz w:val="28"/>
        </w:rPr>
        <w:t>
      внедрение электросберегающих мероприятий во все сферы потребления с введением дифференцированных тарифов за пользование электроэнергией.</w:t>
      </w:r>
    </w:p>
    <w:bookmarkEnd w:id="277"/>
    <w:bookmarkStart w:name="z284" w:id="278"/>
    <w:p>
      <w:pPr>
        <w:spacing w:after="0"/>
        <w:ind w:left="0"/>
        <w:jc w:val="left"/>
      </w:pPr>
      <w:r>
        <w:rPr>
          <w:rFonts w:ascii="Times New Roman"/>
          <w:b/>
          <w:i w:val="false"/>
          <w:color w:val="000000"/>
        </w:rPr>
        <w:t xml:space="preserve"> Параграф 6. Телефонизация</w:t>
      </w:r>
    </w:p>
    <w:bookmarkEnd w:id="278"/>
    <w:bookmarkStart w:name="z285" w:id="279"/>
    <w:p>
      <w:pPr>
        <w:spacing w:after="0"/>
        <w:ind w:left="0"/>
        <w:jc w:val="both"/>
      </w:pPr>
      <w:r>
        <w:rPr>
          <w:rFonts w:ascii="Times New Roman"/>
          <w:b w:val="false"/>
          <w:i w:val="false"/>
          <w:color w:val="000000"/>
          <w:sz w:val="28"/>
        </w:rPr>
        <w:t xml:space="preserve">
      В настоящее время на территории города Талдыкоргана имеются станции сотовой связи и сети телекоммуникации. </w:t>
      </w:r>
    </w:p>
    <w:bookmarkEnd w:id="279"/>
    <w:bookmarkStart w:name="z286" w:id="280"/>
    <w:p>
      <w:pPr>
        <w:spacing w:after="0"/>
        <w:ind w:left="0"/>
        <w:jc w:val="both"/>
      </w:pPr>
      <w:r>
        <w:rPr>
          <w:rFonts w:ascii="Times New Roman"/>
          <w:b w:val="false"/>
          <w:i w:val="false"/>
          <w:color w:val="000000"/>
          <w:sz w:val="28"/>
        </w:rPr>
        <w:t>
      Телефонная сеть города состоит из соединительных линий связи для подключения к системе централизованного управления сетями телекоммуникации, что позволяет передавать любой вид информации с использованием любого протокола: IP, Ethernet и другие.</w:t>
      </w:r>
    </w:p>
    <w:bookmarkEnd w:id="280"/>
    <w:bookmarkStart w:name="z287" w:id="281"/>
    <w:p>
      <w:pPr>
        <w:spacing w:after="0"/>
        <w:ind w:left="0"/>
        <w:jc w:val="both"/>
      </w:pPr>
      <w:r>
        <w:rPr>
          <w:rFonts w:ascii="Times New Roman"/>
          <w:b w:val="false"/>
          <w:i w:val="false"/>
          <w:color w:val="000000"/>
          <w:sz w:val="28"/>
        </w:rPr>
        <w:t>
      В связи с перспективным развитием проектируемой территории на проектируемой территории предлагается провести оптико-волоконные кабели ВОЛС, а также установить мультисервисный абонентский доступ.</w:t>
      </w:r>
    </w:p>
    <w:bookmarkEnd w:id="281"/>
    <w:bookmarkStart w:name="z288" w:id="282"/>
    <w:p>
      <w:pPr>
        <w:spacing w:after="0"/>
        <w:ind w:left="0"/>
        <w:jc w:val="both"/>
      </w:pPr>
      <w:r>
        <w:rPr>
          <w:rFonts w:ascii="Times New Roman"/>
          <w:b w:val="false"/>
          <w:i w:val="false"/>
          <w:color w:val="000000"/>
          <w:sz w:val="28"/>
        </w:rPr>
        <w:t>
      Для удовлетворения и предоставления самых современных телекоммуникационных услуг проектом предлагается на:</w:t>
      </w:r>
    </w:p>
    <w:bookmarkEnd w:id="282"/>
    <w:bookmarkStart w:name="z289" w:id="283"/>
    <w:p>
      <w:pPr>
        <w:spacing w:after="0"/>
        <w:ind w:left="0"/>
        <w:jc w:val="both"/>
      </w:pPr>
      <w:r>
        <w:rPr>
          <w:rFonts w:ascii="Times New Roman"/>
          <w:b w:val="false"/>
          <w:i w:val="false"/>
          <w:color w:val="000000"/>
          <w:sz w:val="28"/>
        </w:rPr>
        <w:t>
      1) I очередь строительства 2030 год – расширение станционных и линейных сооружений на 58 000 номеров;</w:t>
      </w:r>
    </w:p>
    <w:bookmarkEnd w:id="283"/>
    <w:bookmarkStart w:name="z290" w:id="284"/>
    <w:p>
      <w:pPr>
        <w:spacing w:after="0"/>
        <w:ind w:left="0"/>
        <w:jc w:val="both"/>
      </w:pPr>
      <w:r>
        <w:rPr>
          <w:rFonts w:ascii="Times New Roman"/>
          <w:b w:val="false"/>
          <w:i w:val="false"/>
          <w:color w:val="000000"/>
          <w:sz w:val="28"/>
        </w:rPr>
        <w:t>
      2) расчетный срок 2040 год – необходимо завершить строительство телекоммуникационной сети FTTH по технологии G-PON и предусмотреть расширение станционных и линейных сооружений на 75 000 номеров.</w:t>
      </w:r>
    </w:p>
    <w:bookmarkEnd w:id="284"/>
    <w:bookmarkStart w:name="z291" w:id="285"/>
    <w:p>
      <w:pPr>
        <w:spacing w:after="0"/>
        <w:ind w:left="0"/>
        <w:jc w:val="left"/>
      </w:pPr>
      <w:r>
        <w:rPr>
          <w:rFonts w:ascii="Times New Roman"/>
          <w:b/>
          <w:i w:val="false"/>
          <w:color w:val="000000"/>
        </w:rPr>
        <w:t xml:space="preserve"> Параграф 7. Санитарная очистка территории</w:t>
      </w:r>
    </w:p>
    <w:bookmarkEnd w:id="285"/>
    <w:bookmarkStart w:name="z292" w:id="286"/>
    <w:p>
      <w:pPr>
        <w:spacing w:after="0"/>
        <w:ind w:left="0"/>
        <w:jc w:val="both"/>
      </w:pPr>
      <w:r>
        <w:rPr>
          <w:rFonts w:ascii="Times New Roman"/>
          <w:b w:val="false"/>
          <w:i w:val="false"/>
          <w:color w:val="000000"/>
          <w:sz w:val="28"/>
        </w:rPr>
        <w:t>
      Очистка территории города Талдыкоргана осуществляется по планово-регулярной системе и полностью охвачена организованным вывозом твердых бытовых отходов (ТБО) на действующий полигон. Действующий полигон ТБО эксплуатируется ГУ "Отдел жилищно-коммунального хозяйства, пассажирского транспорта и автомобильных дорог города Талдыкорган" и расположен в северо-западном направлении на 10-м км автодороги "Талдыкорган – Уштобе". На полигоне действует мусоросортировочный комплекс общей мощностью 120 тыс. т/год.</w:t>
      </w:r>
    </w:p>
    <w:bookmarkEnd w:id="286"/>
    <w:bookmarkStart w:name="z293" w:id="287"/>
    <w:p>
      <w:pPr>
        <w:spacing w:after="0"/>
        <w:ind w:left="0"/>
        <w:jc w:val="both"/>
      </w:pPr>
      <w:r>
        <w:rPr>
          <w:rFonts w:ascii="Times New Roman"/>
          <w:b w:val="false"/>
          <w:i w:val="false"/>
          <w:color w:val="000000"/>
          <w:sz w:val="28"/>
        </w:rPr>
        <w:t>
      В 2016 году ТОО "Adal Damu Capital" введены в эксплуатацию мусоросортировочная станция и цех по выпуску продукции из вторичного сырья. На территории полигона функционирует совместное казахстанско-турецкое предприятие ТОО "ЭкоСервис Арман" по переработке твердых и жидких отходов с проектной мощностью 50 т/сутки (резина, пластик, отработанные масла, шины).</w:t>
      </w:r>
    </w:p>
    <w:bookmarkEnd w:id="287"/>
    <w:bookmarkStart w:name="z294" w:id="288"/>
    <w:p>
      <w:pPr>
        <w:spacing w:after="0"/>
        <w:ind w:left="0"/>
        <w:jc w:val="both"/>
      </w:pPr>
      <w:r>
        <w:rPr>
          <w:rFonts w:ascii="Times New Roman"/>
          <w:b w:val="false"/>
          <w:i w:val="false"/>
          <w:color w:val="000000"/>
          <w:sz w:val="28"/>
        </w:rPr>
        <w:t>
      В городе поэтапно внедряется раздельный сбор ТБО (пилотный проект) по трем фракциям: макулатура-текстиль, пластик-стекло, прочие отходы. В 2017 году в рамках расширенной ответственности производителей (РОП) установлены 190 контейнеров для сбора ртутьсодержащих ламп. Дополнительно на 25 контейнерных площадках размещено 100 контейнеров для раздельного сбора (включая площадки у бюджетных организаций и крупных торговых центров). Всего для развития раздельного сбора установлено 270 подземных и 200 сетчатых контейнеров, а также приобретено 9 единиц специализированной техники (мусоровозы).</w:t>
      </w:r>
    </w:p>
    <w:bookmarkEnd w:id="288"/>
    <w:bookmarkStart w:name="z295" w:id="289"/>
    <w:p>
      <w:pPr>
        <w:spacing w:after="0"/>
        <w:ind w:left="0"/>
        <w:jc w:val="both"/>
      </w:pPr>
      <w:r>
        <w:rPr>
          <w:rFonts w:ascii="Times New Roman"/>
          <w:b w:val="false"/>
          <w:i w:val="false"/>
          <w:color w:val="000000"/>
          <w:sz w:val="28"/>
        </w:rPr>
        <w:t>
      Технологии обработки и переработки отходов включают физические, химические и биологические процессы, в том числе сортировку, извлечение вторичного сырья для дальнейшего использования в производстве товаров и материалов, а также изменение свойств отходов для упрощения обращения с ними, снижения объема и опасных характеристик.</w:t>
      </w:r>
    </w:p>
    <w:bookmarkEnd w:id="289"/>
    <w:bookmarkStart w:name="z296" w:id="290"/>
    <w:p>
      <w:pPr>
        <w:spacing w:after="0"/>
        <w:ind w:left="0"/>
        <w:jc w:val="both"/>
      </w:pPr>
      <w:r>
        <w:rPr>
          <w:rFonts w:ascii="Times New Roman"/>
          <w:b w:val="false"/>
          <w:i w:val="false"/>
          <w:color w:val="000000"/>
          <w:sz w:val="28"/>
        </w:rPr>
        <w:t>
      В городе планируется расширять цепочку обращения вторичных ресурсов от раздельного сбора у источника образования до глубокой переработки и выпуска продукции из вторсырья. Приоритеты: переработка макулатуры в картон и упаковку; переработка пластмасс (ПЭТ, ПНД, ПВД) в гранулы и готовые изделия; переработка стеклобоя в тарное и листовое стекло; регенерация отработанных масел; переработка шин и иных РТИ в резиновую крошку для строительства и благоустройства; подготовка древесных отходов в щепу и плитные материалы. Для повышения эффективности предполагается развивать механизмы РОП, внедрять цифровой учет потоков отходов, создавать пункты приема (в т.ч. с кешбэк-стимулами) и поддерживать МСБ в сфере рециклинга. Рассматривается использование РДФ-топлива из несортируемого "хвоста" при обязательном соблюдении экологических нормативов и максимальном предварительном извлечении вторсырья.</w:t>
      </w:r>
    </w:p>
    <w:bookmarkEnd w:id="290"/>
    <w:bookmarkStart w:name="z297" w:id="291"/>
    <w:p>
      <w:pPr>
        <w:spacing w:after="0"/>
        <w:ind w:left="0"/>
        <w:jc w:val="both"/>
      </w:pPr>
      <w:r>
        <w:rPr>
          <w:rFonts w:ascii="Times New Roman"/>
          <w:b w:val="false"/>
          <w:i w:val="false"/>
          <w:color w:val="000000"/>
          <w:sz w:val="28"/>
        </w:rPr>
        <w:t>
      Меры по обращению с отходами интегрируются в политику "зеленой" экономики города: сокращение захоронения и выбросов ПГ (включая улавливание/утилизацию свалочного газа), ресурсосбережение и повышение материалоемкой эффективности, создание "зеленых" рабочих мест в рециклинге и экодизайне. Планируются применение принципов циркулярной экономики в муниципальных закупках (приоритет продукции из вторсырья и многооборотной тары), внедрение ВИЭ на объектах инфраструктуры (солнечные панели на крышах цехов, энергоэффективное освещение), обновление парка спецтехники на экологичные виды (газомоторная/электро), развитие раздельного сбора в общественных пространствах и цифровой ESG-мониторинг городских служб.</w:t>
      </w:r>
    </w:p>
    <w:bookmarkEnd w:id="291"/>
    <w:bookmarkStart w:name="z298" w:id="292"/>
    <w:p>
      <w:pPr>
        <w:spacing w:after="0"/>
        <w:ind w:left="0"/>
        <w:jc w:val="both"/>
      </w:pPr>
      <w:r>
        <w:rPr>
          <w:rFonts w:ascii="Times New Roman"/>
          <w:b w:val="false"/>
          <w:i w:val="false"/>
          <w:color w:val="000000"/>
          <w:sz w:val="28"/>
        </w:rPr>
        <w:t>
      Для популяризации раздельного сбора ТБО необходимы постоянные информационно-просветительские мероприятия: экологические акции, мастер-классы в жилых комплексах, "эко-уроки" в образовательных учреждениях с демонстрацией социальных роликов. Реализация проекта раздельного сбора позволит снизить объем захоронения на полигоне, ускорить развитие перерабатывающей отрасли и сберечь природные ресурсы.</w:t>
      </w:r>
    </w:p>
    <w:bookmarkEnd w:id="292"/>
    <w:bookmarkStart w:name="z299" w:id="293"/>
    <w:p>
      <w:pPr>
        <w:spacing w:after="0"/>
        <w:ind w:left="0"/>
        <w:jc w:val="both"/>
      </w:pPr>
      <w:r>
        <w:rPr>
          <w:rFonts w:ascii="Times New Roman"/>
          <w:b w:val="false"/>
          <w:i w:val="false"/>
          <w:color w:val="000000"/>
          <w:sz w:val="28"/>
        </w:rPr>
        <w:t>
      Предложения по улучшению экологической ситуации:</w:t>
      </w:r>
    </w:p>
    <w:bookmarkEnd w:id="293"/>
    <w:bookmarkStart w:name="z300" w:id="294"/>
    <w:p>
      <w:pPr>
        <w:spacing w:after="0"/>
        <w:ind w:left="0"/>
        <w:jc w:val="both"/>
      </w:pPr>
      <w:r>
        <w:rPr>
          <w:rFonts w:ascii="Times New Roman"/>
          <w:b w:val="false"/>
          <w:i w:val="false"/>
          <w:color w:val="000000"/>
          <w:sz w:val="28"/>
        </w:rPr>
        <w:t>
      Повысить качество сбора и транспортировки ТБО от населения и предприятий.</w:t>
      </w:r>
    </w:p>
    <w:bookmarkEnd w:id="294"/>
    <w:bookmarkStart w:name="z301" w:id="295"/>
    <w:p>
      <w:pPr>
        <w:spacing w:after="0"/>
        <w:ind w:left="0"/>
        <w:jc w:val="both"/>
      </w:pPr>
      <w:r>
        <w:rPr>
          <w:rFonts w:ascii="Times New Roman"/>
          <w:b w:val="false"/>
          <w:i w:val="false"/>
          <w:color w:val="000000"/>
          <w:sz w:val="28"/>
        </w:rPr>
        <w:t>
      Масштабировать и стандартизировать систему раздельного сбора коммунальных отходов.</w:t>
      </w:r>
    </w:p>
    <w:bookmarkEnd w:id="295"/>
    <w:bookmarkStart w:name="z302" w:id="296"/>
    <w:p>
      <w:pPr>
        <w:spacing w:after="0"/>
        <w:ind w:left="0"/>
        <w:jc w:val="both"/>
      </w:pPr>
      <w:r>
        <w:rPr>
          <w:rFonts w:ascii="Times New Roman"/>
          <w:b w:val="false"/>
          <w:i w:val="false"/>
          <w:color w:val="000000"/>
          <w:sz w:val="28"/>
        </w:rPr>
        <w:t>
      Расширить мощности мусоросортировочного и мусороперерабатывающего комплексов.</w:t>
      </w:r>
    </w:p>
    <w:bookmarkEnd w:id="296"/>
    <w:bookmarkStart w:name="z303" w:id="297"/>
    <w:p>
      <w:pPr>
        <w:spacing w:after="0"/>
        <w:ind w:left="0"/>
        <w:jc w:val="both"/>
      </w:pPr>
      <w:r>
        <w:rPr>
          <w:rFonts w:ascii="Times New Roman"/>
          <w:b w:val="false"/>
          <w:i w:val="false"/>
          <w:color w:val="000000"/>
          <w:sz w:val="28"/>
        </w:rPr>
        <w:t>
      Привести эксплуатацию полигона ТБО в полное соответствие экологическим требованиям.</w:t>
      </w:r>
    </w:p>
    <w:bookmarkEnd w:id="297"/>
    <w:bookmarkStart w:name="z304" w:id="298"/>
    <w:p>
      <w:pPr>
        <w:spacing w:after="0"/>
        <w:ind w:left="0"/>
        <w:jc w:val="both"/>
      </w:pPr>
      <w:r>
        <w:rPr>
          <w:rFonts w:ascii="Times New Roman"/>
          <w:b w:val="false"/>
          <w:i w:val="false"/>
          <w:color w:val="000000"/>
          <w:sz w:val="28"/>
        </w:rPr>
        <w:t>
      Ввести стимулирующие меры для предприятий, собирающих и перерабатывающих вторсырье.</w:t>
      </w:r>
    </w:p>
    <w:bookmarkEnd w:id="298"/>
    <w:bookmarkStart w:name="z305" w:id="299"/>
    <w:p>
      <w:pPr>
        <w:spacing w:after="0"/>
        <w:ind w:left="0"/>
        <w:jc w:val="both"/>
      </w:pPr>
      <w:r>
        <w:rPr>
          <w:rFonts w:ascii="Times New Roman"/>
          <w:b w:val="false"/>
          <w:i w:val="false"/>
          <w:color w:val="000000"/>
          <w:sz w:val="28"/>
        </w:rPr>
        <w:t>
      Модернизировать контейнерный парк.</w:t>
      </w:r>
    </w:p>
    <w:bookmarkEnd w:id="299"/>
    <w:bookmarkStart w:name="z306" w:id="300"/>
    <w:p>
      <w:pPr>
        <w:spacing w:after="0"/>
        <w:ind w:left="0"/>
        <w:jc w:val="both"/>
      </w:pPr>
      <w:r>
        <w:rPr>
          <w:rFonts w:ascii="Times New Roman"/>
          <w:b w:val="false"/>
          <w:i w:val="false"/>
          <w:color w:val="000000"/>
          <w:sz w:val="28"/>
        </w:rPr>
        <w:t>
      Организовать системный сбор крупногабаритных и строительных отходов, недоступный для самостоятельной транспортировки населением.</w:t>
      </w:r>
    </w:p>
    <w:bookmarkEnd w:id="300"/>
    <w:bookmarkStart w:name="z307" w:id="301"/>
    <w:p>
      <w:pPr>
        <w:spacing w:after="0"/>
        <w:ind w:left="0"/>
        <w:jc w:val="both"/>
      </w:pPr>
      <w:r>
        <w:rPr>
          <w:rFonts w:ascii="Times New Roman"/>
          <w:b w:val="false"/>
          <w:i w:val="false"/>
          <w:color w:val="000000"/>
          <w:sz w:val="28"/>
        </w:rPr>
        <w:t>
      Обеспечить утилизацию опасных бытовых отходов на специализированных объектах для опасных промышленных отходов.</w:t>
      </w:r>
    </w:p>
    <w:bookmarkEnd w:id="301"/>
    <w:bookmarkStart w:name="z308" w:id="302"/>
    <w:p>
      <w:pPr>
        <w:spacing w:after="0"/>
        <w:ind w:left="0"/>
        <w:jc w:val="left"/>
      </w:pPr>
      <w:r>
        <w:rPr>
          <w:rFonts w:ascii="Times New Roman"/>
          <w:b/>
          <w:i w:val="false"/>
          <w:color w:val="000000"/>
        </w:rPr>
        <w:t xml:space="preserve"> Глава 9. Инженерная подготовка и инженерная защита территорий</w:t>
      </w:r>
    </w:p>
    <w:bookmarkEnd w:id="302"/>
    <w:bookmarkStart w:name="z309" w:id="303"/>
    <w:p>
      <w:pPr>
        <w:spacing w:after="0"/>
        <w:ind w:left="0"/>
        <w:jc w:val="both"/>
      </w:pPr>
      <w:r>
        <w:rPr>
          <w:rFonts w:ascii="Times New Roman"/>
          <w:b w:val="false"/>
          <w:i w:val="false"/>
          <w:color w:val="000000"/>
          <w:sz w:val="28"/>
        </w:rPr>
        <w:t>
      Проектируемая территория расположена в пределах межгорной впадины, в районе конуса выноса рек Каратал и Коктал. С юга, юго-востока и востока территория ограничена склонами горных хребтов Джунгарского Алатау.</w:t>
      </w:r>
    </w:p>
    <w:bookmarkEnd w:id="303"/>
    <w:bookmarkStart w:name="z310" w:id="304"/>
    <w:p>
      <w:pPr>
        <w:spacing w:after="0"/>
        <w:ind w:left="0"/>
        <w:jc w:val="both"/>
      </w:pPr>
      <w:r>
        <w:rPr>
          <w:rFonts w:ascii="Times New Roman"/>
          <w:b w:val="false"/>
          <w:i w:val="false"/>
          <w:color w:val="000000"/>
          <w:sz w:val="28"/>
        </w:rPr>
        <w:t>
      Поверхность представляет собой слабоволнистую равнину с общим уклоном на север, северо-восток. Абсолютные отметки изменяются в пределах от 535,0 м до 655,0 м.</w:t>
      </w:r>
    </w:p>
    <w:bookmarkEnd w:id="304"/>
    <w:bookmarkStart w:name="z311" w:id="305"/>
    <w:p>
      <w:pPr>
        <w:spacing w:after="0"/>
        <w:ind w:left="0"/>
        <w:jc w:val="both"/>
      </w:pPr>
      <w:r>
        <w:rPr>
          <w:rFonts w:ascii="Times New Roman"/>
          <w:b w:val="false"/>
          <w:i w:val="false"/>
          <w:color w:val="000000"/>
          <w:sz w:val="28"/>
        </w:rPr>
        <w:t xml:space="preserve">
      При решении вертикальной планировки территории не преследовались цели коренного изменения рельефа, а лишь исправление отдельных его недостатков, с выполнением выборочной вертикальной планировки, обеспечивающей отвод поверхностных вод от зданий, сооружений, спортивных и других площадок, автостоянок в сторону водоотводящей сети. По условиям рельефа невозможно по проезжей части на всех участках задать уклон 5‰, благоприятный для отвода поверхностных вод самотеком. Отсутствие продольных уклонов компенсируется выполнением двускатных поперечных уклонов с применением пилообразного профиля по лотку. Пилообразный профиль осуществляется в виде чередования направленных в разные стороны продольных уклонов по полосе проезжей части, примыкающей к борту, с переменными по величине поперечными уклонами. </w:t>
      </w:r>
    </w:p>
    <w:bookmarkEnd w:id="305"/>
    <w:bookmarkStart w:name="z312" w:id="306"/>
    <w:p>
      <w:pPr>
        <w:spacing w:after="0"/>
        <w:ind w:left="0"/>
        <w:jc w:val="both"/>
      </w:pPr>
      <w:r>
        <w:rPr>
          <w:rFonts w:ascii="Times New Roman"/>
          <w:b w:val="false"/>
          <w:i w:val="false"/>
          <w:color w:val="000000"/>
          <w:sz w:val="28"/>
        </w:rPr>
        <w:t>
      Общий объем годовых стоков составит 25050,3 тыс.м3. Ориентировочные объемы работ и стоимость мероприятий по строительству водоотводящей системы подсчитаны по укрупненным показателям.</w:t>
      </w:r>
    </w:p>
    <w:bookmarkEnd w:id="306"/>
    <w:bookmarkStart w:name="z313" w:id="307"/>
    <w:p>
      <w:pPr>
        <w:spacing w:after="0"/>
        <w:ind w:left="0"/>
        <w:jc w:val="both"/>
      </w:pPr>
      <w:r>
        <w:rPr>
          <w:rFonts w:ascii="Times New Roman"/>
          <w:b w:val="false"/>
          <w:i w:val="false"/>
          <w:color w:val="000000"/>
          <w:sz w:val="28"/>
        </w:rPr>
        <w:t xml:space="preserve">
      Поверхностный сток с особо загрязненных участков, расположенных на коммунальных территориях (бензозаправочные станции, автомойки, гаражи автостанции), должны очищаться на локальных очистных сооружениях перед сбросом в общую ливневую систему. </w:t>
      </w:r>
    </w:p>
    <w:bookmarkEnd w:id="307"/>
    <w:bookmarkStart w:name="z314" w:id="308"/>
    <w:p>
      <w:pPr>
        <w:spacing w:after="0"/>
        <w:ind w:left="0"/>
        <w:jc w:val="both"/>
      </w:pPr>
      <w:r>
        <w:rPr>
          <w:rFonts w:ascii="Times New Roman"/>
          <w:b w:val="false"/>
          <w:i w:val="false"/>
          <w:color w:val="000000"/>
          <w:sz w:val="28"/>
        </w:rPr>
        <w:t>
      Проезжие части дорог и внутриквартальные проезды устраиваются с асфальтовым покрытием с установкой бордюрного камня по обеим сторонам улиц. Исходя из условий рельефа и наличия существующей застройки проезжие части улиц имеют следующие уклоны:</w:t>
      </w:r>
    </w:p>
    <w:bookmarkEnd w:id="308"/>
    <w:bookmarkStart w:name="z315" w:id="309"/>
    <w:p>
      <w:pPr>
        <w:spacing w:after="0"/>
        <w:ind w:left="0"/>
        <w:jc w:val="both"/>
      </w:pPr>
      <w:r>
        <w:rPr>
          <w:rFonts w:ascii="Times New Roman"/>
          <w:b w:val="false"/>
          <w:i w:val="false"/>
          <w:color w:val="000000"/>
          <w:sz w:val="28"/>
        </w:rPr>
        <w:t>
      максимальный – 17,2 ‰;</w:t>
      </w:r>
    </w:p>
    <w:bookmarkEnd w:id="309"/>
    <w:bookmarkStart w:name="z316" w:id="310"/>
    <w:p>
      <w:pPr>
        <w:spacing w:after="0"/>
        <w:ind w:left="0"/>
        <w:jc w:val="both"/>
      </w:pPr>
      <w:r>
        <w:rPr>
          <w:rFonts w:ascii="Times New Roman"/>
          <w:b w:val="false"/>
          <w:i w:val="false"/>
          <w:color w:val="000000"/>
          <w:sz w:val="28"/>
        </w:rPr>
        <w:t xml:space="preserve">
      минимальный – 3,0 ‰. </w:t>
      </w:r>
    </w:p>
    <w:bookmarkEnd w:id="310"/>
    <w:bookmarkStart w:name="z317" w:id="311"/>
    <w:p>
      <w:pPr>
        <w:spacing w:after="0"/>
        <w:ind w:left="0"/>
        <w:jc w:val="both"/>
      </w:pPr>
      <w:r>
        <w:rPr>
          <w:rFonts w:ascii="Times New Roman"/>
          <w:b w:val="false"/>
          <w:i w:val="false"/>
          <w:color w:val="000000"/>
          <w:sz w:val="28"/>
        </w:rPr>
        <w:t xml:space="preserve">
      Проектные значения продольных уклонов были изменены с 2,2‰ на 3,0‰. Применение уклонов в пределах от 3,0‰ до 17,2‰ на проектируемой территории соответствует требованиям СП РК 3.03-101-2013 (пункт 5.2), согласно которому максимальный продольный уклон в зависимости от категории дороги и рельефа местности может составлять до 60‰. Это основано на расчетных скоростях движения. Также учитывается СНиП РК 4.01-03-2011 (пункт 5.22), в котором указано, что минимальные уклоны лотков проезжей части, кюветов и водоотводных канав должны быть не менее 0,003, если иное не обосновано расчетами или условиями местности. </w:t>
      </w:r>
    </w:p>
    <w:bookmarkEnd w:id="311"/>
    <w:bookmarkStart w:name="z318" w:id="312"/>
    <w:p>
      <w:pPr>
        <w:spacing w:after="0"/>
        <w:ind w:left="0"/>
        <w:jc w:val="left"/>
      </w:pPr>
      <w:r>
        <w:rPr>
          <w:rFonts w:ascii="Times New Roman"/>
          <w:b/>
          <w:i w:val="false"/>
          <w:color w:val="000000"/>
        </w:rPr>
        <w:t xml:space="preserve"> Глава 10. Стратегическая экологическая оценка</w:t>
      </w:r>
    </w:p>
    <w:bookmarkEnd w:id="312"/>
    <w:bookmarkStart w:name="z319" w:id="313"/>
    <w:p>
      <w:pPr>
        <w:spacing w:after="0"/>
        <w:ind w:left="0"/>
        <w:jc w:val="both"/>
      </w:pPr>
      <w:r>
        <w:rPr>
          <w:rFonts w:ascii="Times New Roman"/>
          <w:b w:val="false"/>
          <w:i w:val="false"/>
          <w:color w:val="000000"/>
          <w:sz w:val="28"/>
        </w:rPr>
        <w:t xml:space="preserve">
      В составе Генерального плана выполнен раздел по Стратегической экологической оценке согласно </w:t>
      </w:r>
      <w:r>
        <w:rPr>
          <w:rFonts w:ascii="Times New Roman"/>
          <w:b w:val="false"/>
          <w:i w:val="false"/>
          <w:color w:val="000000"/>
          <w:sz w:val="28"/>
        </w:rPr>
        <w:t>статьям 51</w:t>
      </w:r>
      <w:r>
        <w:rPr>
          <w:rFonts w:ascii="Times New Roman"/>
          <w:b w:val="false"/>
          <w:i w:val="false"/>
          <w:color w:val="000000"/>
          <w:sz w:val="28"/>
        </w:rPr>
        <w:t>-</w:t>
      </w:r>
      <w:r>
        <w:rPr>
          <w:rFonts w:ascii="Times New Roman"/>
          <w:b w:val="false"/>
          <w:i w:val="false"/>
          <w:color w:val="000000"/>
          <w:sz w:val="28"/>
        </w:rPr>
        <w:t>63</w:t>
      </w:r>
      <w:r>
        <w:rPr>
          <w:rFonts w:ascii="Times New Roman"/>
          <w:b w:val="false"/>
          <w:i w:val="false"/>
          <w:color w:val="000000"/>
          <w:sz w:val="28"/>
        </w:rPr>
        <w:t xml:space="preserve"> Экологического кодекса Республики Казахстан, а также инструкции по организации и проведению экологической оценки, утвержденной приказом Министра экологии, геологии и природных ресурсов Республики Казахстан от 30 июля 2021 года № 280, которая детализирует процедуры скрининга и определения сферы охвата, оценку качества отчета по СЭО и последовательность консультаций. </w:t>
      </w:r>
    </w:p>
    <w:bookmarkEnd w:id="313"/>
    <w:bookmarkStart w:name="z320" w:id="314"/>
    <w:p>
      <w:pPr>
        <w:spacing w:after="0"/>
        <w:ind w:left="0"/>
        <w:jc w:val="both"/>
      </w:pPr>
      <w:r>
        <w:rPr>
          <w:rFonts w:ascii="Times New Roman"/>
          <w:b w:val="false"/>
          <w:i w:val="false"/>
          <w:color w:val="000000"/>
          <w:sz w:val="28"/>
        </w:rPr>
        <w:t>
      Получено заключение об удовлетворительном качестве отчета по стратегической экологической оценке к проекту "Разработка генерального плана города Талдыкорган области Жетісу (корректировка)" от Министерства экологии и природных ресурсов Республики Казахстан от 29 января 2025 года № 02-10/19896.</w:t>
      </w:r>
    </w:p>
    <w:bookmarkEnd w:id="314"/>
    <w:bookmarkStart w:name="z321" w:id="315"/>
    <w:p>
      <w:pPr>
        <w:spacing w:after="0"/>
        <w:ind w:left="0"/>
        <w:jc w:val="both"/>
      </w:pPr>
      <w:r>
        <w:rPr>
          <w:rFonts w:ascii="Times New Roman"/>
          <w:b w:val="false"/>
          <w:i w:val="false"/>
          <w:color w:val="000000"/>
          <w:sz w:val="28"/>
        </w:rPr>
        <w:t>
      Город Талдыкорган – областной, культурный и промышленный центр. Цель нового Генерального плана с расчетным сроком до 2050 года – разработка основного градостроительного документа концептуального планирования социально-экономического и территориального развития города, направленного на создание наиболее благоприятной среды жизнедеятельности, обеспечение экологической безопасности и сохранение природного и культурного наследия, разработку новых проектных решений с учетом реализации действующего генерального плана города и разработанных проектов детальной планировки, ранее произведенных отводов и осуществленных в натуре строительства объектов. Приняты следующие проектные периоды: исходный год - 2024 год (на 01.01. 2024 год); первая очередь строительства – 2032 год; расчетный срок - 2050 год.</w:t>
      </w:r>
    </w:p>
    <w:bookmarkEnd w:id="315"/>
    <w:bookmarkStart w:name="z322" w:id="316"/>
    <w:p>
      <w:pPr>
        <w:spacing w:after="0"/>
        <w:ind w:left="0"/>
        <w:jc w:val="both"/>
      </w:pPr>
      <w:r>
        <w:rPr>
          <w:rFonts w:ascii="Times New Roman"/>
          <w:b w:val="false"/>
          <w:i w:val="false"/>
          <w:color w:val="000000"/>
          <w:sz w:val="28"/>
        </w:rPr>
        <w:t>
      Основными целями организации работы по обеспечению экологической безопасности являются:</w:t>
      </w:r>
    </w:p>
    <w:bookmarkEnd w:id="316"/>
    <w:bookmarkStart w:name="z323" w:id="317"/>
    <w:p>
      <w:pPr>
        <w:spacing w:after="0"/>
        <w:ind w:left="0"/>
        <w:jc w:val="both"/>
      </w:pPr>
      <w:r>
        <w:rPr>
          <w:rFonts w:ascii="Times New Roman"/>
          <w:b w:val="false"/>
          <w:i w:val="false"/>
          <w:color w:val="000000"/>
          <w:sz w:val="28"/>
        </w:rPr>
        <w:t>
      1) снижение негативного влияния на окружающую среду;</w:t>
      </w:r>
    </w:p>
    <w:bookmarkEnd w:id="317"/>
    <w:bookmarkStart w:name="z324" w:id="318"/>
    <w:p>
      <w:pPr>
        <w:spacing w:after="0"/>
        <w:ind w:left="0"/>
        <w:jc w:val="both"/>
      </w:pPr>
      <w:r>
        <w:rPr>
          <w:rFonts w:ascii="Times New Roman"/>
          <w:b w:val="false"/>
          <w:i w:val="false"/>
          <w:color w:val="000000"/>
          <w:sz w:val="28"/>
        </w:rPr>
        <w:t>
      2) рациональное использование природных ресурсов;</w:t>
      </w:r>
    </w:p>
    <w:bookmarkEnd w:id="318"/>
    <w:bookmarkStart w:name="z325" w:id="319"/>
    <w:p>
      <w:pPr>
        <w:spacing w:after="0"/>
        <w:ind w:left="0"/>
        <w:jc w:val="both"/>
      </w:pPr>
      <w:r>
        <w:rPr>
          <w:rFonts w:ascii="Times New Roman"/>
          <w:b w:val="false"/>
          <w:i w:val="false"/>
          <w:color w:val="000000"/>
          <w:sz w:val="28"/>
        </w:rPr>
        <w:t>
      3) восстановление нарушенных естественных экологических систем;</w:t>
      </w:r>
    </w:p>
    <w:bookmarkEnd w:id="319"/>
    <w:bookmarkStart w:name="z326" w:id="320"/>
    <w:p>
      <w:pPr>
        <w:spacing w:after="0"/>
        <w:ind w:left="0"/>
        <w:jc w:val="both"/>
      </w:pPr>
      <w:r>
        <w:rPr>
          <w:rFonts w:ascii="Times New Roman"/>
          <w:b w:val="false"/>
          <w:i w:val="false"/>
          <w:color w:val="000000"/>
          <w:sz w:val="28"/>
        </w:rPr>
        <w:t>
      4) предотвращение нанесения ущерба окружающей среде.</w:t>
      </w:r>
    </w:p>
    <w:bookmarkEnd w:id="320"/>
    <w:bookmarkStart w:name="z327" w:id="321"/>
    <w:p>
      <w:pPr>
        <w:spacing w:after="0"/>
        <w:ind w:left="0"/>
        <w:jc w:val="both"/>
      </w:pPr>
      <w:r>
        <w:rPr>
          <w:rFonts w:ascii="Times New Roman"/>
          <w:b w:val="false"/>
          <w:i w:val="false"/>
          <w:color w:val="000000"/>
          <w:sz w:val="28"/>
        </w:rPr>
        <w:t>
      На предприятиях должны соблюдаться следующие виды контроля с учетом технологии производства и рода груза:</w:t>
      </w:r>
    </w:p>
    <w:bookmarkEnd w:id="321"/>
    <w:bookmarkStart w:name="z328" w:id="322"/>
    <w:p>
      <w:pPr>
        <w:spacing w:after="0"/>
        <w:ind w:left="0"/>
        <w:jc w:val="both"/>
      </w:pPr>
      <w:r>
        <w:rPr>
          <w:rFonts w:ascii="Times New Roman"/>
          <w:b w:val="false"/>
          <w:i w:val="false"/>
          <w:color w:val="000000"/>
          <w:sz w:val="28"/>
        </w:rPr>
        <w:t>
      систематический анализ природоохранной деятельности;</w:t>
      </w:r>
    </w:p>
    <w:bookmarkEnd w:id="322"/>
    <w:bookmarkStart w:name="z329" w:id="323"/>
    <w:p>
      <w:pPr>
        <w:spacing w:after="0"/>
        <w:ind w:left="0"/>
        <w:jc w:val="both"/>
      </w:pPr>
      <w:r>
        <w:rPr>
          <w:rFonts w:ascii="Times New Roman"/>
          <w:b w:val="false"/>
          <w:i w:val="false"/>
          <w:color w:val="000000"/>
          <w:sz w:val="28"/>
        </w:rPr>
        <w:t>
      осуществление методологического руководства по вопросам охраны окружающей среды и рационального природопользования.</w:t>
      </w:r>
    </w:p>
    <w:bookmarkEnd w:id="323"/>
    <w:bookmarkStart w:name="z330" w:id="324"/>
    <w:p>
      <w:pPr>
        <w:spacing w:after="0"/>
        <w:ind w:left="0"/>
        <w:jc w:val="both"/>
      </w:pPr>
      <w:r>
        <w:rPr>
          <w:rFonts w:ascii="Times New Roman"/>
          <w:b w:val="false"/>
          <w:i w:val="false"/>
          <w:color w:val="000000"/>
          <w:sz w:val="28"/>
        </w:rPr>
        <w:t>
      Должны проводится мероприятия и учет за:</w:t>
      </w:r>
    </w:p>
    <w:bookmarkEnd w:id="324"/>
    <w:bookmarkStart w:name="z331" w:id="325"/>
    <w:p>
      <w:pPr>
        <w:spacing w:after="0"/>
        <w:ind w:left="0"/>
        <w:jc w:val="both"/>
      </w:pPr>
      <w:r>
        <w:rPr>
          <w:rFonts w:ascii="Times New Roman"/>
          <w:b w:val="false"/>
          <w:i w:val="false"/>
          <w:color w:val="000000"/>
          <w:sz w:val="28"/>
        </w:rPr>
        <w:t>
      потреблением природных ресурсов;</w:t>
      </w:r>
    </w:p>
    <w:bookmarkEnd w:id="325"/>
    <w:bookmarkStart w:name="z332" w:id="326"/>
    <w:p>
      <w:pPr>
        <w:spacing w:after="0"/>
        <w:ind w:left="0"/>
        <w:jc w:val="both"/>
      </w:pPr>
      <w:r>
        <w:rPr>
          <w:rFonts w:ascii="Times New Roman"/>
          <w:b w:val="false"/>
          <w:i w:val="false"/>
          <w:color w:val="000000"/>
          <w:sz w:val="28"/>
        </w:rPr>
        <w:t>
      выбросами (сбросами) загрязняющих веществ в окружающую среду, снижением объемов выбрасываемых вредных веществ от источников выбросов за счет установки систем пыле-газоочистных установок, совершенствования технологии очистки сточных вод и повышения эффективности их работы;</w:t>
      </w:r>
    </w:p>
    <w:bookmarkEnd w:id="326"/>
    <w:bookmarkStart w:name="z333" w:id="327"/>
    <w:p>
      <w:pPr>
        <w:spacing w:after="0"/>
        <w:ind w:left="0"/>
        <w:jc w:val="both"/>
      </w:pPr>
      <w:r>
        <w:rPr>
          <w:rFonts w:ascii="Times New Roman"/>
          <w:b w:val="false"/>
          <w:i w:val="false"/>
          <w:color w:val="000000"/>
          <w:sz w:val="28"/>
        </w:rPr>
        <w:t>
      представлением в установленные сроки и адреса государственной статистической отчетности по охране окружающей среды: 2-ТП воздух "Об охране окружающей среды", 2-ТП водхоз "Об использовании воды", 4-ОС "О текущих затратах на охрану природы, экологических платежах и плате за природные ресурсы", 3-токсичные отходы "Об образовании и удалении токсичных отходов";</w:t>
      </w:r>
    </w:p>
    <w:bookmarkEnd w:id="327"/>
    <w:bookmarkStart w:name="z334" w:id="328"/>
    <w:p>
      <w:pPr>
        <w:spacing w:after="0"/>
        <w:ind w:left="0"/>
        <w:jc w:val="both"/>
      </w:pPr>
      <w:r>
        <w:rPr>
          <w:rFonts w:ascii="Times New Roman"/>
          <w:b w:val="false"/>
          <w:i w:val="false"/>
          <w:color w:val="000000"/>
          <w:sz w:val="28"/>
        </w:rPr>
        <w:t>
      выполнением плана мероприятий по природоохранной деятельности о состоянии охраны окружающей среды и отчета формы 14. Экология;</w:t>
      </w:r>
    </w:p>
    <w:bookmarkEnd w:id="328"/>
    <w:bookmarkStart w:name="z335" w:id="329"/>
    <w:p>
      <w:pPr>
        <w:spacing w:after="0"/>
        <w:ind w:left="0"/>
        <w:jc w:val="both"/>
      </w:pPr>
      <w:r>
        <w:rPr>
          <w:rFonts w:ascii="Times New Roman"/>
          <w:b w:val="false"/>
          <w:i w:val="false"/>
          <w:color w:val="000000"/>
          <w:sz w:val="28"/>
        </w:rPr>
        <w:t>
      своевременной разработкой нормативов предельно допустимых выбросов вредных веществ в атмосферу, программ производственного экологического контроля, нормативов предельно допустимых сбросов загрязняющих веществ со сточными водами, планов проведения инвентаризации источников выбросов, получением разрешений на загрязнение окружающей среды (включая выбросы, сбросы, размещение отходов);</w:t>
      </w:r>
    </w:p>
    <w:bookmarkEnd w:id="329"/>
    <w:bookmarkStart w:name="z336" w:id="330"/>
    <w:p>
      <w:pPr>
        <w:spacing w:after="0"/>
        <w:ind w:left="0"/>
        <w:jc w:val="both"/>
      </w:pPr>
      <w:r>
        <w:rPr>
          <w:rFonts w:ascii="Times New Roman"/>
          <w:b w:val="false"/>
          <w:i w:val="false"/>
          <w:color w:val="000000"/>
          <w:sz w:val="28"/>
        </w:rPr>
        <w:t>
      охраной водных ресурсов, соблюдением водоохранных полос и зон согласно Водному кодексу (в пределах водоохранных зон действуют ограничения на хозяйственную деятельность, направленные на защиту водных объектов от загрязнения и засорения);</w:t>
      </w:r>
    </w:p>
    <w:bookmarkEnd w:id="330"/>
    <w:bookmarkStart w:name="z337" w:id="331"/>
    <w:p>
      <w:pPr>
        <w:spacing w:after="0"/>
        <w:ind w:left="0"/>
        <w:jc w:val="both"/>
      </w:pPr>
      <w:r>
        <w:rPr>
          <w:rFonts w:ascii="Times New Roman"/>
          <w:b w:val="false"/>
          <w:i w:val="false"/>
          <w:color w:val="000000"/>
          <w:sz w:val="28"/>
        </w:rPr>
        <w:t xml:space="preserve">
      проект учитывает такие факторы как изменение климата, рост водопотребления и необходимость в более эффективном управлении водными ресурсами (Генеральный план призван обеспечить водную безопасность города, защиту водных объектов и создание устойчивой системы водопользования); </w:t>
      </w:r>
    </w:p>
    <w:bookmarkEnd w:id="331"/>
    <w:bookmarkStart w:name="z338" w:id="332"/>
    <w:p>
      <w:pPr>
        <w:spacing w:after="0"/>
        <w:ind w:left="0"/>
        <w:jc w:val="both"/>
      </w:pPr>
      <w:r>
        <w:rPr>
          <w:rFonts w:ascii="Times New Roman"/>
          <w:b w:val="false"/>
          <w:i w:val="false"/>
          <w:color w:val="000000"/>
          <w:sz w:val="28"/>
        </w:rPr>
        <w:t>
      устранением нарушений, выявленных в результате проведения государственного контроля.</w:t>
      </w:r>
    </w:p>
    <w:bookmarkEnd w:id="332"/>
    <w:bookmarkStart w:name="z339" w:id="333"/>
    <w:p>
      <w:pPr>
        <w:spacing w:after="0"/>
        <w:ind w:left="0"/>
        <w:jc w:val="both"/>
      </w:pPr>
      <w:r>
        <w:rPr>
          <w:rFonts w:ascii="Times New Roman"/>
          <w:b w:val="false"/>
          <w:i w:val="false"/>
          <w:color w:val="000000"/>
          <w:sz w:val="28"/>
        </w:rPr>
        <w:t xml:space="preserve">
      При соблюдении всех природоохранных мероприятий намечаемая деятельность по реализации проектных решений Генерального плана не окажет значительного негативного воздействия на компоненты окружающей среды. Благодаря проектным решениям Генерального плана возможно решить ряд имеющихся проблем как социального плана, так и экологического характера. </w:t>
      </w:r>
    </w:p>
    <w:bookmarkEnd w:id="333"/>
    <w:bookmarkStart w:name="z340" w:id="334"/>
    <w:p>
      <w:pPr>
        <w:spacing w:after="0"/>
        <w:ind w:left="0"/>
        <w:jc w:val="left"/>
      </w:pPr>
      <w:r>
        <w:rPr>
          <w:rFonts w:ascii="Times New Roman"/>
          <w:b/>
          <w:i w:val="false"/>
          <w:color w:val="000000"/>
        </w:rPr>
        <w:t xml:space="preserve"> Глава 11. Основные технико-экономические показатели Генерального плана города Талдыкоргана области Жетісу</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поселковой черты и черты сельского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транспорта, связи, инженерных коммуникаций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тыс.м2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1935,7/33,3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нагрузка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 давления 1-категории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 давления 2-категории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газораспределительный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Блочный газораспределительный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Шкафной газораспределительный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Инженерная подготовка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Протяженность защитных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Намыв и подсыпка, всего объем и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млн. м3,</w:t>
            </w:r>
          </w:p>
          <w:bookmarkEnd w:id="335"/>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Благоустройство русел водотоков, расчистка и укрепление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коллекторно-дренажная 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Поливочный водопровод (ориентировочно диаметр150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поливочного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Арычная сеть в железобетонной облицовке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Арычная сеть в земляном русле</w:t>
            </w:r>
          </w:p>
          <w:bookmarkEnd w:id="336"/>
          <w:p>
            <w:pPr>
              <w:spacing w:after="20"/>
              <w:ind w:left="20"/>
              <w:jc w:val="both"/>
            </w:pPr>
            <w:r>
              <w:rPr>
                <w:rFonts w:ascii="Times New Roman"/>
                <w:b w:val="false"/>
                <w:i w:val="false"/>
                <w:color w:val="000000"/>
                <w:sz w:val="20"/>
              </w:rPr>
              <w:t>
(реконструкция)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xml:space="preserve">
Закрытые самотечные ливневые коллекторы </w:t>
            </w:r>
          </w:p>
          <w:bookmarkEnd w:id="337"/>
          <w:p>
            <w:pPr>
              <w:spacing w:after="20"/>
              <w:ind w:left="20"/>
              <w:jc w:val="both"/>
            </w:pPr>
            <w:r>
              <w:rPr>
                <w:rFonts w:ascii="Times New Roman"/>
                <w:b w:val="false"/>
                <w:i w:val="false"/>
                <w:color w:val="000000"/>
                <w:sz w:val="20"/>
              </w:rPr>
              <w:t>
(ориентировочно диаметр 600–1000мм)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Напорные ливневые коллекторы</w:t>
            </w:r>
          </w:p>
          <w:bookmarkEnd w:id="338"/>
          <w:p>
            <w:pPr>
              <w:spacing w:after="20"/>
              <w:ind w:left="20"/>
              <w:jc w:val="both"/>
            </w:pPr>
            <w:r>
              <w:rPr>
                <w:rFonts w:ascii="Times New Roman"/>
                <w:b w:val="false"/>
                <w:i w:val="false"/>
                <w:color w:val="000000"/>
                <w:sz w:val="20"/>
              </w:rPr>
              <w:t>
(ориентировочно диаметр 400–800мм)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перекачки ливневых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сооружений по устройству отдыха у воды в пойме р. Каратал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Оросительные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Очистные сооружения ливневых вод. Бассейн № 1 -12 м³/с; (ориент.)</w:t>
            </w:r>
          </w:p>
          <w:bookmarkEnd w:id="339"/>
          <w:p>
            <w:pPr>
              <w:spacing w:after="20"/>
              <w:ind w:left="20"/>
              <w:jc w:val="both"/>
            </w:pPr>
            <w:r>
              <w:rPr>
                <w:rFonts w:ascii="Times New Roman"/>
                <w:b w:val="false"/>
                <w:i w:val="false"/>
                <w:color w:val="000000"/>
                <w:sz w:val="20"/>
              </w:rPr>
              <w:t>
Бассейн № 2- 8,5 м³/с (ориент.)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Генеральному плану</w:t>
            </w:r>
            <w:r>
              <w:br/>
            </w:r>
            <w:r>
              <w:rPr>
                <w:rFonts w:ascii="Times New Roman"/>
                <w:b w:val="false"/>
                <w:i w:val="false"/>
                <w:color w:val="000000"/>
                <w:sz w:val="20"/>
              </w:rPr>
              <w:t>города Талдыкоргана</w:t>
            </w:r>
            <w:r>
              <w:br/>
            </w:r>
            <w:r>
              <w:rPr>
                <w:rFonts w:ascii="Times New Roman"/>
                <w:b w:val="false"/>
                <w:i w:val="false"/>
                <w:color w:val="000000"/>
                <w:sz w:val="20"/>
              </w:rPr>
              <w:t>области Жетісу</w:t>
            </w:r>
            <w:r>
              <w:br/>
            </w:r>
            <w:r>
              <w:rPr>
                <w:rFonts w:ascii="Times New Roman"/>
                <w:b w:val="false"/>
                <w:i w:val="false"/>
                <w:color w:val="000000"/>
                <w:sz w:val="20"/>
              </w:rPr>
              <w:t>(включая основные положения)</w:t>
            </w:r>
          </w:p>
        </w:tc>
      </w:tr>
    </w:tbl>
    <w:bookmarkStart w:name="z347"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