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c1f2" w14:textId="b18c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сохранения и устойчивого использования биоразнообразия в Республике Казахстан на 2026 – 2035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2025 года № 1206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сохранения и устойчивого использования биоразнообразия в Республике Казахстан на 2026 – 2035 годы (далее – Концепция).</w:t>
      </w:r>
    </w:p>
    <w:bookmarkEnd w:id="1"/>
    <w:bookmarkStart w:name="z5" w:id="2"/>
    <w:p>
      <w:pPr>
        <w:spacing w:after="0"/>
        <w:ind w:left="0"/>
        <w:jc w:val="both"/>
      </w:pPr>
      <w:r>
        <w:rPr>
          <w:rFonts w:ascii="Times New Roman"/>
          <w:b w:val="false"/>
          <w:i w:val="false"/>
          <w:color w:val="000000"/>
          <w:sz w:val="28"/>
        </w:rPr>
        <w:t xml:space="preserve">
      2. Центральным государственным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иным организациям (по согласованию), ответственным за реализацию Концепции: </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4"/>
    <w:bookmarkStart w:name="z8" w:id="5"/>
    <w:p>
      <w:pPr>
        <w:spacing w:after="0"/>
        <w:ind w:left="0"/>
        <w:jc w:val="both"/>
      </w:pPr>
      <w:r>
        <w:rPr>
          <w:rFonts w:ascii="Times New Roman"/>
          <w:b w:val="false"/>
          <w:i w:val="false"/>
          <w:color w:val="000000"/>
          <w:sz w:val="28"/>
        </w:rPr>
        <w:t>
      3) не позднее 1 апреля года, следующего за отчетным годом, представлять информацию о ходе реализации Концепции в Министерство экологии и природных ресурсов Республики Казахстан.</w:t>
      </w:r>
    </w:p>
    <w:bookmarkEnd w:id="5"/>
    <w:bookmarkStart w:name="z9" w:id="6"/>
    <w:p>
      <w:pPr>
        <w:spacing w:after="0"/>
        <w:ind w:left="0"/>
        <w:jc w:val="both"/>
      </w:pPr>
      <w:r>
        <w:rPr>
          <w:rFonts w:ascii="Times New Roman"/>
          <w:b w:val="false"/>
          <w:i w:val="false"/>
          <w:color w:val="000000"/>
          <w:sz w:val="28"/>
        </w:rPr>
        <w:t>
      3. Министерству экологии и природных ресурсов Республики Казахстан не позднее 1 мая года, следующего за отчетным годом, представлять информацию о ходе реализации Концепции в Министерство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4. Министерству национальной экономики Республики Казахстан до 15 июня года, следующего за отчетным годом, направлять сводную информацию о ходе реализации Концепции в Аппарат Правительства Республики Казахстан.</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экологии и природных ресурсов Республики Казахстан.</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2025 года № 1175 </w:t>
            </w:r>
          </w:p>
        </w:tc>
      </w:tr>
    </w:tbl>
    <w:bookmarkStart w:name="z15" w:id="10"/>
    <w:p>
      <w:pPr>
        <w:spacing w:after="0"/>
        <w:ind w:left="0"/>
        <w:jc w:val="left"/>
      </w:pPr>
      <w:r>
        <w:rPr>
          <w:rFonts w:ascii="Times New Roman"/>
          <w:b/>
          <w:i w:val="false"/>
          <w:color w:val="000000"/>
        </w:rPr>
        <w:t xml:space="preserve"> Концепция </w:t>
      </w:r>
      <w:r>
        <w:br/>
      </w:r>
      <w:r>
        <w:rPr>
          <w:rFonts w:ascii="Times New Roman"/>
          <w:b/>
          <w:i w:val="false"/>
          <w:color w:val="000000"/>
        </w:rPr>
        <w:t>сохранения и устойчивого использования биоразнообразия в Республике Казахстан на 2026 – 2035 годы</w:t>
      </w:r>
    </w:p>
    <w:bookmarkEnd w:id="10"/>
    <w:bookmarkStart w:name="z16" w:id="11"/>
    <w:p>
      <w:pPr>
        <w:spacing w:after="0"/>
        <w:ind w:left="0"/>
        <w:jc w:val="left"/>
      </w:pPr>
      <w:r>
        <w:rPr>
          <w:rFonts w:ascii="Times New Roman"/>
          <w:b/>
          <w:i w:val="false"/>
          <w:color w:val="000000"/>
        </w:rPr>
        <w:t xml:space="preserve"> Раздел 1. Паспорт (основные параметры)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сохранения и устойчивого использования биоразнообразия в Республике Казахстан на 2026 – 2035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план</w:t>
            </w:r>
            <w:r>
              <w:rPr>
                <w:rFonts w:ascii="Times New Roman"/>
                <w:b w:val="false"/>
                <w:i w:val="false"/>
                <w:color w:val="000000"/>
                <w:sz w:val="20"/>
              </w:rPr>
              <w:t xml:space="preserve"> развития Республики Казахстан до 2029 года, утвержденный Указом Президента Республики Казахстан от 30 июля 2024 года № 611;</w:t>
            </w:r>
          </w:p>
          <w:p>
            <w:pPr>
              <w:spacing w:after="20"/>
              <w:ind w:left="20"/>
              <w:jc w:val="both"/>
            </w:pPr>
            <w:r>
              <w:rPr>
                <w:rFonts w:ascii="Times New Roman"/>
                <w:b w:val="false"/>
                <w:i w:val="false"/>
                <w:color w:val="000000"/>
                <w:sz w:val="20"/>
              </w:rPr>
              <w:t xml:space="preserve">
Конвенция о биологическом разнообразии, одобренная постановлением Кабинета Министров Республики Казахстанот 19 августа 1994 года № 918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 (далее – МЭПР)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Министерство сельского хозяйства Республики Казахстан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транспорта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по чрезвычайным ситуациям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Республики Казахстан по стратегическому планированию и реформам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торговли и интеграции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водных ресурсов и ирригации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Пограничная служба Комитета национальной безопасности Республики Казахстан</w:t>
            </w:r>
          </w:p>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годы</w:t>
            </w:r>
          </w:p>
        </w:tc>
      </w:tr>
    </w:tbl>
    <w:bookmarkStart w:name="z34" w:id="13"/>
    <w:p>
      <w:pPr>
        <w:spacing w:after="0"/>
        <w:ind w:left="0"/>
        <w:jc w:val="left"/>
      </w:pPr>
      <w:r>
        <w:rPr>
          <w:rFonts w:ascii="Times New Roman"/>
          <w:b/>
          <w:i w:val="false"/>
          <w:color w:val="000000"/>
        </w:rPr>
        <w:t xml:space="preserve"> РАЗДЕЛ 2. АНАЛИЗ ТЕКУЩЕЙ СИТУАЦИИ </w:t>
      </w:r>
    </w:p>
    <w:bookmarkEnd w:id="13"/>
    <w:bookmarkStart w:name="z35" w:id="14"/>
    <w:p>
      <w:pPr>
        <w:spacing w:after="0"/>
        <w:ind w:left="0"/>
        <w:jc w:val="both"/>
      </w:pPr>
      <w:r>
        <w:rPr>
          <w:rFonts w:ascii="Times New Roman"/>
          <w:b w:val="false"/>
          <w:i w:val="false"/>
          <w:color w:val="000000"/>
          <w:sz w:val="28"/>
        </w:rPr>
        <w:t xml:space="preserve">
      С 19 августа 1994 года Казахстан является полноправной стороной и участницей Конвенции о биологическом разнообразии, подписанной в Рио-де-Жанейро 5 июня 1992 года. На протяжении 31 года проделан большой путь в формировании институциональной основы системы сохранения и устойчивого использования биоразнообразия. </w:t>
      </w:r>
    </w:p>
    <w:bookmarkEnd w:id="14"/>
    <w:bookmarkStart w:name="z36" w:id="15"/>
    <w:p>
      <w:pPr>
        <w:spacing w:after="0"/>
        <w:ind w:left="0"/>
        <w:jc w:val="both"/>
      </w:pPr>
      <w:r>
        <w:rPr>
          <w:rFonts w:ascii="Times New Roman"/>
          <w:b w:val="false"/>
          <w:i w:val="false"/>
          <w:color w:val="000000"/>
          <w:sz w:val="28"/>
        </w:rPr>
        <w:t xml:space="preserve">
      Сформирована правовая база для обеспечения сохранения и устойчивого использования биоразнообразия, которая в конечном итоге консолидируется и находит практическую реализацию в нормах Экологического кодекса Республики Казахстан и подзаконных правовых актов, принятых в его реализацию. </w:t>
      </w:r>
    </w:p>
    <w:bookmarkEnd w:id="15"/>
    <w:bookmarkStart w:name="z37" w:id="16"/>
    <w:p>
      <w:pPr>
        <w:spacing w:after="0"/>
        <w:ind w:left="0"/>
        <w:jc w:val="both"/>
      </w:pPr>
      <w:r>
        <w:rPr>
          <w:rFonts w:ascii="Times New Roman"/>
          <w:b w:val="false"/>
          <w:i w:val="false"/>
          <w:color w:val="000000"/>
          <w:sz w:val="28"/>
        </w:rPr>
        <w:t>
      Главой государства проводится четкая и последовательная политика по институционализации мер по охране окружающей среды, включая самые актуальные вопросы сохранения биоразнообразия. В 2019 году Указом Президента Республики Казахстан создано отдельное министерство, ответственное за решение экологических задач, включая задачи по сохранению биоразнообразия. Заложен фундамент для структурных преобразований в стратегии социально-экономического развития страны, задающих "зеленый вектор" в поступательном движении всего государства.</w:t>
      </w:r>
    </w:p>
    <w:bookmarkEnd w:id="16"/>
    <w:bookmarkStart w:name="z38" w:id="17"/>
    <w:p>
      <w:pPr>
        <w:spacing w:after="0"/>
        <w:ind w:left="0"/>
        <w:jc w:val="both"/>
      </w:pPr>
      <w:r>
        <w:rPr>
          <w:rFonts w:ascii="Times New Roman"/>
          <w:b w:val="false"/>
          <w:i w:val="false"/>
          <w:color w:val="000000"/>
          <w:sz w:val="28"/>
        </w:rPr>
        <w:t xml:space="preserve">
      Так, принятая в 2013 году Концепция по переходу Республики Казахстан к "зеленой экономике" обновлена и дополнена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10 июня 2024 года № 568. Концепция сохранения и устойчивого использования биоразнообразия в Республике Казахстан на 2026 – 2035 годы (далее – Концепция) является логическим продолжением данного документа и нацелена на расширенное и углубленное определение подходов к сохранению и устойчивому использованию биоразнообразия в контексте перехода к "зеленой экономике".</w:t>
      </w:r>
    </w:p>
    <w:bookmarkEnd w:id="17"/>
    <w:bookmarkStart w:name="z39" w:id="18"/>
    <w:p>
      <w:pPr>
        <w:spacing w:after="0"/>
        <w:ind w:left="0"/>
        <w:jc w:val="both"/>
      </w:pPr>
      <w:r>
        <w:rPr>
          <w:rFonts w:ascii="Times New Roman"/>
          <w:b w:val="false"/>
          <w:i w:val="false"/>
          <w:color w:val="000000"/>
          <w:sz w:val="28"/>
        </w:rPr>
        <w:t>
      Выступая на IV заседании Национального курултая в 2025 году, Президент Республики Казахстан озвучил задачи охраны биологического разнообразия: "Нашего пристального внимания требуют каспийские тюлени, розовые фламинго и другие уникальные животные, которыми одарила нас сама природа, но которые сейчас находятся в опасности из-за деструктивной, разрушительной деятельности людей. Считаю необходимым создать Фонд охраны биологического разнообразия".</w:t>
      </w:r>
    </w:p>
    <w:bookmarkEnd w:id="18"/>
    <w:p>
      <w:pPr>
        <w:spacing w:after="0"/>
        <w:ind w:left="0"/>
        <w:jc w:val="both"/>
      </w:pPr>
      <w:bookmarkStart w:name="z40" w:id="19"/>
      <w:r>
        <w:rPr>
          <w:rFonts w:ascii="Times New Roman"/>
          <w:b w:val="false"/>
          <w:i w:val="false"/>
          <w:color w:val="000000"/>
          <w:sz w:val="28"/>
        </w:rPr>
        <w:t>
      Указанная инициатива в полной мере отражает стремление Казахстана к реализации основополагающего документа по теме сохранения и устойчивого использования биоразнообразия, имеющегося на сегодняшний день, Куньминско-Монреальской глобальной рамочной программы в области биоразнообразия, принятой на 15-ой Конференции сторон Конвенции</w:t>
      </w:r>
    </w:p>
    <w:bookmarkEnd w:id="19"/>
    <w:p>
      <w:pPr>
        <w:spacing w:after="0"/>
        <w:ind w:left="0"/>
        <w:jc w:val="both"/>
      </w:pPr>
      <w:r>
        <w:rPr>
          <w:rFonts w:ascii="Times New Roman"/>
          <w:b w:val="false"/>
          <w:i w:val="false"/>
          <w:color w:val="000000"/>
          <w:sz w:val="28"/>
        </w:rPr>
        <w:t>о биологическом разнообразии (далее – Конвенция) в декабре 2022 года.</w:t>
      </w:r>
    </w:p>
    <w:bookmarkStart w:name="z41" w:id="20"/>
    <w:p>
      <w:pPr>
        <w:spacing w:after="0"/>
        <w:ind w:left="0"/>
        <w:jc w:val="both"/>
      </w:pPr>
      <w:r>
        <w:rPr>
          <w:rFonts w:ascii="Times New Roman"/>
          <w:b w:val="false"/>
          <w:i w:val="false"/>
          <w:color w:val="000000"/>
          <w:sz w:val="28"/>
        </w:rPr>
        <w:t>
      Куньминско-Монреальская глобальная рамочная программа в области биоразнообразия представляет собой ключевой стратегический документ международного экологического права на период до 2030 года с перспективой до 2050 года. Она создает обязательства для государств-участников Конвенции по разработке, имплементации национальных стратегий и планов действий в области биоразнообразия, соответствующих глобальным целям.</w:t>
      </w:r>
    </w:p>
    <w:bookmarkEnd w:id="20"/>
    <w:bookmarkStart w:name="z42" w:id="21"/>
    <w:p>
      <w:pPr>
        <w:spacing w:after="0"/>
        <w:ind w:left="0"/>
        <w:jc w:val="both"/>
      </w:pPr>
      <w:r>
        <w:rPr>
          <w:rFonts w:ascii="Times New Roman"/>
          <w:b w:val="false"/>
          <w:i w:val="false"/>
          <w:color w:val="000000"/>
          <w:sz w:val="28"/>
        </w:rPr>
        <w:t>
      Центральная идея Куньминско-Монреальской глобальной рамочной программы в области биоразнообразия заключается в остановке и обращении вспять утраты биоразнообразия через системную трансформацию хозяйственной, финансовой и социальной деятельности государств. Программа утверждает четыре стратегические цели, направленные на: сохранение природных систем и видов, устойчивое использование экосистем, справедливое распределение выгод от генетических ресурсов, а также эффективное управление и мобилизацию ресурсов. Эти цели развернуты в 23 конкретные задачи, охватывающие защиту 30 % суши и морей к 2030 году, сокращение загрязнений, реформу субсидий, обеспечение прозрачности бизнеса в вопросах воздействия на природу, расширение доступа к финансированию и учету традиционных знаний коренных народов.</w:t>
      </w:r>
    </w:p>
    <w:bookmarkEnd w:id="21"/>
    <w:bookmarkStart w:name="z43" w:id="22"/>
    <w:p>
      <w:pPr>
        <w:spacing w:after="0"/>
        <w:ind w:left="0"/>
        <w:jc w:val="both"/>
      </w:pPr>
      <w:r>
        <w:rPr>
          <w:rFonts w:ascii="Times New Roman"/>
          <w:b w:val="false"/>
          <w:i w:val="false"/>
          <w:color w:val="000000"/>
          <w:sz w:val="28"/>
        </w:rPr>
        <w:t>
      С точки зрения юридического и институционального анализа данный глобальный документ знаменует собой сдвиг от экологической риторики к измеримым обязательствам. Программа предполагает формирование универсальных индикаторов, национальных отчетов и механизмов сравнения прогресса. Кроме того, особое внимание уделяется интеграции биоразнообразия в секторальные политики (аграрную, промышленную, инвестиционную), что усиливает межотраслевой характер правового регулирования в области охраны природы.</w:t>
      </w:r>
    </w:p>
    <w:bookmarkEnd w:id="22"/>
    <w:bookmarkStart w:name="z44" w:id="23"/>
    <w:p>
      <w:pPr>
        <w:spacing w:after="0"/>
        <w:ind w:left="0"/>
        <w:jc w:val="both"/>
      </w:pPr>
      <w:r>
        <w:rPr>
          <w:rFonts w:ascii="Times New Roman"/>
          <w:b w:val="false"/>
          <w:i w:val="false"/>
          <w:color w:val="000000"/>
          <w:sz w:val="28"/>
        </w:rPr>
        <w:t xml:space="preserve">
      Согласно Национальному плану развития Республики Казахстан до 2029 года одной из задач общенационального приоритета "Повышение экологической устойчивости" является сохранение биоразнообразия, в частности, уделено внимание вопросам сохранения редких и исчезающих видов животных, восстановления нарушенных природных территорий, расширения сети особо охраняемых природных территорий, устойчивого использования природных ресурсов и мер по адаптации к изменению климата. </w:t>
      </w:r>
    </w:p>
    <w:bookmarkEnd w:id="23"/>
    <w:bookmarkStart w:name="z45" w:id="24"/>
    <w:p>
      <w:pPr>
        <w:spacing w:after="0"/>
        <w:ind w:left="0"/>
        <w:jc w:val="both"/>
      </w:pPr>
      <w:r>
        <w:rPr>
          <w:rFonts w:ascii="Times New Roman"/>
          <w:b w:val="false"/>
          <w:i w:val="false"/>
          <w:color w:val="000000"/>
          <w:sz w:val="28"/>
        </w:rPr>
        <w:t xml:space="preserve">
      Биоразнообразие лежит в основе развития экономики и благополучия населения Казахстана. Для сохранения и устойчивого управления биоразнообразием на генетическом, видовом и экосистемном уровнях требуется применение комплексного подхода, предусматривающего адаптивное управление, мониторинг состояния экосистем и видов, оценку экологических угроз и внедрение инновационных управленческих стратегий, направленных на сохранение и восстановление природы в различных ее проявлениях. </w:t>
      </w:r>
    </w:p>
    <w:bookmarkEnd w:id="24"/>
    <w:bookmarkStart w:name="z46" w:id="25"/>
    <w:p>
      <w:pPr>
        <w:spacing w:after="0"/>
        <w:ind w:left="0"/>
        <w:jc w:val="both"/>
      </w:pPr>
      <w:r>
        <w:rPr>
          <w:rFonts w:ascii="Times New Roman"/>
          <w:b w:val="false"/>
          <w:i w:val="false"/>
          <w:color w:val="000000"/>
          <w:sz w:val="28"/>
        </w:rPr>
        <w:t>
      Среди факторов, приводящих к угрозам устойчивости биоразнообразия Казахстана, следует выделить следующие:</w:t>
      </w:r>
    </w:p>
    <w:bookmarkEnd w:id="25"/>
    <w:bookmarkStart w:name="z47" w:id="26"/>
    <w:p>
      <w:pPr>
        <w:spacing w:after="0"/>
        <w:ind w:left="0"/>
        <w:jc w:val="both"/>
      </w:pPr>
      <w:r>
        <w:rPr>
          <w:rFonts w:ascii="Times New Roman"/>
          <w:b w:val="false"/>
          <w:i w:val="false"/>
          <w:color w:val="000000"/>
          <w:sz w:val="28"/>
        </w:rPr>
        <w:t>
      1. Деградация природных экосистем:</w:t>
      </w:r>
    </w:p>
    <w:bookmarkEnd w:id="26"/>
    <w:bookmarkStart w:name="z48" w:id="27"/>
    <w:p>
      <w:pPr>
        <w:spacing w:after="0"/>
        <w:ind w:left="0"/>
        <w:jc w:val="both"/>
      </w:pPr>
      <w:r>
        <w:rPr>
          <w:rFonts w:ascii="Times New Roman"/>
          <w:b w:val="false"/>
          <w:i w:val="false"/>
          <w:color w:val="000000"/>
          <w:sz w:val="28"/>
        </w:rPr>
        <w:t>
      – чрезмерное и нерациональное использование земель (сельское хозяйство, пастбищные перегрузки);</w:t>
      </w:r>
    </w:p>
    <w:bookmarkEnd w:id="27"/>
    <w:bookmarkStart w:name="z49" w:id="28"/>
    <w:p>
      <w:pPr>
        <w:spacing w:after="0"/>
        <w:ind w:left="0"/>
        <w:jc w:val="both"/>
      </w:pPr>
      <w:r>
        <w:rPr>
          <w:rFonts w:ascii="Times New Roman"/>
          <w:b w:val="false"/>
          <w:i w:val="false"/>
          <w:color w:val="000000"/>
          <w:sz w:val="28"/>
        </w:rPr>
        <w:t>
      – опустынивание и снижение плодородия почв;</w:t>
      </w:r>
    </w:p>
    <w:bookmarkEnd w:id="28"/>
    <w:bookmarkStart w:name="z50" w:id="29"/>
    <w:p>
      <w:pPr>
        <w:spacing w:after="0"/>
        <w:ind w:left="0"/>
        <w:jc w:val="both"/>
      </w:pPr>
      <w:r>
        <w:rPr>
          <w:rFonts w:ascii="Times New Roman"/>
          <w:b w:val="false"/>
          <w:i w:val="false"/>
          <w:color w:val="000000"/>
          <w:sz w:val="28"/>
        </w:rPr>
        <w:t>
      – вырубка и деградация лесов, особенно в горных и прибрежных зонах.</w:t>
      </w:r>
    </w:p>
    <w:bookmarkEnd w:id="29"/>
    <w:bookmarkStart w:name="z51" w:id="30"/>
    <w:p>
      <w:pPr>
        <w:spacing w:after="0"/>
        <w:ind w:left="0"/>
        <w:jc w:val="both"/>
      </w:pPr>
      <w:r>
        <w:rPr>
          <w:rFonts w:ascii="Times New Roman"/>
          <w:b w:val="false"/>
          <w:i w:val="false"/>
          <w:color w:val="000000"/>
          <w:sz w:val="28"/>
        </w:rPr>
        <w:t>
      2. Изменение климата:</w:t>
      </w:r>
    </w:p>
    <w:bookmarkEnd w:id="30"/>
    <w:bookmarkStart w:name="z52" w:id="31"/>
    <w:p>
      <w:pPr>
        <w:spacing w:after="0"/>
        <w:ind w:left="0"/>
        <w:jc w:val="both"/>
      </w:pPr>
      <w:r>
        <w:rPr>
          <w:rFonts w:ascii="Times New Roman"/>
          <w:b w:val="false"/>
          <w:i w:val="false"/>
          <w:color w:val="000000"/>
          <w:sz w:val="28"/>
        </w:rPr>
        <w:t>
      – повышение среднегодовых температур, изменение режима осадков;</w:t>
      </w:r>
    </w:p>
    <w:bookmarkEnd w:id="31"/>
    <w:bookmarkStart w:name="z53" w:id="32"/>
    <w:p>
      <w:pPr>
        <w:spacing w:after="0"/>
        <w:ind w:left="0"/>
        <w:jc w:val="both"/>
      </w:pPr>
      <w:r>
        <w:rPr>
          <w:rFonts w:ascii="Times New Roman"/>
          <w:b w:val="false"/>
          <w:i w:val="false"/>
          <w:color w:val="000000"/>
          <w:sz w:val="28"/>
        </w:rPr>
        <w:t>
      – сокращение водных ресурсов, высыхание водоемов и изменение гидрологического режима рек и озер;</w:t>
      </w:r>
    </w:p>
    <w:bookmarkEnd w:id="32"/>
    <w:bookmarkStart w:name="z54" w:id="33"/>
    <w:p>
      <w:pPr>
        <w:spacing w:after="0"/>
        <w:ind w:left="0"/>
        <w:jc w:val="both"/>
      </w:pPr>
      <w:r>
        <w:rPr>
          <w:rFonts w:ascii="Times New Roman"/>
          <w:b w:val="false"/>
          <w:i w:val="false"/>
          <w:color w:val="000000"/>
          <w:sz w:val="28"/>
        </w:rPr>
        <w:t>
      – смещение ареалов и изменение сроков жизненных циклов животных и растений.</w:t>
      </w:r>
    </w:p>
    <w:bookmarkEnd w:id="33"/>
    <w:bookmarkStart w:name="z55" w:id="34"/>
    <w:p>
      <w:pPr>
        <w:spacing w:after="0"/>
        <w:ind w:left="0"/>
        <w:jc w:val="both"/>
      </w:pPr>
      <w:r>
        <w:rPr>
          <w:rFonts w:ascii="Times New Roman"/>
          <w:b w:val="false"/>
          <w:i w:val="false"/>
          <w:color w:val="000000"/>
          <w:sz w:val="28"/>
        </w:rPr>
        <w:t>
      3. Пожары и чрезвычайные природные явления:</w:t>
      </w:r>
    </w:p>
    <w:bookmarkEnd w:id="34"/>
    <w:bookmarkStart w:name="z56" w:id="35"/>
    <w:p>
      <w:pPr>
        <w:spacing w:after="0"/>
        <w:ind w:left="0"/>
        <w:jc w:val="both"/>
      </w:pPr>
      <w:r>
        <w:rPr>
          <w:rFonts w:ascii="Times New Roman"/>
          <w:b w:val="false"/>
          <w:i w:val="false"/>
          <w:color w:val="000000"/>
          <w:sz w:val="28"/>
        </w:rPr>
        <w:t>
      – увеличение частоты и площади лесных и степных пожаров;</w:t>
      </w:r>
    </w:p>
    <w:bookmarkEnd w:id="35"/>
    <w:bookmarkStart w:name="z57" w:id="36"/>
    <w:p>
      <w:pPr>
        <w:spacing w:after="0"/>
        <w:ind w:left="0"/>
        <w:jc w:val="both"/>
      </w:pPr>
      <w:r>
        <w:rPr>
          <w:rFonts w:ascii="Times New Roman"/>
          <w:b w:val="false"/>
          <w:i w:val="false"/>
          <w:color w:val="000000"/>
          <w:sz w:val="28"/>
        </w:rPr>
        <w:t>
      – угрозы, связанные с засухами, пыльными бурями и резкими температурными колебаниями.</w:t>
      </w:r>
    </w:p>
    <w:bookmarkEnd w:id="36"/>
    <w:bookmarkStart w:name="z58" w:id="37"/>
    <w:p>
      <w:pPr>
        <w:spacing w:after="0"/>
        <w:ind w:left="0"/>
        <w:jc w:val="both"/>
      </w:pPr>
      <w:r>
        <w:rPr>
          <w:rFonts w:ascii="Times New Roman"/>
          <w:b w:val="false"/>
          <w:i w:val="false"/>
          <w:color w:val="000000"/>
          <w:sz w:val="28"/>
        </w:rPr>
        <w:t>
      4. Антропогенное и промышленное давление:</w:t>
      </w:r>
    </w:p>
    <w:bookmarkEnd w:id="37"/>
    <w:bookmarkStart w:name="z59" w:id="38"/>
    <w:p>
      <w:pPr>
        <w:spacing w:after="0"/>
        <w:ind w:left="0"/>
        <w:jc w:val="both"/>
      </w:pPr>
      <w:r>
        <w:rPr>
          <w:rFonts w:ascii="Times New Roman"/>
          <w:b w:val="false"/>
          <w:i w:val="false"/>
          <w:color w:val="000000"/>
          <w:sz w:val="28"/>
        </w:rPr>
        <w:t>
      – строительство и расширение транспортной и энергетической инфраструктуры: автодороги, железные дороги, линии электропередачи (далее – ЛЭП), трубопроводы;</w:t>
      </w:r>
    </w:p>
    <w:bookmarkEnd w:id="38"/>
    <w:bookmarkStart w:name="z60" w:id="39"/>
    <w:p>
      <w:pPr>
        <w:spacing w:after="0"/>
        <w:ind w:left="0"/>
        <w:jc w:val="both"/>
      </w:pPr>
      <w:r>
        <w:rPr>
          <w:rFonts w:ascii="Times New Roman"/>
          <w:b w:val="false"/>
          <w:i w:val="false"/>
          <w:color w:val="000000"/>
          <w:sz w:val="28"/>
        </w:rPr>
        <w:t>
      – интенсивное освоение территорий под промышленные объекты (горнодобывающая, нефтегазовая и металлургическая промышленность), населенные пункты и сельское хозяйство;</w:t>
      </w:r>
    </w:p>
    <w:bookmarkEnd w:id="39"/>
    <w:bookmarkStart w:name="z61" w:id="40"/>
    <w:p>
      <w:pPr>
        <w:spacing w:after="0"/>
        <w:ind w:left="0"/>
        <w:jc w:val="both"/>
      </w:pPr>
      <w:r>
        <w:rPr>
          <w:rFonts w:ascii="Times New Roman"/>
          <w:b w:val="false"/>
          <w:i w:val="false"/>
          <w:color w:val="000000"/>
          <w:sz w:val="28"/>
        </w:rPr>
        <w:t>
      – загрязнение окружающей среды: выбросы в атмосферу, загрязнение почв и водоемов, накопление и несвоевременная утилизация промышленных и бытовых отходов;</w:t>
      </w:r>
    </w:p>
    <w:bookmarkEnd w:id="40"/>
    <w:bookmarkStart w:name="z62" w:id="41"/>
    <w:p>
      <w:pPr>
        <w:spacing w:after="0"/>
        <w:ind w:left="0"/>
        <w:jc w:val="both"/>
      </w:pPr>
      <w:r>
        <w:rPr>
          <w:rFonts w:ascii="Times New Roman"/>
          <w:b w:val="false"/>
          <w:i w:val="false"/>
          <w:color w:val="000000"/>
          <w:sz w:val="28"/>
        </w:rPr>
        <w:t>
      – совокупное воздействие указанных факторов приводит к фрагментации и деградации природных экосистем, утрате биоразнообразия, нарушению миграционных путей диких животных и снижению устойчивости популяций.</w:t>
      </w:r>
    </w:p>
    <w:bookmarkEnd w:id="41"/>
    <w:bookmarkStart w:name="z63" w:id="42"/>
    <w:p>
      <w:pPr>
        <w:spacing w:after="0"/>
        <w:ind w:left="0"/>
        <w:jc w:val="both"/>
      </w:pPr>
      <w:r>
        <w:rPr>
          <w:rFonts w:ascii="Times New Roman"/>
          <w:b w:val="false"/>
          <w:i w:val="false"/>
          <w:color w:val="000000"/>
          <w:sz w:val="28"/>
        </w:rPr>
        <w:t>
      5. Инвазивные виды:</w:t>
      </w:r>
    </w:p>
    <w:bookmarkEnd w:id="42"/>
    <w:bookmarkStart w:name="z64" w:id="43"/>
    <w:p>
      <w:pPr>
        <w:spacing w:after="0"/>
        <w:ind w:left="0"/>
        <w:jc w:val="both"/>
      </w:pPr>
      <w:r>
        <w:rPr>
          <w:rFonts w:ascii="Times New Roman"/>
          <w:b w:val="false"/>
          <w:i w:val="false"/>
          <w:color w:val="000000"/>
          <w:sz w:val="28"/>
        </w:rPr>
        <w:t>
      – распространение чужеродных видов растений и животных, вытесняющих местные популяции;</w:t>
      </w:r>
    </w:p>
    <w:bookmarkEnd w:id="43"/>
    <w:bookmarkStart w:name="z65" w:id="44"/>
    <w:p>
      <w:pPr>
        <w:spacing w:after="0"/>
        <w:ind w:left="0"/>
        <w:jc w:val="both"/>
      </w:pPr>
      <w:r>
        <w:rPr>
          <w:rFonts w:ascii="Times New Roman"/>
          <w:b w:val="false"/>
          <w:i w:val="false"/>
          <w:color w:val="000000"/>
          <w:sz w:val="28"/>
        </w:rPr>
        <w:t>
      – утрата генетического разнообразия и разрушение пищевых цепей.</w:t>
      </w:r>
    </w:p>
    <w:bookmarkEnd w:id="44"/>
    <w:bookmarkStart w:name="z66" w:id="45"/>
    <w:p>
      <w:pPr>
        <w:spacing w:after="0"/>
        <w:ind w:left="0"/>
        <w:jc w:val="both"/>
      </w:pPr>
      <w:r>
        <w:rPr>
          <w:rFonts w:ascii="Times New Roman"/>
          <w:b w:val="false"/>
          <w:i w:val="false"/>
          <w:color w:val="000000"/>
          <w:sz w:val="28"/>
        </w:rPr>
        <w:t>
      6. Нереализованный в полной мере потенциал экологического управления:</w:t>
      </w:r>
    </w:p>
    <w:bookmarkEnd w:id="45"/>
    <w:bookmarkStart w:name="z67" w:id="46"/>
    <w:p>
      <w:pPr>
        <w:spacing w:after="0"/>
        <w:ind w:left="0"/>
        <w:jc w:val="both"/>
      </w:pPr>
      <w:r>
        <w:rPr>
          <w:rFonts w:ascii="Times New Roman"/>
          <w:b w:val="false"/>
          <w:i w:val="false"/>
          <w:color w:val="000000"/>
          <w:sz w:val="28"/>
        </w:rPr>
        <w:t>
      – недостаточная координация при реализации природоохранных мероприятий различными субъектами;</w:t>
      </w:r>
    </w:p>
    <w:bookmarkEnd w:id="46"/>
    <w:bookmarkStart w:name="z68" w:id="47"/>
    <w:p>
      <w:pPr>
        <w:spacing w:after="0"/>
        <w:ind w:left="0"/>
        <w:jc w:val="both"/>
      </w:pPr>
      <w:r>
        <w:rPr>
          <w:rFonts w:ascii="Times New Roman"/>
          <w:b w:val="false"/>
          <w:i w:val="false"/>
          <w:color w:val="000000"/>
          <w:sz w:val="28"/>
        </w:rPr>
        <w:t>
      – недостаточное финансирование системы охраны биологического разнообразия и научных исследований.</w:t>
      </w:r>
    </w:p>
    <w:bookmarkEnd w:id="47"/>
    <w:bookmarkStart w:name="z69" w:id="48"/>
    <w:p>
      <w:pPr>
        <w:spacing w:after="0"/>
        <w:ind w:left="0"/>
        <w:jc w:val="both"/>
      </w:pPr>
      <w:r>
        <w:rPr>
          <w:rFonts w:ascii="Times New Roman"/>
          <w:b w:val="false"/>
          <w:i w:val="false"/>
          <w:color w:val="000000"/>
          <w:sz w:val="28"/>
        </w:rPr>
        <w:t>
      – фрагментация полномочий между различными органами управления.</w:t>
      </w:r>
    </w:p>
    <w:bookmarkEnd w:id="48"/>
    <w:bookmarkStart w:name="z70" w:id="49"/>
    <w:p>
      <w:pPr>
        <w:spacing w:after="0"/>
        <w:ind w:left="0"/>
        <w:jc w:val="both"/>
      </w:pPr>
      <w:r>
        <w:rPr>
          <w:rFonts w:ascii="Times New Roman"/>
          <w:b w:val="false"/>
          <w:i w:val="false"/>
          <w:color w:val="000000"/>
          <w:sz w:val="28"/>
        </w:rPr>
        <w:t xml:space="preserve">
      7. Распространение болезней животных, вредителей, болезней леса и растительного мира. </w:t>
      </w:r>
    </w:p>
    <w:bookmarkEnd w:id="49"/>
    <w:bookmarkStart w:name="z71" w:id="50"/>
    <w:p>
      <w:pPr>
        <w:spacing w:after="0"/>
        <w:ind w:left="0"/>
        <w:jc w:val="both"/>
      </w:pPr>
      <w:r>
        <w:rPr>
          <w:rFonts w:ascii="Times New Roman"/>
          <w:b w:val="false"/>
          <w:i w:val="false"/>
          <w:color w:val="000000"/>
          <w:sz w:val="28"/>
        </w:rPr>
        <w:t xml:space="preserve">
      Существенным фактором является недостаток финансирования сохранения биоразнообразия, связанный с дефицитом ресурсов государственного бюджета и сложностью привлечения частных инвестиций. Согласно анализу расходов на биоразнообразие глобальной программы Программы развития организации объединенных наций (далее – ПРООН) БИОФИН в период с 2015 по 2022 год на сохранение и развитие биоразнообразия в Казахстане было направлено в общей сложности 1,3 трлн тенге (2,75 млрд долларов США) с отнесением согласно методологии БИОФИН. Эта сумма составляет 1,25 % валового внутреннего продукта страны в 2022 году (103,8 трлн тенге или 225,58 млрд долларов США) и 5,34 % от консолидированного государственного бюджета за тот же год (22,6 трлн тенге или 49,13 млрд долларов США). Основные расходы приходятся на государственное финансирование (74,75 % или 947 млрд тенге). Существенную роль играют также средства неправительственных и международных организаций (в совокупности 22,21 %). При этом участие частного сектора составляет лишь 3,03 % (38,8 млрд тенге), что остается крайне ограниченным, несмотря на его значительное воздействие на окружающую среду. Финансовое планирование часто ориентировано на краткосрочную перспективу, тогда как инициативы по сохранению биоразнообразия требуют долгосрочного периода. В настоящее время в Казахстане отсутствует национальная система сбора и мониторинга данных о финансировании мероприятий по сохранению биоразнообразия. </w:t>
      </w:r>
    </w:p>
    <w:bookmarkEnd w:id="50"/>
    <w:bookmarkStart w:name="z72" w:id="51"/>
    <w:p>
      <w:pPr>
        <w:spacing w:after="0"/>
        <w:ind w:left="0"/>
        <w:jc w:val="both"/>
      </w:pPr>
      <w:r>
        <w:rPr>
          <w:rFonts w:ascii="Times New Roman"/>
          <w:b w:val="false"/>
          <w:i w:val="false"/>
          <w:color w:val="000000"/>
          <w:sz w:val="28"/>
        </w:rPr>
        <w:t>
      Учет ведется фрагментарно и в основном охватывает государственные расходы, тогда как данные о негосударственных источниках практически недоступны. Это ограничивает прозрачность, затрудняет планирование и снижает возможности для эффективной мобилизации ресурсов.</w:t>
      </w:r>
    </w:p>
    <w:bookmarkEnd w:id="51"/>
    <w:bookmarkStart w:name="z73" w:id="52"/>
    <w:p>
      <w:pPr>
        <w:spacing w:after="0"/>
        <w:ind w:left="0"/>
        <w:jc w:val="both"/>
      </w:pPr>
      <w:r>
        <w:rPr>
          <w:rFonts w:ascii="Times New Roman"/>
          <w:b w:val="false"/>
          <w:i w:val="false"/>
          <w:color w:val="000000"/>
          <w:sz w:val="28"/>
        </w:rPr>
        <w:t xml:space="preserve">
      Существенным вызовом остается наличие так называемых "вредных субсидий" – мер государственной поддержки, которые прямо или косвенно наносят ущерб экосистемам. Речь идет не только о сельском секторе (чрезмерное применение агрохимикатов, нерациональный выпас), но и о других сферах – энергетике, водопользовании и рыбном хозяйстве, где субсидии могут стимулировать чрезмерное потребление ресурсов и загрязнение окружающей среды. Отсутствие механизмов корректировки таких мер усиливает давление на природные экосистемы и снижает эффективность усилий по сохранению биоразнообразия. Необходимо выявить субсидии, оказывающие негативное воздействие на экосистемы, и провести их пересмотр. Это позволит высвободить финансовые ресурсы и переориентировать их таким образом, чтобы приоритет отдавался предотвращению деградации природных систем, а не затратному восстановлению последствий ущерба. </w:t>
      </w:r>
    </w:p>
    <w:bookmarkEnd w:id="52"/>
    <w:bookmarkStart w:name="z74" w:id="53"/>
    <w:p>
      <w:pPr>
        <w:spacing w:after="0"/>
        <w:ind w:left="0"/>
        <w:jc w:val="both"/>
      </w:pPr>
      <w:r>
        <w:rPr>
          <w:rFonts w:ascii="Times New Roman"/>
          <w:b w:val="false"/>
          <w:i w:val="false"/>
          <w:color w:val="000000"/>
          <w:sz w:val="28"/>
        </w:rPr>
        <w:t>
      Примером негативного воздействия субсидируемых практик является применение пестицидов. По данным исследований в 95 % случаев гибели опылителей виноваты инсектициды. В Казахстане ежегодно фиксируются массовые отравления пчел: например, в южных регионах отмечались случаи, когда после авиационной обработки полей гибли тысячи пчелиных семей. Подобные инциденты ведут к сокращению популяций не только домашних пчел, но и сотен видов диких опылителей – бабочек, жуков, диких пчел. Это снижает урожайность энтомофильных культур и угрожает целой отрасли пчеловодства, а также разнообразию дикорастущих растений.</w:t>
      </w:r>
    </w:p>
    <w:bookmarkEnd w:id="53"/>
    <w:bookmarkStart w:name="z75" w:id="54"/>
    <w:p>
      <w:pPr>
        <w:spacing w:after="0"/>
        <w:ind w:left="0"/>
        <w:jc w:val="both"/>
      </w:pPr>
      <w:r>
        <w:rPr>
          <w:rFonts w:ascii="Times New Roman"/>
          <w:b w:val="false"/>
          <w:i w:val="false"/>
          <w:color w:val="000000"/>
          <w:sz w:val="28"/>
        </w:rPr>
        <w:t xml:space="preserve">
      Для дальнейшего осуществления эффективной охраны, восстановления и устойчивого использования компонентов биоразнообразия требуются применение системного, межведомственного подхода, учитывающего многообразие экосистем, видов и генетических ресурсов, совершенствование научных основ использования биологического разнообразия с учетом адаптации к изменению климата. </w:t>
      </w:r>
    </w:p>
    <w:bookmarkEnd w:id="54"/>
    <w:bookmarkStart w:name="z76" w:id="55"/>
    <w:p>
      <w:pPr>
        <w:spacing w:after="0"/>
        <w:ind w:left="0"/>
        <w:jc w:val="both"/>
      </w:pPr>
      <w:r>
        <w:rPr>
          <w:rFonts w:ascii="Times New Roman"/>
          <w:b w:val="false"/>
          <w:i w:val="false"/>
          <w:color w:val="000000"/>
          <w:sz w:val="28"/>
        </w:rPr>
        <w:t>
      Несмотря на наличие базовых нормативных положений по охране биоразнообразия, на сегодняшний день вопросы интеграции этого компонента в государственную, отраслевую и корпоративную политику остаются недостаточно системно реализованными. Существующие процедуры оценки воздействия: оценка воздействия окружающей среды (далее – ОВОС) и стратегическая экологическая оценка (далее – СЭО), ограниченно оказывают влияние на биоразнообразие и не обеспечивают правовой обязательности постмониторинга или компенсационных мер. Межведомственная координация по вопросам зонирования рисков, учета утрат и восстановления биоразнообразия находится на начальной стадии развития.</w:t>
      </w:r>
    </w:p>
    <w:bookmarkEnd w:id="55"/>
    <w:bookmarkStart w:name="z77" w:id="56"/>
    <w:p>
      <w:pPr>
        <w:spacing w:after="0"/>
        <w:ind w:left="0"/>
        <w:jc w:val="both"/>
      </w:pPr>
      <w:r>
        <w:rPr>
          <w:rFonts w:ascii="Times New Roman"/>
          <w:b w:val="false"/>
          <w:i w:val="false"/>
          <w:color w:val="000000"/>
          <w:sz w:val="28"/>
        </w:rPr>
        <w:t xml:space="preserve">
      Интеграция гендерных аспектов в планирование в области биоразнообразия и изменения климата также имеет ключевое значение для обеспечения инклюзивных, справедливых и устойчивых политических решений. </w:t>
      </w:r>
    </w:p>
    <w:bookmarkEnd w:id="56"/>
    <w:bookmarkStart w:name="z78" w:id="57"/>
    <w:p>
      <w:pPr>
        <w:spacing w:after="0"/>
        <w:ind w:left="0"/>
        <w:jc w:val="both"/>
      </w:pPr>
      <w:r>
        <w:rPr>
          <w:rFonts w:ascii="Times New Roman"/>
          <w:b w:val="false"/>
          <w:i w:val="false"/>
          <w:color w:val="000000"/>
          <w:sz w:val="28"/>
        </w:rPr>
        <w:t xml:space="preserve">
      Глобальные обязательства в рамках Конвенции, Куньминско-Монреальской глобальной рамочной программы по биоразнообразию предусматривают значимое участие женщин и уязвимых групп, а также гендерно-ориентированные действия на этапах планирования, реализации и мониторинга. </w:t>
      </w:r>
    </w:p>
    <w:bookmarkEnd w:id="57"/>
    <w:bookmarkStart w:name="z79" w:id="58"/>
    <w:p>
      <w:pPr>
        <w:spacing w:after="0"/>
        <w:ind w:left="0"/>
        <w:jc w:val="both"/>
      </w:pPr>
      <w:r>
        <w:rPr>
          <w:rFonts w:ascii="Times New Roman"/>
          <w:b w:val="false"/>
          <w:i w:val="false"/>
          <w:color w:val="000000"/>
          <w:sz w:val="28"/>
        </w:rPr>
        <w:t>
      В рамках реализации будет продолжена работа по расширению возможностей женщин в процессах планирования, реализации и мониторинга мероприятий по сохранению биоразнообразия.</w:t>
      </w:r>
    </w:p>
    <w:bookmarkEnd w:id="58"/>
    <w:bookmarkStart w:name="z80" w:id="59"/>
    <w:p>
      <w:pPr>
        <w:spacing w:after="0"/>
        <w:ind w:left="0"/>
        <w:jc w:val="both"/>
      </w:pPr>
      <w:r>
        <w:rPr>
          <w:rFonts w:ascii="Times New Roman"/>
          <w:b/>
          <w:i w:val="false"/>
          <w:color w:val="000000"/>
          <w:sz w:val="28"/>
        </w:rPr>
        <w:t xml:space="preserve">2.1. </w:t>
      </w:r>
      <w:r>
        <w:rPr>
          <w:rFonts w:ascii="Times New Roman"/>
          <w:b/>
          <w:i w:val="false"/>
          <w:color w:val="000000"/>
          <w:sz w:val="28"/>
        </w:rPr>
        <w:t>Развитие единой экологической сети, системы особо охраняемых природных территорий и экологического туризма</w:t>
      </w:r>
    </w:p>
    <w:bookmarkEnd w:id="59"/>
    <w:bookmarkStart w:name="z81" w:id="60"/>
    <w:p>
      <w:pPr>
        <w:spacing w:after="0"/>
        <w:ind w:left="0"/>
        <w:jc w:val="both"/>
      </w:pPr>
      <w:r>
        <w:rPr>
          <w:rFonts w:ascii="Times New Roman"/>
          <w:b w:val="false"/>
          <w:i w:val="false"/>
          <w:color w:val="000000"/>
          <w:sz w:val="28"/>
        </w:rPr>
        <w:t>
      Оценка текущей ситуации</w:t>
      </w:r>
    </w:p>
    <w:bookmarkEnd w:id="60"/>
    <w:bookmarkStart w:name="z82" w:id="61"/>
    <w:p>
      <w:pPr>
        <w:spacing w:after="0"/>
        <w:ind w:left="0"/>
        <w:jc w:val="both"/>
      </w:pPr>
      <w:r>
        <w:rPr>
          <w:rFonts w:ascii="Times New Roman"/>
          <w:b w:val="false"/>
          <w:i w:val="false"/>
          <w:color w:val="000000"/>
          <w:sz w:val="28"/>
        </w:rPr>
        <w:t>
      Территория Республики Казахстан благодаря уникальному сочетанию природных комплексов (степи, пустыни, горы, крупные внутриконтинентальные водоемы с впадающими в них реками и хорошо развитыми дельтами) характеризуется большим разнообразием типов экосистем в Центральной Азии.</w:t>
      </w:r>
    </w:p>
    <w:bookmarkEnd w:id="61"/>
    <w:bookmarkStart w:name="z83" w:id="62"/>
    <w:p>
      <w:pPr>
        <w:spacing w:after="0"/>
        <w:ind w:left="0"/>
        <w:jc w:val="both"/>
      </w:pPr>
      <w:r>
        <w:rPr>
          <w:rFonts w:ascii="Times New Roman"/>
          <w:b w:val="false"/>
          <w:i w:val="false"/>
          <w:color w:val="000000"/>
          <w:sz w:val="28"/>
        </w:rPr>
        <w:t>
      В Казахстане с 2000 по 2025 годы были значительно увеличены площади особо охраняемых природных территорий (далее – ООПТ), которые являются основным элементом экологической сети Казахстана. ООПТ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p>
    <w:bookmarkEnd w:id="62"/>
    <w:bookmarkStart w:name="z84" w:id="63"/>
    <w:p>
      <w:pPr>
        <w:spacing w:after="0"/>
        <w:ind w:left="0"/>
        <w:jc w:val="both"/>
      </w:pPr>
      <w:r>
        <w:rPr>
          <w:rFonts w:ascii="Times New Roman"/>
          <w:b w:val="false"/>
          <w:i w:val="false"/>
          <w:color w:val="000000"/>
          <w:sz w:val="28"/>
        </w:rPr>
        <w:t xml:space="preserve">
      По состоянию на 1 января 2025 года система ООПТ включает 10 государственных природных заповедников (на площади 1,6 млн га), 14 государственных национальных природных парков (2,7 млн га), 8 государственных природных резерватов (3,6 млн га), 50 государственных природных заказников республиканского значения (8,5 млн га), 5 государственных заповедных зон (11,3 млн га), 25 государственных памятников природы республиканского значения (6,5 тысяч га, из них 272,7 га за пределами других ООПТ), 6 республиканских ботанических садов (470,3 га) и один дендропарк (365,43 га). </w:t>
      </w:r>
    </w:p>
    <w:bookmarkEnd w:id="63"/>
    <w:bookmarkStart w:name="z85" w:id="64"/>
    <w:p>
      <w:pPr>
        <w:spacing w:after="0"/>
        <w:ind w:left="0"/>
        <w:jc w:val="both"/>
      </w:pPr>
      <w:r>
        <w:rPr>
          <w:rFonts w:ascii="Times New Roman"/>
          <w:b w:val="false"/>
          <w:i w:val="false"/>
          <w:color w:val="000000"/>
          <w:sz w:val="28"/>
        </w:rPr>
        <w:t>
      Кроме того, в Казахстане имеются 3 региональных природных парка местного значения, 20 государственных природных заказников местного значения и 22 государственных памятника природы местного значения, 1 дендрологический парк местного значения (таблица 1).</w:t>
      </w:r>
    </w:p>
    <w:bookmarkEnd w:id="64"/>
    <w:bookmarkStart w:name="z86" w:id="65"/>
    <w:p>
      <w:pPr>
        <w:spacing w:after="0"/>
        <w:ind w:left="0"/>
        <w:jc w:val="both"/>
      </w:pPr>
      <w:r>
        <w:rPr>
          <w:rFonts w:ascii="Times New Roman"/>
          <w:b w:val="false"/>
          <w:i w:val="false"/>
          <w:color w:val="000000"/>
          <w:sz w:val="28"/>
        </w:rPr>
        <w:t>
      Таблица 1. Количество ООПТ по режиму охраны и их площади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ООПТ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природные заповедники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 природные парки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природные резерваты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ботанические 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заповедные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природные заказники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памятники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дендрологический парк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региональные природные парки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природные заказники местного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природные памятники местного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Дендрологический парк местного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bl>
    <w:p>
      <w:pPr>
        <w:spacing w:after="0"/>
        <w:ind w:left="0"/>
        <w:jc w:val="left"/>
      </w:pP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В целом общая площадь ООПТ составляет 30 957,3 тысяч га или 11,36%, в том числе устойчиво управляемых ООПТ со статусом юридического лица составляет 8 105,3 тысяч га или 2,97 % от общей площади республики.</w:t>
      </w:r>
    </w:p>
    <w:bookmarkEnd w:id="66"/>
    <w:bookmarkStart w:name="z88"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проблемы </w:t>
      </w:r>
    </w:p>
    <w:bookmarkEnd w:id="67"/>
    <w:bookmarkStart w:name="z89" w:id="68"/>
    <w:p>
      <w:pPr>
        <w:spacing w:after="0"/>
        <w:ind w:left="0"/>
        <w:jc w:val="both"/>
      </w:pPr>
      <w:r>
        <w:rPr>
          <w:rFonts w:ascii="Times New Roman"/>
          <w:b w:val="false"/>
          <w:i w:val="false"/>
          <w:color w:val="000000"/>
          <w:sz w:val="28"/>
        </w:rPr>
        <w:t xml:space="preserve">
      Несмотря на значительные достигнутые результаты в сохранении территориальных комплексов экосистем и их разнообразие в Казахстане, требуется повысить репрезентативность существующей системы ООПТ, способствуя снижению риска потерь разнообразия экосистем. Существующие ООПТ распределены по экосистемам крайне неравномерно, а также многие ключевые экосистемы речных долин, пустынной и степной зоны не представлены в системе ООПТ Казахстана (таблица 2). </w:t>
      </w:r>
    </w:p>
    <w:bookmarkEnd w:id="68"/>
    <w:bookmarkStart w:name="z90" w:id="69"/>
    <w:p>
      <w:pPr>
        <w:spacing w:after="0"/>
        <w:ind w:left="0"/>
        <w:jc w:val="both"/>
      </w:pPr>
      <w:r>
        <w:rPr>
          <w:rFonts w:ascii="Times New Roman"/>
          <w:b w:val="false"/>
          <w:i w:val="false"/>
          <w:color w:val="000000"/>
          <w:sz w:val="28"/>
        </w:rPr>
        <w:t>
      Таблица 2. Охват природных экосистем ООПТ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экосистемы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Площадь, га</w:t>
            </w:r>
          </w:p>
          <w:bookmarkEnd w:id="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всех видов ООПТ в экосистемах,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ООПТ со статусом юридического лица,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(покрытая лесом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Засушливая степь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49 041 000,00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Опустыненные степи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38 419 000,00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пустыни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47 242 000,00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и южная пустыня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Речные долины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5 937 335,29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bl>
    <w:p>
      <w:pPr>
        <w:spacing w:after="0"/>
        <w:ind w:left="0"/>
        <w:jc w:val="left"/>
      </w:pPr>
      <w:r>
        <w:br/>
      </w:r>
      <w:r>
        <w:rPr>
          <w:rFonts w:ascii="Times New Roman"/>
          <w:b w:val="false"/>
          <w:i w:val="false"/>
          <w:color w:val="000000"/>
          <w:sz w:val="28"/>
        </w:rPr>
        <w:t>
</w:t>
      </w:r>
    </w:p>
    <w:bookmarkStart w:name="z92" w:id="71"/>
    <w:p>
      <w:pPr>
        <w:spacing w:after="0"/>
        <w:ind w:left="0"/>
        <w:jc w:val="both"/>
      </w:pPr>
      <w:r>
        <w:rPr>
          <w:rFonts w:ascii="Times New Roman"/>
          <w:b w:val="false"/>
          <w:i w:val="false"/>
          <w:color w:val="000000"/>
          <w:sz w:val="28"/>
        </w:rPr>
        <w:t>
      Самые наименьшие площади ООПТ с юридическим статусом (ниже 1 %) приходятся на средние и южные пустыни – 0,69 %, озерные экосистемы – 0,04 %, а в экосистемах речных долин охраняемые территории со статусом юридического лица практически отсутствуют.</w:t>
      </w:r>
    </w:p>
    <w:bookmarkEnd w:id="71"/>
    <w:bookmarkStart w:name="z93" w:id="72"/>
    <w:p>
      <w:pPr>
        <w:spacing w:after="0"/>
        <w:ind w:left="0"/>
        <w:jc w:val="both"/>
      </w:pPr>
      <w:r>
        <w:rPr>
          <w:rFonts w:ascii="Times New Roman"/>
          <w:b w:val="false"/>
          <w:i w:val="false"/>
          <w:color w:val="000000"/>
          <w:sz w:val="28"/>
        </w:rPr>
        <w:t xml:space="preserve">
      С учетом недостаточных площадей под охраной в водных экосистемах, в том числе водно-болотных угодьях международного значения, есть необходимость расширения площади охраняемых территорий, в том числе как отдельной задачи по усовершенствованию системы управления данными территориями. </w:t>
      </w:r>
    </w:p>
    <w:bookmarkEnd w:id="72"/>
    <w:bookmarkStart w:name="z94" w:id="73"/>
    <w:p>
      <w:pPr>
        <w:spacing w:after="0"/>
        <w:ind w:left="0"/>
        <w:jc w:val="both"/>
      </w:pPr>
      <w:r>
        <w:rPr>
          <w:rFonts w:ascii="Times New Roman"/>
          <w:b w:val="false"/>
          <w:i w:val="false"/>
          <w:color w:val="000000"/>
          <w:sz w:val="28"/>
        </w:rPr>
        <w:t xml:space="preserve">
      Таким образом, недостатком существующей системы ООПТ является ее недостаточная географическая репрезентативность как в отношении разнообразия зональных экосистем, так и природных комплексов. </w:t>
      </w:r>
    </w:p>
    <w:bookmarkEnd w:id="73"/>
    <w:bookmarkStart w:name="z95" w:id="74"/>
    <w:p>
      <w:pPr>
        <w:spacing w:after="0"/>
        <w:ind w:left="0"/>
        <w:jc w:val="both"/>
      </w:pPr>
      <w:r>
        <w:rPr>
          <w:rFonts w:ascii="Times New Roman"/>
          <w:b w:val="false"/>
          <w:i w:val="false"/>
          <w:color w:val="000000"/>
          <w:sz w:val="28"/>
        </w:rPr>
        <w:t>
      Проведенный анализ представленности ООПТ показал, что в настоящее время степень обеспеченности охраны биологического разнообразия зональных экосистем колеблется от 0 до 5,5 %. Учет этих цифр при планировании и организации новых ООПТ позволит оптимизировать и повысить репрезентативность существующей системы ООПТ, способствуя снижению риска потерь разнообразия экосистем.</w:t>
      </w:r>
    </w:p>
    <w:bookmarkEnd w:id="74"/>
    <w:bookmarkStart w:name="z96" w:id="75"/>
    <w:p>
      <w:pPr>
        <w:spacing w:after="0"/>
        <w:ind w:left="0"/>
        <w:jc w:val="both"/>
      </w:pPr>
      <w:r>
        <w:rPr>
          <w:rFonts w:ascii="Times New Roman"/>
          <w:b w:val="false"/>
          <w:i w:val="false"/>
          <w:color w:val="000000"/>
          <w:sz w:val="28"/>
        </w:rPr>
        <w:t>
      В настоящее время необходимо целенаправленное совершенствование знаний специалистов ООПТ среднего звена (инспекторы, специалисты по охране животного мира, туризму и рекреации, лесники, специалисты по экологическому просвещению и т.д.), поскольку по мере развития ООПТ возникают вопросы, требующие более высокой квалификации работников. Отсутствие регулярных курсов повышения квалификации, где сотрудники ООПТ могли бы получить комплекс знаний и навыков, постоянно используемых при выполнении должностных обязанностей, является одним из основных приоритетных направлений в развитии системы ООПТ Казахстана.</w:t>
      </w:r>
    </w:p>
    <w:bookmarkEnd w:id="75"/>
    <w:bookmarkStart w:name="z97" w:id="76"/>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Тенденции</w:t>
      </w:r>
    </w:p>
    <w:bookmarkEnd w:id="76"/>
    <w:bookmarkStart w:name="z98" w:id="77"/>
    <w:p>
      <w:pPr>
        <w:spacing w:after="0"/>
        <w:ind w:left="0"/>
        <w:jc w:val="both"/>
      </w:pPr>
      <w:r>
        <w:rPr>
          <w:rFonts w:ascii="Times New Roman"/>
          <w:b w:val="false"/>
          <w:i w:val="false"/>
          <w:color w:val="000000"/>
          <w:sz w:val="28"/>
        </w:rPr>
        <w:t xml:space="preserve">
      Современное состояние и тенденции биологического разнообразия в стране определяются в первую очередь динамикой изменения площадей, состояния и характера использования основных природных экологических систем, которые представлены ООПТ, охотничьими хозяйствами и другими структурами. Важным элементом экосистем являются ООПТ, как наиболее устойчиво управляемые экосистемы. Из 165 ООПТ, определенных на 1 января 2025 года, 43 (2,97 % площади страны) имеют статус юридического лица, располагая необходимыми ресурсами для сохранения биоразнообразия на территории. </w:t>
      </w:r>
    </w:p>
    <w:bookmarkEnd w:id="77"/>
    <w:p>
      <w:pPr>
        <w:spacing w:after="0"/>
        <w:ind w:left="0"/>
        <w:jc w:val="both"/>
      </w:pPr>
      <w:bookmarkStart w:name="z99" w:id="78"/>
      <w:r>
        <w:rPr>
          <w:rFonts w:ascii="Times New Roman"/>
          <w:b w:val="false"/>
          <w:i w:val="false"/>
          <w:color w:val="000000"/>
          <w:sz w:val="28"/>
        </w:rPr>
        <w:t xml:space="preserve">
      При этом Казахстан наряду с другими странами присоединился к Коалиции высоких амбиций, целью которой является объединение усилий стран в достижении цели второй глобальной рамочной программы – сохранение </w:t>
      </w:r>
    </w:p>
    <w:bookmarkEnd w:id="78"/>
    <w:p>
      <w:pPr>
        <w:spacing w:after="0"/>
        <w:ind w:left="0"/>
        <w:jc w:val="both"/>
      </w:pPr>
      <w:r>
        <w:rPr>
          <w:rFonts w:ascii="Times New Roman"/>
          <w:b w:val="false"/>
          <w:i w:val="false"/>
          <w:color w:val="000000"/>
          <w:sz w:val="28"/>
        </w:rPr>
        <w:t>30 % суши и океанов планеты к 2030 году для сохранения биоразнообразия и борьбы с изменением климата.</w:t>
      </w:r>
    </w:p>
    <w:bookmarkStart w:name="z100" w:id="79"/>
    <w:p>
      <w:pPr>
        <w:spacing w:after="0"/>
        <w:ind w:left="0"/>
        <w:jc w:val="both"/>
      </w:pPr>
      <w:r>
        <w:rPr>
          <w:rFonts w:ascii="Times New Roman"/>
          <w:b w:val="false"/>
          <w:i w:val="false"/>
          <w:color w:val="000000"/>
          <w:sz w:val="28"/>
        </w:rPr>
        <w:t>
      Важную роль в достижении этой цели играет развитие сети территорий, называемых в международной практике OECM (Other Effective Area-Based Conservation Measures), других эффективных территориальных мер сохранения. Подобные территории, даже не имея официального статуса государственных охраняемых природных территорий, могут обеспечить значительный вклад в сохранение экосистем, видов и природных процессов. </w:t>
      </w:r>
    </w:p>
    <w:bookmarkEnd w:id="79"/>
    <w:bookmarkStart w:name="z101" w:id="80"/>
    <w:p>
      <w:pPr>
        <w:spacing w:after="0"/>
        <w:ind w:left="0"/>
        <w:jc w:val="both"/>
      </w:pPr>
      <w:r>
        <w:rPr>
          <w:rFonts w:ascii="Times New Roman"/>
          <w:b w:val="false"/>
          <w:i w:val="false"/>
          <w:color w:val="000000"/>
          <w:sz w:val="28"/>
        </w:rPr>
        <w:t xml:space="preserve">
      Каждая страна должна сама для себя определить типы таких территорий. На национальном уровне поставлена задача провести анализ соответствия отдельных территорий международным критериям, а также определить целесообразность и возможности разработки (формирования) аналогичных национальных критериев. Например, – это территории учреждений лесного хозяйства, охотничьи хозяйства и другие. </w:t>
      </w:r>
    </w:p>
    <w:bookmarkEnd w:id="80"/>
    <w:bookmarkStart w:name="z102" w:id="81"/>
    <w:p>
      <w:pPr>
        <w:spacing w:after="0"/>
        <w:ind w:left="0"/>
        <w:jc w:val="both"/>
      </w:pPr>
      <w:r>
        <w:rPr>
          <w:rFonts w:ascii="Times New Roman"/>
          <w:b w:val="false"/>
          <w:i w:val="false"/>
          <w:color w:val="000000"/>
          <w:sz w:val="28"/>
        </w:rPr>
        <w:t xml:space="preserve">
      Охраняемые территории с их естественными ландшафтами и богатым биоразнообразием представляют большой спрос и потенциал для развития экологического туризма. В особенности эта тенденция стала возрастать после 2020 года, когда казахстанцы стали активно совершать путешествия внутри страны. На сегодняшний день туризм наиболее активно развивается на ООПТ, имеющих статус юридического лица (государственные национальные природные парки, государственные природные резерваты и государственные природные заповедники). Форма управления в национальных парках и природных резерватах позволяет развивать экологический туризм, в заповедниках – научно-познавательный туризм. </w:t>
      </w:r>
    </w:p>
    <w:bookmarkEnd w:id="81"/>
    <w:bookmarkStart w:name="z103" w:id="82"/>
    <w:p>
      <w:pPr>
        <w:spacing w:after="0"/>
        <w:ind w:left="0"/>
        <w:jc w:val="both"/>
      </w:pPr>
      <w:r>
        <w:rPr>
          <w:rFonts w:ascii="Times New Roman"/>
          <w:b w:val="false"/>
          <w:i w:val="false"/>
          <w:color w:val="000000"/>
          <w:sz w:val="28"/>
        </w:rPr>
        <w:t xml:space="preserve">
      Активно создаются информационные центры на ООПТ и модернизируются существующие музеи природы, при этом они должны быть направлены на привитие любви к природе и отвечать современным требованиям экологических "зеленых" технологий в части энергосбережения, водосбережения, применения современных технологий по утилизации мусора и организации туалетов. Развитие рекламно-информационного обеспечения и маркетинга туристского продукта, реализация программ и проектов, направленных на демонстрацию посетителям диких животных в природных условиях, способствуют развитию как экологического, так и научно-познавательного туризма, при этом основной акцент должен быть сделан на экологическом просвещении. </w:t>
      </w:r>
    </w:p>
    <w:bookmarkEnd w:id="82"/>
    <w:bookmarkStart w:name="z104" w:id="83"/>
    <w:p>
      <w:pPr>
        <w:spacing w:after="0"/>
        <w:ind w:left="0"/>
        <w:jc w:val="both"/>
      </w:pPr>
      <w:r>
        <w:rPr>
          <w:rFonts w:ascii="Times New Roman"/>
          <w:b w:val="false"/>
          <w:i w:val="false"/>
          <w:color w:val="000000"/>
          <w:sz w:val="28"/>
        </w:rPr>
        <w:t>
      Экотуризм, являясь важной частью туристской отрасли, способствует укреплению имиджа и развитию экономики страны. Однако с учетом растущей популярности туризма на природных территориях и увеличения числа посетителей особенно в национальных парках антропогенная нагрузка на эти территории продолжает возрастать, что требует разработки методики расчета норм рекреационной нагрузки с проведением регулярного мониторинга воздействия туристской деятельности на экосистемы, а также осуществления контроля за количеством посетителей на ООПТ. Идущее в настоящее время обустройство экологических маршрутов служит двум важным целям – экологическому просвещению и минимизации нагрузки на тропы за счет выделенной нитки маршрута и отдельных мест для отдыха.</w:t>
      </w:r>
    </w:p>
    <w:bookmarkEnd w:id="83"/>
    <w:bookmarkStart w:name="z105" w:id="84"/>
    <w:p>
      <w:pPr>
        <w:spacing w:after="0"/>
        <w:ind w:left="0"/>
        <w:jc w:val="both"/>
      </w:pPr>
      <w:r>
        <w:rPr>
          <w:rFonts w:ascii="Times New Roman"/>
          <w:b/>
          <w:i w:val="false"/>
          <w:color w:val="000000"/>
          <w:sz w:val="28"/>
        </w:rPr>
        <w:t xml:space="preserve">2.2. Повышение эффективности охраны и воспроизводства лесов с применением практик устойчивого лесопользования </w:t>
      </w:r>
    </w:p>
    <w:bookmarkEnd w:id="84"/>
    <w:bookmarkStart w:name="z106" w:id="85"/>
    <w:p>
      <w:pPr>
        <w:spacing w:after="0"/>
        <w:ind w:left="0"/>
        <w:jc w:val="both"/>
      </w:pPr>
      <w:r>
        <w:rPr>
          <w:rFonts w:ascii="Times New Roman"/>
          <w:b w:val="false"/>
          <w:i w:val="false"/>
          <w:color w:val="000000"/>
          <w:sz w:val="28"/>
        </w:rPr>
        <w:t xml:space="preserve">
      </w:t>
      </w:r>
      <w:r>
        <w:rPr>
          <w:rFonts w:ascii="Times New Roman"/>
          <w:b w:val="false"/>
          <w:i/>
          <w:color w:val="000000"/>
          <w:sz w:val="28"/>
        </w:rPr>
        <w:t>Оценка текущей ситуации</w:t>
      </w:r>
    </w:p>
    <w:bookmarkEnd w:id="85"/>
    <w:bookmarkStart w:name="z107" w:id="86"/>
    <w:p>
      <w:pPr>
        <w:spacing w:after="0"/>
        <w:ind w:left="0"/>
        <w:jc w:val="both"/>
      </w:pPr>
      <w:r>
        <w:rPr>
          <w:rFonts w:ascii="Times New Roman"/>
          <w:b w:val="false"/>
          <w:i w:val="false"/>
          <w:color w:val="000000"/>
          <w:sz w:val="28"/>
        </w:rPr>
        <w:t>
      По данным учета лесного фонда на 1 января 2025 года его площадь составляет 31.37 млн га, или 11.5 % территории страны. Площадь покрытых лесом угодий – 13,9 млн га (44,3 %), что определяет лесистость страны 5,1 %. Площадь частного лесного фонда – 1608 га.</w:t>
      </w:r>
    </w:p>
    <w:bookmarkEnd w:id="86"/>
    <w:bookmarkStart w:name="z108" w:id="87"/>
    <w:p>
      <w:pPr>
        <w:spacing w:after="0"/>
        <w:ind w:left="0"/>
        <w:jc w:val="both"/>
      </w:pPr>
      <w:r>
        <w:rPr>
          <w:rFonts w:ascii="Times New Roman"/>
          <w:b w:val="false"/>
          <w:i w:val="false"/>
          <w:color w:val="000000"/>
          <w:sz w:val="28"/>
        </w:rPr>
        <w:t>
      Основным законодательным актом, регулирующим правоотношения в области сохранения лесов, является Лесной кодекс Республики Казахстан, в котором предусмотрены основные принципы лесного законодательства:</w:t>
      </w:r>
    </w:p>
    <w:bookmarkEnd w:id="87"/>
    <w:bookmarkStart w:name="z109" w:id="88"/>
    <w:p>
      <w:pPr>
        <w:spacing w:after="0"/>
        <w:ind w:left="0"/>
        <w:jc w:val="both"/>
      </w:pPr>
      <w:r>
        <w:rPr>
          <w:rFonts w:ascii="Times New Roman"/>
          <w:b w:val="false"/>
          <w:i w:val="false"/>
          <w:color w:val="000000"/>
          <w:sz w:val="28"/>
        </w:rPr>
        <w:t>
      – признание общегосударственного значения лесов, выполняющих климаторегулирующие, средообразующие, поле- и почвозащитные, водоохранные и санитарно-гигиенические функции;</w:t>
      </w:r>
    </w:p>
    <w:bookmarkEnd w:id="88"/>
    <w:bookmarkStart w:name="z110" w:id="89"/>
    <w:p>
      <w:pPr>
        <w:spacing w:after="0"/>
        <w:ind w:left="0"/>
        <w:jc w:val="both"/>
      </w:pPr>
      <w:r>
        <w:rPr>
          <w:rFonts w:ascii="Times New Roman"/>
          <w:b w:val="false"/>
          <w:i w:val="false"/>
          <w:color w:val="000000"/>
          <w:sz w:val="28"/>
        </w:rPr>
        <w:t>
      – устойчивое развитие лесов (постоянное увеличение лесистости территории Республики Казахстан);</w:t>
      </w:r>
    </w:p>
    <w:bookmarkEnd w:id="89"/>
    <w:bookmarkStart w:name="z111" w:id="90"/>
    <w:p>
      <w:pPr>
        <w:spacing w:after="0"/>
        <w:ind w:left="0"/>
        <w:jc w:val="both"/>
      </w:pPr>
      <w:r>
        <w:rPr>
          <w:rFonts w:ascii="Times New Roman"/>
          <w:b w:val="false"/>
          <w:i w:val="false"/>
          <w:color w:val="000000"/>
          <w:sz w:val="28"/>
        </w:rPr>
        <w:t>
      – сохранение биологического разнообразия лесов, объектов государственного природно-заповедного фонда, культурного и природного наследия;</w:t>
      </w:r>
    </w:p>
    <w:bookmarkEnd w:id="90"/>
    <w:bookmarkStart w:name="z112" w:id="91"/>
    <w:p>
      <w:pPr>
        <w:spacing w:after="0"/>
        <w:ind w:left="0"/>
        <w:jc w:val="both"/>
      </w:pPr>
      <w:r>
        <w:rPr>
          <w:rFonts w:ascii="Times New Roman"/>
          <w:b w:val="false"/>
          <w:i w:val="false"/>
          <w:color w:val="000000"/>
          <w:sz w:val="28"/>
        </w:rPr>
        <w:t>
      – рациональное, непрерывное, неистощительное пользование лесными ресурсами.</w:t>
      </w:r>
    </w:p>
    <w:bookmarkEnd w:id="91"/>
    <w:bookmarkStart w:name="z113" w:id="92"/>
    <w:p>
      <w:pPr>
        <w:spacing w:after="0"/>
        <w:ind w:left="0"/>
        <w:jc w:val="both"/>
      </w:pPr>
      <w:r>
        <w:rPr>
          <w:rFonts w:ascii="Times New Roman"/>
          <w:b w:val="false"/>
          <w:i w:val="false"/>
          <w:color w:val="000000"/>
          <w:sz w:val="28"/>
        </w:rPr>
        <w:t>
      Необходимо отметить, что Законом Республики Казахстан от 26 июня 2025 года "О внесении изменений и дополнений в некоторые законодательные акты Республики Казахстан по вопросам лесного хозяйства, ООПТ и гарантирования обязательств субъектов частного предпринимательства" создание правовых основ для сохранения биологического разнообразия лесов, объектов государственного природно-заповедного фонда, культурного и природного наследия, их рационального использования закреплено одним из принципов Лесного кодекса Республики Казахстан.</w:t>
      </w:r>
    </w:p>
    <w:bookmarkEnd w:id="92"/>
    <w:bookmarkStart w:name="z114" w:id="93"/>
    <w:p>
      <w:pPr>
        <w:spacing w:after="0"/>
        <w:ind w:left="0"/>
        <w:jc w:val="both"/>
      </w:pPr>
      <w:r>
        <w:rPr>
          <w:rFonts w:ascii="Times New Roman"/>
          <w:b w:val="false"/>
          <w:i w:val="false"/>
          <w:color w:val="000000"/>
          <w:sz w:val="28"/>
        </w:rPr>
        <w:t>
      В целом наблюдается тенденция увеличения площади лесов. За последние 10 лет лесопокрытая площадь была увеличена на 8 %. Рост обусловлен приемом в состав государственного лесного фонда ранее не учтенных лесов, переводом молодых насаждений в покрытую лесом площадь и естественным заращиванием.</w:t>
      </w:r>
    </w:p>
    <w:bookmarkEnd w:id="93"/>
    <w:bookmarkStart w:name="z115" w:id="94"/>
    <w:p>
      <w:pPr>
        <w:spacing w:after="0"/>
        <w:ind w:left="0"/>
        <w:jc w:val="both"/>
      </w:pPr>
      <w:r>
        <w:rPr>
          <w:rFonts w:ascii="Times New Roman"/>
          <w:b w:val="false"/>
          <w:i w:val="false"/>
          <w:color w:val="000000"/>
          <w:sz w:val="28"/>
        </w:rPr>
        <w:t>
      В 2002 году большая часть государственного лесного фонда была передана в ведение местных исполнительных органов (акиматов областей).</w:t>
      </w:r>
    </w:p>
    <w:bookmarkEnd w:id="94"/>
    <w:bookmarkStart w:name="z116" w:id="95"/>
    <w:p>
      <w:pPr>
        <w:spacing w:after="0"/>
        <w:ind w:left="0"/>
        <w:jc w:val="both"/>
      </w:pPr>
      <w:r>
        <w:rPr>
          <w:rFonts w:ascii="Times New Roman"/>
          <w:b w:val="false"/>
          <w:i w:val="false"/>
          <w:color w:val="000000"/>
          <w:sz w:val="28"/>
        </w:rPr>
        <w:t>
      Распределение между государственными органами выглядит следующим образом:</w:t>
      </w:r>
    </w:p>
    <w:bookmarkEnd w:id="95"/>
    <w:bookmarkStart w:name="z117" w:id="96"/>
    <w:p>
      <w:pPr>
        <w:spacing w:after="0"/>
        <w:ind w:left="0"/>
        <w:jc w:val="both"/>
      </w:pPr>
      <w:r>
        <w:rPr>
          <w:rFonts w:ascii="Times New Roman"/>
          <w:b w:val="false"/>
          <w:i w:val="false"/>
          <w:color w:val="000000"/>
          <w:sz w:val="28"/>
        </w:rPr>
        <w:t>
      – в ведении Комитета находится 25,2 % государственного лесного фонда (7804,6 тыс. га);</w:t>
      </w:r>
    </w:p>
    <w:bookmarkEnd w:id="96"/>
    <w:bookmarkStart w:name="z118" w:id="97"/>
    <w:p>
      <w:pPr>
        <w:spacing w:after="0"/>
        <w:ind w:left="0"/>
        <w:jc w:val="both"/>
      </w:pPr>
      <w:r>
        <w:rPr>
          <w:rFonts w:ascii="Times New Roman"/>
          <w:b w:val="false"/>
          <w:i w:val="false"/>
          <w:color w:val="000000"/>
          <w:sz w:val="28"/>
        </w:rPr>
        <w:t>
      – в ведении акиматов областей 74,2 % площади государственного лесного фонда (22980,1 тыс. га);</w:t>
      </w:r>
    </w:p>
    <w:bookmarkEnd w:id="97"/>
    <w:bookmarkStart w:name="z119" w:id="98"/>
    <w:p>
      <w:pPr>
        <w:spacing w:after="0"/>
        <w:ind w:left="0"/>
        <w:jc w:val="both"/>
      </w:pPr>
      <w:r>
        <w:rPr>
          <w:rFonts w:ascii="Times New Roman"/>
          <w:b w:val="false"/>
          <w:i w:val="false"/>
          <w:color w:val="000000"/>
          <w:sz w:val="28"/>
        </w:rPr>
        <w:t>
      – в ведении других ведомств находится 0,6 % государственного лесного фонда – это защитные полосы вдоль железных дорог (КТЖ), вдоль автомобильных дорог (КазАвтожол), государственного национального природного парка "Бурабай" Управления делами Президента Республики Казахстан.</w:t>
      </w:r>
    </w:p>
    <w:bookmarkEnd w:id="98"/>
    <w:bookmarkStart w:name="z120" w:id="99"/>
    <w:p>
      <w:pPr>
        <w:spacing w:after="0"/>
        <w:ind w:left="0"/>
        <w:jc w:val="both"/>
      </w:pPr>
      <w:r>
        <w:rPr>
          <w:rFonts w:ascii="Times New Roman"/>
          <w:b w:val="false"/>
          <w:i w:val="false"/>
          <w:color w:val="000000"/>
          <w:sz w:val="28"/>
        </w:rPr>
        <w:t>
      Охрану лесов от пожаров и незаконных рубок обеспечивают государственные учреждения лесного хозяйства, государственные природоохранные организации (ООПТ со статусом юридического лица), республиканское государственное предприятие "Жасыл Аймак", республиканское государственное казенное предприятие "Республиканский лесной селекционно-семеноводческий центр", республиканское государственное учреждение "Сандыктауское учебно-производственное лесное хозяйство", специализированное государственное республиканское казенное предприятие "Казавиалесоохрана" Комитета лесного хозяйства и животного мира МЭПР.</w:t>
      </w:r>
    </w:p>
    <w:bookmarkEnd w:id="99"/>
    <w:bookmarkStart w:name="z121" w:id="100"/>
    <w:p>
      <w:pPr>
        <w:spacing w:after="0"/>
        <w:ind w:left="0"/>
        <w:jc w:val="both"/>
      </w:pPr>
      <w:r>
        <w:rPr>
          <w:rFonts w:ascii="Times New Roman"/>
          <w:b w:val="false"/>
          <w:i w:val="false"/>
          <w:color w:val="000000"/>
          <w:sz w:val="28"/>
        </w:rPr>
        <w:t>
      Областные территориальные инспекции лесного хозяйства и животного мира Комитета лесного хозяйства и животного мира МЭПР осуществляют контроль и надзор за исполнением лесного и природоохранного законодательства.</w:t>
      </w:r>
    </w:p>
    <w:bookmarkEnd w:id="100"/>
    <w:bookmarkStart w:name="z122" w:id="101"/>
    <w:p>
      <w:pPr>
        <w:spacing w:after="0"/>
        <w:ind w:left="0"/>
        <w:jc w:val="both"/>
      </w:pPr>
      <w:r>
        <w:rPr>
          <w:rFonts w:ascii="Times New Roman"/>
          <w:b w:val="false"/>
          <w:i w:val="false"/>
          <w:color w:val="000000"/>
          <w:sz w:val="28"/>
        </w:rPr>
        <w:t xml:space="preserve">
      Вышеуказанным Законом также внесены поправки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туристской деятельности в Республике Казахстан" касательно вопросов проектирования, строительства и обслуживания инженерных сетей на объектах туризма в ООПТ.</w:t>
      </w:r>
    </w:p>
    <w:bookmarkEnd w:id="101"/>
    <w:bookmarkStart w:name="z123" w:id="102"/>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проблемы</w:t>
      </w:r>
    </w:p>
    <w:bookmarkEnd w:id="102"/>
    <w:bookmarkStart w:name="z124" w:id="103"/>
    <w:p>
      <w:pPr>
        <w:spacing w:after="0"/>
        <w:ind w:left="0"/>
        <w:jc w:val="both"/>
      </w:pPr>
      <w:r>
        <w:rPr>
          <w:rFonts w:ascii="Times New Roman"/>
          <w:b w:val="false"/>
          <w:i w:val="false"/>
          <w:color w:val="000000"/>
          <w:sz w:val="28"/>
        </w:rPr>
        <w:t>
      1. Недостаток качественного посадочного материала вследствие недостаточного финансирования развития лесных питомников акиматами областей, ограниченное применение современных технологий (например - питомники с закрытой корневой системой).</w:t>
      </w:r>
    </w:p>
    <w:bookmarkEnd w:id="103"/>
    <w:bookmarkStart w:name="z125" w:id="104"/>
    <w:p>
      <w:pPr>
        <w:spacing w:after="0"/>
        <w:ind w:left="0"/>
        <w:jc w:val="both"/>
      </w:pPr>
      <w:r>
        <w:rPr>
          <w:rFonts w:ascii="Times New Roman"/>
          <w:b w:val="false"/>
          <w:i w:val="false"/>
          <w:color w:val="000000"/>
          <w:sz w:val="28"/>
        </w:rPr>
        <w:t>
      2. Недостаток научного сопровождения вопросов развития лесного хозяйства.</w:t>
      </w:r>
    </w:p>
    <w:bookmarkEnd w:id="104"/>
    <w:bookmarkStart w:name="z126" w:id="105"/>
    <w:p>
      <w:pPr>
        <w:spacing w:after="0"/>
        <w:ind w:left="0"/>
        <w:jc w:val="both"/>
      </w:pPr>
      <w:r>
        <w:rPr>
          <w:rFonts w:ascii="Times New Roman"/>
          <w:b w:val="false"/>
          <w:i w:val="false"/>
          <w:color w:val="000000"/>
          <w:sz w:val="28"/>
        </w:rPr>
        <w:t>
      3. Рост угроз от лесных пожаров</w:t>
      </w:r>
    </w:p>
    <w:bookmarkEnd w:id="105"/>
    <w:bookmarkStart w:name="z127" w:id="106"/>
    <w:p>
      <w:pPr>
        <w:spacing w:after="0"/>
        <w:ind w:left="0"/>
        <w:jc w:val="both"/>
      </w:pPr>
      <w:r>
        <w:rPr>
          <w:rFonts w:ascii="Times New Roman"/>
          <w:b w:val="false"/>
          <w:i w:val="false"/>
          <w:color w:val="000000"/>
          <w:sz w:val="28"/>
        </w:rPr>
        <w:t>
      Климатические изменения, человеческий фактор и недостаток систем раннего предупреждения приводят к учащению и масштабности лесных пожаров. Основными факторами распространения пожаров на большие территории являются:</w:t>
      </w:r>
    </w:p>
    <w:bookmarkEnd w:id="106"/>
    <w:bookmarkStart w:name="z128" w:id="107"/>
    <w:p>
      <w:pPr>
        <w:spacing w:after="0"/>
        <w:ind w:left="0"/>
        <w:jc w:val="both"/>
      </w:pPr>
      <w:r>
        <w:rPr>
          <w:rFonts w:ascii="Times New Roman"/>
          <w:b w:val="false"/>
          <w:i w:val="false"/>
          <w:color w:val="000000"/>
          <w:sz w:val="28"/>
        </w:rPr>
        <w:t>
      – прохождение фронтов с сухими грозами;</w:t>
      </w:r>
    </w:p>
    <w:bookmarkEnd w:id="107"/>
    <w:bookmarkStart w:name="z129" w:id="108"/>
    <w:p>
      <w:pPr>
        <w:spacing w:after="0"/>
        <w:ind w:left="0"/>
        <w:jc w:val="both"/>
      </w:pPr>
      <w:r>
        <w:rPr>
          <w:rFonts w:ascii="Times New Roman"/>
          <w:b w:val="false"/>
          <w:i w:val="false"/>
          <w:color w:val="000000"/>
          <w:sz w:val="28"/>
        </w:rPr>
        <w:t>
      – сухой и жаркий климат;</w:t>
      </w:r>
    </w:p>
    <w:bookmarkEnd w:id="108"/>
    <w:bookmarkStart w:name="z130" w:id="109"/>
    <w:p>
      <w:pPr>
        <w:spacing w:after="0"/>
        <w:ind w:left="0"/>
        <w:jc w:val="both"/>
      </w:pPr>
      <w:r>
        <w:rPr>
          <w:rFonts w:ascii="Times New Roman"/>
          <w:b w:val="false"/>
          <w:i w:val="false"/>
          <w:color w:val="000000"/>
          <w:sz w:val="28"/>
        </w:rPr>
        <w:t>
      – неконтролируемые степные палы, несанкционированные выезды на природу;</w:t>
      </w:r>
    </w:p>
    <w:bookmarkEnd w:id="109"/>
    <w:bookmarkStart w:name="z131" w:id="110"/>
    <w:p>
      <w:pPr>
        <w:spacing w:after="0"/>
        <w:ind w:left="0"/>
        <w:jc w:val="both"/>
      </w:pPr>
      <w:r>
        <w:rPr>
          <w:rFonts w:ascii="Times New Roman"/>
          <w:b w:val="false"/>
          <w:i w:val="false"/>
          <w:color w:val="000000"/>
          <w:sz w:val="28"/>
        </w:rPr>
        <w:t>
      – недостаточная техническая оснащенность государственной лесной охраны.</w:t>
      </w:r>
    </w:p>
    <w:bookmarkEnd w:id="110"/>
    <w:bookmarkStart w:name="z132" w:id="111"/>
    <w:p>
      <w:pPr>
        <w:spacing w:after="0"/>
        <w:ind w:left="0"/>
        <w:jc w:val="both"/>
      </w:pPr>
      <w:r>
        <w:rPr>
          <w:rFonts w:ascii="Times New Roman"/>
          <w:b w:val="false"/>
          <w:i w:val="false"/>
          <w:color w:val="000000"/>
          <w:sz w:val="28"/>
        </w:rPr>
        <w:t>
      Данные факторы приводят к потере лесов, что создает угрозы для сохранения биоразнообразия и близлежащих населенных пунктов.</w:t>
      </w:r>
    </w:p>
    <w:bookmarkEnd w:id="111"/>
    <w:bookmarkStart w:name="z133" w:id="112"/>
    <w:p>
      <w:pPr>
        <w:spacing w:after="0"/>
        <w:ind w:left="0"/>
        <w:jc w:val="both"/>
      </w:pPr>
      <w:r>
        <w:rPr>
          <w:rFonts w:ascii="Times New Roman"/>
          <w:b w:val="false"/>
          <w:i w:val="false"/>
          <w:color w:val="000000"/>
          <w:sz w:val="28"/>
        </w:rPr>
        <w:t>
      Крупные лесные пожары влекут собой рост затрат из государственного бюджета на их тушение и восстановление экосистем.</w:t>
      </w:r>
    </w:p>
    <w:bookmarkEnd w:id="112"/>
    <w:bookmarkStart w:name="z134" w:id="113"/>
    <w:p>
      <w:pPr>
        <w:spacing w:after="0"/>
        <w:ind w:left="0"/>
        <w:jc w:val="both"/>
      </w:pPr>
      <w:r>
        <w:rPr>
          <w:rFonts w:ascii="Times New Roman"/>
          <w:b w:val="false"/>
          <w:i w:val="false"/>
          <w:color w:val="000000"/>
          <w:sz w:val="28"/>
        </w:rPr>
        <w:t>
      4. Недостаточное финансирование лесного хозяйства</w:t>
      </w:r>
    </w:p>
    <w:bookmarkEnd w:id="113"/>
    <w:bookmarkStart w:name="z135" w:id="114"/>
    <w:p>
      <w:pPr>
        <w:spacing w:after="0"/>
        <w:ind w:left="0"/>
        <w:jc w:val="both"/>
      </w:pPr>
      <w:r>
        <w:rPr>
          <w:rFonts w:ascii="Times New Roman"/>
          <w:b w:val="false"/>
          <w:i w:val="false"/>
          <w:color w:val="000000"/>
          <w:sz w:val="28"/>
        </w:rPr>
        <w:t>
      Финансирование лесного сектора страны зачастую осуществляется по остаточному принципу. Это не позволяет внедрять инновационные технологии и усиливать защитные меры. Остаточный принцип финансирования лесного сектора не позволяет своевременно обновлять имеющуюся технику и оборудование. Недостаток средств также влияет на научные исследования, кратность патрулирования лесного фонда и профилактику лесных пожаров. Все это приводит к снижению эффективности лесоохранной деятельности, утрате потенциала лесного фонда как источника устойчивого экономического и экологического развития.</w:t>
      </w:r>
    </w:p>
    <w:bookmarkEnd w:id="114"/>
    <w:bookmarkStart w:name="z136" w:id="115"/>
    <w:p>
      <w:pPr>
        <w:spacing w:after="0"/>
        <w:ind w:left="0"/>
        <w:jc w:val="both"/>
      </w:pPr>
      <w:r>
        <w:rPr>
          <w:rFonts w:ascii="Times New Roman"/>
          <w:b w:val="false"/>
          <w:i w:val="false"/>
          <w:color w:val="000000"/>
          <w:sz w:val="28"/>
        </w:rPr>
        <w:t>
      5. Нехватка квалифицированных кадров</w:t>
      </w:r>
    </w:p>
    <w:bookmarkEnd w:id="115"/>
    <w:bookmarkStart w:name="z137" w:id="116"/>
    <w:p>
      <w:pPr>
        <w:spacing w:after="0"/>
        <w:ind w:left="0"/>
        <w:jc w:val="both"/>
      </w:pPr>
      <w:r>
        <w:rPr>
          <w:rFonts w:ascii="Times New Roman"/>
          <w:b w:val="false"/>
          <w:i w:val="false"/>
          <w:color w:val="000000"/>
          <w:sz w:val="28"/>
        </w:rPr>
        <w:t xml:space="preserve">
      Описание проблемы: </w:t>
      </w:r>
    </w:p>
    <w:bookmarkEnd w:id="116"/>
    <w:bookmarkStart w:name="z138" w:id="117"/>
    <w:p>
      <w:pPr>
        <w:spacing w:after="0"/>
        <w:ind w:left="0"/>
        <w:jc w:val="both"/>
      </w:pPr>
      <w:r>
        <w:rPr>
          <w:rFonts w:ascii="Times New Roman"/>
          <w:b w:val="false"/>
          <w:i w:val="false"/>
          <w:color w:val="000000"/>
          <w:sz w:val="28"/>
        </w:rPr>
        <w:t>
      старение кадров и низкая привлекательность профессии лесника негативно сказываются на качестве управления и ведения лесного хозяйства.</w:t>
      </w:r>
    </w:p>
    <w:bookmarkEnd w:id="117"/>
    <w:bookmarkStart w:name="z139" w:id="118"/>
    <w:p>
      <w:pPr>
        <w:spacing w:after="0"/>
        <w:ind w:left="0"/>
        <w:jc w:val="both"/>
      </w:pPr>
      <w:r>
        <w:rPr>
          <w:rFonts w:ascii="Times New Roman"/>
          <w:b w:val="false"/>
          <w:i w:val="false"/>
          <w:color w:val="000000"/>
          <w:sz w:val="28"/>
        </w:rPr>
        <w:t>
      Причины:</w:t>
      </w:r>
    </w:p>
    <w:bookmarkEnd w:id="118"/>
    <w:bookmarkStart w:name="z140" w:id="119"/>
    <w:p>
      <w:pPr>
        <w:spacing w:after="0"/>
        <w:ind w:left="0"/>
        <w:jc w:val="both"/>
      </w:pPr>
      <w:r>
        <w:rPr>
          <w:rFonts w:ascii="Times New Roman"/>
          <w:b w:val="false"/>
          <w:i w:val="false"/>
          <w:color w:val="000000"/>
          <w:sz w:val="28"/>
        </w:rPr>
        <w:t>
      – низкий уровень социальных гарантий, отсутствие детских дошкольных учреждений и мест досуга в лесных поселках;</w:t>
      </w:r>
    </w:p>
    <w:bookmarkEnd w:id="119"/>
    <w:bookmarkStart w:name="z141" w:id="120"/>
    <w:p>
      <w:pPr>
        <w:spacing w:after="0"/>
        <w:ind w:left="0"/>
        <w:jc w:val="both"/>
      </w:pPr>
      <w:r>
        <w:rPr>
          <w:rFonts w:ascii="Times New Roman"/>
          <w:b w:val="false"/>
          <w:i w:val="false"/>
          <w:color w:val="000000"/>
          <w:sz w:val="28"/>
        </w:rPr>
        <w:t>
      – недостаточный доступ к интернет-каналам;</w:t>
      </w:r>
    </w:p>
    <w:bookmarkEnd w:id="120"/>
    <w:bookmarkStart w:name="z142" w:id="121"/>
    <w:p>
      <w:pPr>
        <w:spacing w:after="0"/>
        <w:ind w:left="0"/>
        <w:jc w:val="both"/>
      </w:pPr>
      <w:r>
        <w:rPr>
          <w:rFonts w:ascii="Times New Roman"/>
          <w:b w:val="false"/>
          <w:i w:val="false"/>
          <w:color w:val="000000"/>
          <w:sz w:val="28"/>
        </w:rPr>
        <w:t>
      – снижение интереса молодежи к природоохранным профессиям;</w:t>
      </w:r>
    </w:p>
    <w:bookmarkEnd w:id="121"/>
    <w:bookmarkStart w:name="z143" w:id="122"/>
    <w:p>
      <w:pPr>
        <w:spacing w:after="0"/>
        <w:ind w:left="0"/>
        <w:jc w:val="both"/>
      </w:pPr>
      <w:r>
        <w:rPr>
          <w:rFonts w:ascii="Times New Roman"/>
          <w:b w:val="false"/>
          <w:i w:val="false"/>
          <w:color w:val="000000"/>
          <w:sz w:val="28"/>
        </w:rPr>
        <w:t>
      – утрата традиционных знаний и навыков.</w:t>
      </w:r>
    </w:p>
    <w:bookmarkEnd w:id="122"/>
    <w:bookmarkStart w:name="z144" w:id="123"/>
    <w:p>
      <w:pPr>
        <w:spacing w:after="0"/>
        <w:ind w:left="0"/>
        <w:jc w:val="both"/>
      </w:pPr>
      <w:r>
        <w:rPr>
          <w:rFonts w:ascii="Times New Roman"/>
          <w:b w:val="false"/>
          <w:i w:val="false"/>
          <w:color w:val="000000"/>
          <w:sz w:val="28"/>
        </w:rPr>
        <w:t>
      6. Угрозы незаконных вырубок и браконьерства</w:t>
      </w:r>
    </w:p>
    <w:bookmarkEnd w:id="123"/>
    <w:bookmarkStart w:name="z145" w:id="124"/>
    <w:p>
      <w:pPr>
        <w:spacing w:after="0"/>
        <w:ind w:left="0"/>
        <w:jc w:val="both"/>
      </w:pPr>
      <w:r>
        <w:rPr>
          <w:rFonts w:ascii="Times New Roman"/>
          <w:b w:val="false"/>
          <w:i w:val="false"/>
          <w:color w:val="000000"/>
          <w:sz w:val="28"/>
        </w:rPr>
        <w:t xml:space="preserve">
      Описание проблемы: </w:t>
      </w:r>
    </w:p>
    <w:bookmarkEnd w:id="124"/>
    <w:bookmarkStart w:name="z146" w:id="125"/>
    <w:p>
      <w:pPr>
        <w:spacing w:after="0"/>
        <w:ind w:left="0"/>
        <w:jc w:val="both"/>
      </w:pPr>
      <w:r>
        <w:rPr>
          <w:rFonts w:ascii="Times New Roman"/>
          <w:b w:val="false"/>
          <w:i w:val="false"/>
          <w:color w:val="000000"/>
          <w:sz w:val="28"/>
        </w:rPr>
        <w:t>
      в ряде регионов фиксируются случаи незаконной заготовки древесины, вырубки редких пород и сбора ценных природных ресурсов.</w:t>
      </w:r>
    </w:p>
    <w:bookmarkEnd w:id="125"/>
    <w:bookmarkStart w:name="z147" w:id="126"/>
    <w:p>
      <w:pPr>
        <w:spacing w:after="0"/>
        <w:ind w:left="0"/>
        <w:jc w:val="both"/>
      </w:pPr>
      <w:r>
        <w:rPr>
          <w:rFonts w:ascii="Times New Roman"/>
          <w:b w:val="false"/>
          <w:i w:val="false"/>
          <w:color w:val="000000"/>
          <w:sz w:val="28"/>
        </w:rPr>
        <w:t>
      Причины:</w:t>
      </w:r>
    </w:p>
    <w:bookmarkEnd w:id="126"/>
    <w:bookmarkStart w:name="z148" w:id="127"/>
    <w:p>
      <w:pPr>
        <w:spacing w:after="0"/>
        <w:ind w:left="0"/>
        <w:jc w:val="both"/>
      </w:pPr>
      <w:r>
        <w:rPr>
          <w:rFonts w:ascii="Times New Roman"/>
          <w:b w:val="false"/>
          <w:i w:val="false"/>
          <w:color w:val="000000"/>
          <w:sz w:val="28"/>
        </w:rPr>
        <w:t>
      – недостаточный контроль в отдаленных районах;</w:t>
      </w:r>
    </w:p>
    <w:bookmarkEnd w:id="127"/>
    <w:bookmarkStart w:name="z149" w:id="128"/>
    <w:p>
      <w:pPr>
        <w:spacing w:after="0"/>
        <w:ind w:left="0"/>
        <w:jc w:val="both"/>
      </w:pPr>
      <w:r>
        <w:rPr>
          <w:rFonts w:ascii="Times New Roman"/>
          <w:b w:val="false"/>
          <w:i w:val="false"/>
          <w:color w:val="000000"/>
          <w:sz w:val="28"/>
        </w:rPr>
        <w:t>
      – отсутствие прозрачных и оперативных систем мониторинга (например – применение электронного маркирования древесной продукции, широкое применение спутников или дронов);</w:t>
      </w:r>
    </w:p>
    <w:bookmarkEnd w:id="128"/>
    <w:bookmarkStart w:name="z150" w:id="129"/>
    <w:p>
      <w:pPr>
        <w:spacing w:after="0"/>
        <w:ind w:left="0"/>
        <w:jc w:val="both"/>
      </w:pPr>
      <w:r>
        <w:rPr>
          <w:rFonts w:ascii="Times New Roman"/>
          <w:b w:val="false"/>
          <w:i w:val="false"/>
          <w:color w:val="000000"/>
          <w:sz w:val="28"/>
        </w:rPr>
        <w:t>
      – низкая раскрываемость экологических преступлений.</w:t>
      </w:r>
    </w:p>
    <w:bookmarkEnd w:id="129"/>
    <w:bookmarkStart w:name="z151" w:id="130"/>
    <w:p>
      <w:pPr>
        <w:spacing w:after="0"/>
        <w:ind w:left="0"/>
        <w:jc w:val="both"/>
      </w:pPr>
      <w:r>
        <w:rPr>
          <w:rFonts w:ascii="Times New Roman"/>
          <w:b w:val="false"/>
          <w:i w:val="false"/>
          <w:color w:val="000000"/>
          <w:sz w:val="28"/>
        </w:rPr>
        <w:t>
      Последствия:</w:t>
      </w:r>
    </w:p>
    <w:bookmarkEnd w:id="130"/>
    <w:bookmarkStart w:name="z152" w:id="131"/>
    <w:p>
      <w:pPr>
        <w:spacing w:after="0"/>
        <w:ind w:left="0"/>
        <w:jc w:val="both"/>
      </w:pPr>
      <w:r>
        <w:rPr>
          <w:rFonts w:ascii="Times New Roman"/>
          <w:b w:val="false"/>
          <w:i w:val="false"/>
          <w:color w:val="000000"/>
          <w:sz w:val="28"/>
        </w:rPr>
        <w:t>
      – ущерб лесному фонду и бюджету;</w:t>
      </w:r>
    </w:p>
    <w:bookmarkEnd w:id="131"/>
    <w:bookmarkStart w:name="z153" w:id="132"/>
    <w:p>
      <w:pPr>
        <w:spacing w:after="0"/>
        <w:ind w:left="0"/>
        <w:jc w:val="both"/>
      </w:pPr>
      <w:r>
        <w:rPr>
          <w:rFonts w:ascii="Times New Roman"/>
          <w:b w:val="false"/>
          <w:i w:val="false"/>
          <w:color w:val="000000"/>
          <w:sz w:val="28"/>
        </w:rPr>
        <w:t>
      – угроза исчезновения редких видов;</w:t>
      </w:r>
    </w:p>
    <w:bookmarkEnd w:id="132"/>
    <w:bookmarkStart w:name="z154" w:id="133"/>
    <w:p>
      <w:pPr>
        <w:spacing w:after="0"/>
        <w:ind w:left="0"/>
        <w:jc w:val="both"/>
      </w:pPr>
      <w:r>
        <w:rPr>
          <w:rFonts w:ascii="Times New Roman"/>
          <w:b w:val="false"/>
          <w:i w:val="false"/>
          <w:color w:val="000000"/>
          <w:sz w:val="28"/>
        </w:rPr>
        <w:t>
      – разрушение целостности экосистем.</w:t>
      </w:r>
    </w:p>
    <w:bookmarkEnd w:id="133"/>
    <w:bookmarkStart w:name="z155" w:id="134"/>
    <w:p>
      <w:pPr>
        <w:spacing w:after="0"/>
        <w:ind w:left="0"/>
        <w:jc w:val="both"/>
      </w:pPr>
      <w:r>
        <w:rPr>
          <w:rFonts w:ascii="Times New Roman"/>
          <w:b w:val="false"/>
          <w:i w:val="false"/>
          <w:color w:val="000000"/>
          <w:sz w:val="28"/>
        </w:rPr>
        <w:t>
      7. Воздействие изменения климата</w:t>
      </w:r>
    </w:p>
    <w:bookmarkEnd w:id="134"/>
    <w:bookmarkStart w:name="z156" w:id="135"/>
    <w:p>
      <w:pPr>
        <w:spacing w:after="0"/>
        <w:ind w:left="0"/>
        <w:jc w:val="both"/>
      </w:pPr>
      <w:r>
        <w:rPr>
          <w:rFonts w:ascii="Times New Roman"/>
          <w:b w:val="false"/>
          <w:i w:val="false"/>
          <w:color w:val="000000"/>
          <w:sz w:val="28"/>
        </w:rPr>
        <w:t>
      Описание проблемы:</w:t>
      </w:r>
    </w:p>
    <w:bookmarkEnd w:id="135"/>
    <w:bookmarkStart w:name="z157" w:id="136"/>
    <w:p>
      <w:pPr>
        <w:spacing w:after="0"/>
        <w:ind w:left="0"/>
        <w:jc w:val="both"/>
      </w:pPr>
      <w:r>
        <w:rPr>
          <w:rFonts w:ascii="Times New Roman"/>
          <w:b w:val="false"/>
          <w:i w:val="false"/>
          <w:color w:val="000000"/>
          <w:sz w:val="28"/>
        </w:rPr>
        <w:t>
      Глобальные климатические изменения усиливают нагрузку на лесные экосистемы, особенно в зонах с экстремальными климатическими условиями (степь, полупустыни, горы).</w:t>
      </w:r>
    </w:p>
    <w:bookmarkEnd w:id="136"/>
    <w:bookmarkStart w:name="z158" w:id="137"/>
    <w:p>
      <w:pPr>
        <w:spacing w:after="0"/>
        <w:ind w:left="0"/>
        <w:jc w:val="both"/>
      </w:pPr>
      <w:r>
        <w:rPr>
          <w:rFonts w:ascii="Times New Roman"/>
          <w:b w:val="false"/>
          <w:i w:val="false"/>
          <w:color w:val="000000"/>
          <w:sz w:val="28"/>
        </w:rPr>
        <w:t>
      Проявления:</w:t>
      </w:r>
    </w:p>
    <w:bookmarkEnd w:id="137"/>
    <w:bookmarkStart w:name="z159" w:id="138"/>
    <w:p>
      <w:pPr>
        <w:spacing w:after="0"/>
        <w:ind w:left="0"/>
        <w:jc w:val="both"/>
      </w:pPr>
      <w:r>
        <w:rPr>
          <w:rFonts w:ascii="Times New Roman"/>
          <w:b w:val="false"/>
          <w:i w:val="false"/>
          <w:color w:val="000000"/>
          <w:sz w:val="28"/>
        </w:rPr>
        <w:t>
      – снижение уровня осадков и засухи;</w:t>
      </w:r>
    </w:p>
    <w:bookmarkEnd w:id="138"/>
    <w:bookmarkStart w:name="z160" w:id="139"/>
    <w:p>
      <w:pPr>
        <w:spacing w:after="0"/>
        <w:ind w:left="0"/>
        <w:jc w:val="both"/>
      </w:pPr>
      <w:r>
        <w:rPr>
          <w:rFonts w:ascii="Times New Roman"/>
          <w:b w:val="false"/>
          <w:i w:val="false"/>
          <w:color w:val="000000"/>
          <w:sz w:val="28"/>
        </w:rPr>
        <w:t>
      – усиление ветровой и водной эрозии;</w:t>
      </w:r>
    </w:p>
    <w:bookmarkEnd w:id="139"/>
    <w:bookmarkStart w:name="z161" w:id="140"/>
    <w:p>
      <w:pPr>
        <w:spacing w:after="0"/>
        <w:ind w:left="0"/>
        <w:jc w:val="both"/>
      </w:pPr>
      <w:r>
        <w:rPr>
          <w:rFonts w:ascii="Times New Roman"/>
          <w:b w:val="false"/>
          <w:i w:val="false"/>
          <w:color w:val="000000"/>
          <w:sz w:val="28"/>
        </w:rPr>
        <w:t>
      – расширение ареала вредителей и болезней деревьев.</w:t>
      </w:r>
    </w:p>
    <w:bookmarkEnd w:id="140"/>
    <w:bookmarkStart w:name="z162" w:id="141"/>
    <w:p>
      <w:pPr>
        <w:spacing w:after="0"/>
        <w:ind w:left="0"/>
        <w:jc w:val="both"/>
      </w:pPr>
      <w:r>
        <w:rPr>
          <w:rFonts w:ascii="Times New Roman"/>
          <w:b w:val="false"/>
          <w:i w:val="false"/>
          <w:color w:val="000000"/>
          <w:sz w:val="28"/>
        </w:rPr>
        <w:t>
      Последствия:</w:t>
      </w:r>
    </w:p>
    <w:bookmarkEnd w:id="141"/>
    <w:bookmarkStart w:name="z163" w:id="142"/>
    <w:p>
      <w:pPr>
        <w:spacing w:after="0"/>
        <w:ind w:left="0"/>
        <w:jc w:val="both"/>
      </w:pPr>
      <w:r>
        <w:rPr>
          <w:rFonts w:ascii="Times New Roman"/>
          <w:b w:val="false"/>
          <w:i w:val="false"/>
          <w:color w:val="000000"/>
          <w:sz w:val="28"/>
        </w:rPr>
        <w:t>
      – снижение продуктивности лесов;</w:t>
      </w:r>
    </w:p>
    <w:bookmarkEnd w:id="142"/>
    <w:bookmarkStart w:name="z164" w:id="143"/>
    <w:p>
      <w:pPr>
        <w:spacing w:after="0"/>
        <w:ind w:left="0"/>
        <w:jc w:val="both"/>
      </w:pPr>
      <w:r>
        <w:rPr>
          <w:rFonts w:ascii="Times New Roman"/>
          <w:b w:val="false"/>
          <w:i w:val="false"/>
          <w:color w:val="000000"/>
          <w:sz w:val="28"/>
        </w:rPr>
        <w:t>
      – гибель молодняка и рост затрат на уход за лесами;</w:t>
      </w:r>
    </w:p>
    <w:bookmarkEnd w:id="143"/>
    <w:bookmarkStart w:name="z165" w:id="144"/>
    <w:p>
      <w:pPr>
        <w:spacing w:after="0"/>
        <w:ind w:left="0"/>
        <w:jc w:val="both"/>
      </w:pPr>
      <w:r>
        <w:rPr>
          <w:rFonts w:ascii="Times New Roman"/>
          <w:b w:val="false"/>
          <w:i w:val="false"/>
          <w:color w:val="000000"/>
          <w:sz w:val="28"/>
        </w:rPr>
        <w:t>
      – нарушение природных связей между компонентами экосистем.</w:t>
      </w:r>
    </w:p>
    <w:bookmarkEnd w:id="144"/>
    <w:bookmarkStart w:name="z166" w:id="145"/>
    <w:p>
      <w:pPr>
        <w:spacing w:after="0"/>
        <w:ind w:left="0"/>
        <w:jc w:val="both"/>
      </w:pPr>
      <w:r>
        <w:rPr>
          <w:rFonts w:ascii="Times New Roman"/>
          <w:b w:val="false"/>
          <w:i w:val="false"/>
          <w:color w:val="000000"/>
          <w:sz w:val="28"/>
        </w:rPr>
        <w:t>
      Лесные пожары и их предотвращение являются приоритетным вопросом. Причинами возникновения лесных пожаров являются природные и антропогенные факторы.</w:t>
      </w:r>
    </w:p>
    <w:bookmarkEnd w:id="145"/>
    <w:bookmarkStart w:name="z167" w:id="146"/>
    <w:p>
      <w:pPr>
        <w:spacing w:after="0"/>
        <w:ind w:left="0"/>
        <w:jc w:val="both"/>
      </w:pPr>
      <w:r>
        <w:rPr>
          <w:rFonts w:ascii="Times New Roman"/>
          <w:b w:val="false"/>
          <w:i w:val="false"/>
          <w:color w:val="000000"/>
          <w:sz w:val="28"/>
        </w:rPr>
        <w:t>
      Основной природный фактор – грозовые разряды. Наиболее сильно они проявляются в лесных природных резерватах "Семей орманы" и "Ертiс орманы" и могут составлять до 80 – 90 процентов случаев возгораний. Количество зарегистрированных лесных пожаров за последние 5 лет (2019 – 2023 годы) увеличилось в 2,2 раза и составило 3688 случаев на общей площади более 560 тысяч га, при этом средняя площадь одного пожара составила 3,2 тысяч га, при наиболее оптимальной 0,5 га.</w:t>
      </w:r>
    </w:p>
    <w:bookmarkEnd w:id="146"/>
    <w:bookmarkStart w:name="z168" w:id="147"/>
    <w:p>
      <w:pPr>
        <w:spacing w:after="0"/>
        <w:ind w:left="0"/>
        <w:jc w:val="both"/>
      </w:pPr>
      <w:r>
        <w:rPr>
          <w:rFonts w:ascii="Times New Roman"/>
          <w:b w:val="false"/>
          <w:i w:val="false"/>
          <w:color w:val="000000"/>
          <w:sz w:val="28"/>
        </w:rPr>
        <w:t xml:space="preserve">
      Существует вопрос по обеспечению налета часов воздушными судами авиалесоохраны в соответствии с установленными нормативами. Авиационной охраной недостаточно охвачена вся территория лесного фонда. Вместе с тем при авиапатрулировании обнаруживается и тушится до 60 % случаев возникновения лесных пожаров. </w:t>
      </w:r>
    </w:p>
    <w:bookmarkEnd w:id="147"/>
    <w:bookmarkStart w:name="z169" w:id="148"/>
    <w:p>
      <w:pPr>
        <w:spacing w:after="0"/>
        <w:ind w:left="0"/>
        <w:jc w:val="both"/>
      </w:pPr>
      <w:r>
        <w:rPr>
          <w:rFonts w:ascii="Times New Roman"/>
          <w:b w:val="false"/>
          <w:i w:val="false"/>
          <w:color w:val="000000"/>
          <w:sz w:val="28"/>
        </w:rPr>
        <w:t>
      Обеспечение государственной лесной охраны форменным обмундированием и специальными средствами составляет 50 – 70 % от нормативов, материально-техническое оснащение государственных учреждений лесного хозяйства и природоохранных организаций – около 70 %.</w:t>
      </w:r>
    </w:p>
    <w:bookmarkEnd w:id="148"/>
    <w:bookmarkStart w:name="z170" w:id="149"/>
    <w:p>
      <w:pPr>
        <w:spacing w:after="0"/>
        <w:ind w:left="0"/>
        <w:jc w:val="both"/>
      </w:pPr>
      <w:r>
        <w:rPr>
          <w:rFonts w:ascii="Times New Roman"/>
          <w:b w:val="false"/>
          <w:i w:val="false"/>
          <w:color w:val="000000"/>
          <w:sz w:val="28"/>
        </w:rPr>
        <w:t>
      Актуальным является вопрос повышения квалификации специалистов, задействованных при тушении пожаров. В перспективе требуется внедрение новых технологий тушения лесных пожаров, в том числе цифровой системы моделирования стратегий тушения лесных и степных пожаров. Также каждый государственный лесовладелец, отвечающий за сохранность лесов, должен иметь в составе своего лесоустроительного проекта схему противопожарного обустройства территории.</w:t>
      </w:r>
    </w:p>
    <w:bookmarkEnd w:id="149"/>
    <w:bookmarkStart w:name="z171" w:id="150"/>
    <w:p>
      <w:pPr>
        <w:spacing w:after="0"/>
        <w:ind w:left="0"/>
        <w:jc w:val="both"/>
      </w:pPr>
      <w:r>
        <w:rPr>
          <w:rFonts w:ascii="Times New Roman"/>
          <w:b w:val="false"/>
          <w:i w:val="false"/>
          <w:color w:val="000000"/>
          <w:sz w:val="28"/>
        </w:rPr>
        <w:t xml:space="preserve">
      Другим фактором, ухудшающим санитарное состояние лесного фонда, является увеличение площадей очагов опасных вредителей. </w:t>
      </w:r>
    </w:p>
    <w:bookmarkEnd w:id="150"/>
    <w:bookmarkStart w:name="z172" w:id="151"/>
    <w:p>
      <w:pPr>
        <w:spacing w:after="0"/>
        <w:ind w:left="0"/>
        <w:jc w:val="both"/>
      </w:pPr>
      <w:r>
        <w:rPr>
          <w:rFonts w:ascii="Times New Roman"/>
          <w:b w:val="false"/>
          <w:i w:val="false"/>
          <w:color w:val="000000"/>
          <w:sz w:val="28"/>
        </w:rPr>
        <w:t xml:space="preserve">
      Площадь особо опасных вредителей и болезней леса в государственном лесном фонде составляет 117,4 тысяч га, общая площадь очагов вредителей и болезней леса на 1 января 2025 года – 302 587 га. </w:t>
      </w:r>
    </w:p>
    <w:bookmarkEnd w:id="151"/>
    <w:bookmarkStart w:name="z173" w:id="152"/>
    <w:p>
      <w:pPr>
        <w:spacing w:after="0"/>
        <w:ind w:left="0"/>
        <w:jc w:val="both"/>
      </w:pPr>
      <w:r>
        <w:rPr>
          <w:rFonts w:ascii="Times New Roman"/>
          <w:b w:val="false"/>
          <w:i w:val="false"/>
          <w:color w:val="000000"/>
          <w:sz w:val="28"/>
        </w:rPr>
        <w:t>
      Основные очаги вредителей и болезней леса находятся в следующих областях: Акмолинской – 30 777 га, Северо-Казахстанской – 12 379,9 га, Алматинской – 7096,4 га, Жетысу- 20 020,8 га, Кызылординской – 81 699,06 га, Западно-Казахстанской – 3937,2 га, Восточно-Казахстанской – 119 369,9 га, Павлодарской – 17 197,2 га.</w:t>
      </w:r>
    </w:p>
    <w:bookmarkEnd w:id="152"/>
    <w:bookmarkStart w:name="z174" w:id="153"/>
    <w:p>
      <w:pPr>
        <w:spacing w:after="0"/>
        <w:ind w:left="0"/>
        <w:jc w:val="both"/>
      </w:pPr>
      <w:r>
        <w:rPr>
          <w:rFonts w:ascii="Times New Roman"/>
          <w:b w:val="false"/>
          <w:i w:val="false"/>
          <w:color w:val="000000"/>
          <w:sz w:val="28"/>
        </w:rPr>
        <w:t>
      После проведения лесозащитных мероприятий в 2023 году площадь очагов уменьшилась на 58,5 тыс. га.</w:t>
      </w:r>
    </w:p>
    <w:bookmarkEnd w:id="153"/>
    <w:bookmarkStart w:name="z175" w:id="154"/>
    <w:p>
      <w:pPr>
        <w:spacing w:after="0"/>
        <w:ind w:left="0"/>
        <w:jc w:val="both"/>
      </w:pPr>
      <w:r>
        <w:rPr>
          <w:rFonts w:ascii="Times New Roman"/>
          <w:b w:val="false"/>
          <w:i w:val="false"/>
          <w:color w:val="000000"/>
          <w:sz w:val="28"/>
        </w:rPr>
        <w:t>
      Наибольшее отрицательное воздействие на биологическое разнообразие в государственном лесном фонде оказывают:</w:t>
      </w:r>
    </w:p>
    <w:bookmarkEnd w:id="154"/>
    <w:bookmarkStart w:name="z176" w:id="155"/>
    <w:p>
      <w:pPr>
        <w:spacing w:after="0"/>
        <w:ind w:left="0"/>
        <w:jc w:val="both"/>
      </w:pPr>
      <w:r>
        <w:rPr>
          <w:rFonts w:ascii="Times New Roman"/>
          <w:b w:val="false"/>
          <w:i w:val="false"/>
          <w:color w:val="000000"/>
          <w:sz w:val="28"/>
        </w:rPr>
        <w:t xml:space="preserve">
      – нерегулируемый выпас скота; </w:t>
      </w:r>
    </w:p>
    <w:bookmarkEnd w:id="155"/>
    <w:bookmarkStart w:name="z177" w:id="156"/>
    <w:p>
      <w:pPr>
        <w:spacing w:after="0"/>
        <w:ind w:left="0"/>
        <w:jc w:val="both"/>
      </w:pPr>
      <w:r>
        <w:rPr>
          <w:rFonts w:ascii="Times New Roman"/>
          <w:b w:val="false"/>
          <w:i w:val="false"/>
          <w:color w:val="000000"/>
          <w:sz w:val="28"/>
        </w:rPr>
        <w:t>
      – незаконная заготовка, сбор лекарственных растений и технического сырья, дикорастущих плодов, орехов, грибов, ягод и других пищевых продуктов;</w:t>
      </w:r>
    </w:p>
    <w:bookmarkEnd w:id="156"/>
    <w:bookmarkStart w:name="z178" w:id="157"/>
    <w:p>
      <w:pPr>
        <w:spacing w:after="0"/>
        <w:ind w:left="0"/>
        <w:jc w:val="both"/>
      </w:pPr>
      <w:r>
        <w:rPr>
          <w:rFonts w:ascii="Times New Roman"/>
          <w:b w:val="false"/>
          <w:i w:val="false"/>
          <w:color w:val="000000"/>
          <w:sz w:val="28"/>
        </w:rPr>
        <w:t>
      – пользование участками государственного лесного фонда в оздоровительных, рекреационных, историко-культурных, туристских и спортивных целях.</w:t>
      </w:r>
    </w:p>
    <w:bookmarkEnd w:id="157"/>
    <w:bookmarkStart w:name="z179" w:id="158"/>
    <w:p>
      <w:pPr>
        <w:spacing w:after="0"/>
        <w:ind w:left="0"/>
        <w:jc w:val="both"/>
      </w:pPr>
      <w:r>
        <w:rPr>
          <w:rFonts w:ascii="Times New Roman"/>
          <w:b w:val="false"/>
          <w:i w:val="false"/>
          <w:color w:val="000000"/>
          <w:sz w:val="28"/>
        </w:rPr>
        <w:t xml:space="preserve">
      Из перечисленных негативных факторов наиболее распространенным является пастьба скота. Основной причиной роста и распространения указанного фактора по всей вероятности можно считать ежегодное увеличение (прирост) поголовья скота у сельских жителей. </w:t>
      </w:r>
    </w:p>
    <w:bookmarkEnd w:id="158"/>
    <w:bookmarkStart w:name="z180" w:id="159"/>
    <w:p>
      <w:pPr>
        <w:spacing w:after="0"/>
        <w:ind w:left="0"/>
        <w:jc w:val="both"/>
      </w:pPr>
      <w:r>
        <w:rPr>
          <w:rFonts w:ascii="Times New Roman"/>
          <w:b w:val="false"/>
          <w:i w:val="false"/>
          <w:color w:val="000000"/>
          <w:sz w:val="28"/>
        </w:rPr>
        <w:t>
      В государственном лесном фонде общая площадь пастбищных угодий составляет 4,4 млн га, из которых в 2023 году использовалось 1,3 млн га или 30 %. В ряде областей – Мангистауской, Северо-Казахстанской, Павлодарской, Атырауской, Актюбинской, Кызылординской и Западно-Казахстанской – пастбища используются в незначительных объемах. Значительно шире они используются в Алматинской, Жамбылской, Костанайской и Туркестанской областях, а также области Жетису.</w:t>
      </w:r>
    </w:p>
    <w:bookmarkEnd w:id="159"/>
    <w:bookmarkStart w:name="z181" w:id="160"/>
    <w:p>
      <w:pPr>
        <w:spacing w:after="0"/>
        <w:ind w:left="0"/>
        <w:jc w:val="both"/>
      </w:pPr>
      <w:r>
        <w:rPr>
          <w:rFonts w:ascii="Times New Roman"/>
          <w:b w:val="false"/>
          <w:i w:val="false"/>
          <w:color w:val="000000"/>
          <w:sz w:val="28"/>
        </w:rPr>
        <w:t xml:space="preserve">
      Основное требование для сохранения биоразнообразия пастбищ – это регулируемая и нормируемая пастьба скота на условиях платности. </w:t>
      </w:r>
    </w:p>
    <w:bookmarkEnd w:id="160"/>
    <w:bookmarkStart w:name="z182" w:id="161"/>
    <w:p>
      <w:pPr>
        <w:spacing w:after="0"/>
        <w:ind w:left="0"/>
        <w:jc w:val="both"/>
      </w:pPr>
      <w:r>
        <w:rPr>
          <w:rFonts w:ascii="Times New Roman"/>
          <w:b w:val="false"/>
          <w:i w:val="false"/>
          <w:color w:val="000000"/>
          <w:sz w:val="28"/>
        </w:rPr>
        <w:t>
      Сбор в лесу грибов, ягод, лекарственных растений населением большей частью представляет угрозу с точки зрения пожарной безопасности в лесах. Аналогичные риски характерны и для такого вида лесопользования, как пользование участками государственного лесного фонда в оздоровительных, рекреационных, историко-культурных, туристских и спортивных целях.</w:t>
      </w:r>
    </w:p>
    <w:bookmarkEnd w:id="161"/>
    <w:bookmarkStart w:name="z183" w:id="162"/>
    <w:p>
      <w:pPr>
        <w:spacing w:after="0"/>
        <w:ind w:left="0"/>
        <w:jc w:val="both"/>
      </w:pPr>
      <w:r>
        <w:rPr>
          <w:rFonts w:ascii="Times New Roman"/>
          <w:b w:val="false"/>
          <w:i w:val="false"/>
          <w:color w:val="000000"/>
          <w:sz w:val="28"/>
        </w:rPr>
        <w:t xml:space="preserve">
      Важным компонентом сохранности леса и его воспроизводства является разъяснительная работа среди населения, особенно молодежи. Лес будет расти вместе с этими людьми и может стать частью культурного наследия. </w:t>
      </w:r>
    </w:p>
    <w:bookmarkEnd w:id="162"/>
    <w:bookmarkStart w:name="z184" w:id="163"/>
    <w:p>
      <w:pPr>
        <w:spacing w:after="0"/>
        <w:ind w:left="0"/>
        <w:jc w:val="both"/>
      </w:pPr>
      <w:r>
        <w:rPr>
          <w:rFonts w:ascii="Times New Roman"/>
          <w:b w:val="false"/>
          <w:i w:val="false"/>
          <w:color w:val="000000"/>
          <w:sz w:val="28"/>
        </w:rPr>
        <w:t xml:space="preserve">
      Разъяснение лесоохранных мероприятий, климатических рисков и угроз может спасти тысячи гектар леса от пожаров и болезней, сохранит его природный туристский и лекарственный потенциал. </w:t>
      </w:r>
    </w:p>
    <w:bookmarkEnd w:id="163"/>
    <w:bookmarkStart w:name="z185" w:id="164"/>
    <w:p>
      <w:pPr>
        <w:spacing w:after="0"/>
        <w:ind w:left="0"/>
        <w:jc w:val="both"/>
      </w:pPr>
      <w:r>
        <w:rPr>
          <w:rFonts w:ascii="Times New Roman"/>
          <w:b w:val="false"/>
          <w:i w:val="false"/>
          <w:color w:val="000000"/>
          <w:sz w:val="28"/>
        </w:rPr>
        <w:t xml:space="preserve">
      Несмотря на свою малолесность, Республика Казахстан является одной из немногих государств в Азии, где на системной основе проводятся лесоустройство, государственный учет лесного фонда, лесной кадастр и мониторинг лесов. </w:t>
      </w:r>
    </w:p>
    <w:bookmarkEnd w:id="164"/>
    <w:bookmarkStart w:name="z186" w:id="165"/>
    <w:p>
      <w:pPr>
        <w:spacing w:after="0"/>
        <w:ind w:left="0"/>
        <w:jc w:val="both"/>
      </w:pPr>
      <w:r>
        <w:rPr>
          <w:rFonts w:ascii="Times New Roman"/>
          <w:b w:val="false"/>
          <w:i w:val="false"/>
          <w:color w:val="000000"/>
          <w:sz w:val="28"/>
        </w:rPr>
        <w:t xml:space="preserve">
      Основой для осуществления устойчивого лесопользования, следовательно и лесоуправления, а также лесной политики в сфере лесного хозяйства является актуальная информация о состоянии лесного фонда, а также лесных ресурсов. Основная ценность такой информации заключается в ее достоверности, поэтому с целью ее получения могут быть затрачены колоссальные средства на ее приобретение, начиная от космической съемки до геоинформационных систем, современной оргтехники, устойчивой интернет связи, а также данных дистанционного зондирования Земли. Все это необходимо для построения единой системы наблюдений, оценки и прогноза состояния и динамики лесного фонда. Поэтому основой ведения лесного хозяйства, устойчивого лесопользования и постоянного увеличения лесистости страны, как одного из ключевых принципов лесного законодательства, является внедрение цифровых технологий, начиная от программ для обработки информации, геоинформационных систем, геосервисов, где пользователями должны являться сами лесовладельцы и лесопользователи. </w:t>
      </w:r>
    </w:p>
    <w:bookmarkEnd w:id="165"/>
    <w:bookmarkStart w:name="z187" w:id="166"/>
    <w:p>
      <w:pPr>
        <w:spacing w:after="0"/>
        <w:ind w:left="0"/>
        <w:jc w:val="both"/>
      </w:pPr>
      <w:r>
        <w:rPr>
          <w:rFonts w:ascii="Times New Roman"/>
          <w:b w:val="false"/>
          <w:i w:val="false"/>
          <w:color w:val="000000"/>
          <w:sz w:val="28"/>
        </w:rPr>
        <w:t>
      В настоящее время предприятием в лесной отрасли, где процессы практически оцифрованы на 99 %, является лесоустроительное предприятие. Данные лесоутроительные предприятия используются не только предприятием, но и другими государственными органами, в том числе с использованием геосервисов, в основе которых лежат материалы лесоустройства. С 2021 года ведется мониторинг за посадкой 2 млрд деревьев на интерактивной карте, созданной по поручению Главы государства. Геосервис разработан предприятием совместно с акционерным обществом "Национальная компания "Қазақстан Ғарыш Сапары". Основным отличием этой программы является использование цифровых векторных карт лесоустройства в качестве основы для ведения мониторинга, а в качестве подложки используется цифровая космическая съемка. Геосервис доступен по ссылке https://orman.gharysh.kz.</w:t>
      </w:r>
    </w:p>
    <w:bookmarkEnd w:id="166"/>
    <w:bookmarkStart w:name="z188" w:id="167"/>
    <w:p>
      <w:pPr>
        <w:spacing w:after="0"/>
        <w:ind w:left="0"/>
        <w:jc w:val="both"/>
      </w:pPr>
      <w:r>
        <w:rPr>
          <w:rFonts w:ascii="Times New Roman"/>
          <w:b w:val="false"/>
          <w:i w:val="false"/>
          <w:color w:val="000000"/>
          <w:sz w:val="28"/>
        </w:rPr>
        <w:t xml:space="preserve">
      Работает геопортал Комитета лесного хозяйства и животного мира </w:t>
      </w:r>
      <w:r>
        <w:rPr>
          <w:rFonts w:ascii="Times New Roman"/>
          <w:b w:val="false"/>
          <w:i w:val="false"/>
          <w:color w:val="000000"/>
          <w:sz w:val="28"/>
          <w:u w:val="single"/>
        </w:rPr>
        <w:t>https://forest.gharysh.kz</w:t>
      </w:r>
      <w:r>
        <w:rPr>
          <w:rFonts w:ascii="Times New Roman"/>
          <w:b w:val="false"/>
          <w:i w:val="false"/>
          <w:color w:val="000000"/>
          <w:sz w:val="28"/>
        </w:rPr>
        <w:t xml:space="preserve">, посредством которого ведется космический мониторинг за лесными пожарами, незаконными рубками и незаконными постройками на государственном лесном фонде, в его основе также заложены цифровые векторные карты лесоустройства и атрибутивная информация из базы данных лесоустройства SOLI_N. Запущена интерактивная карта природных ресурсов https://tabigat.gov.kz, которая также использует в качестве основы материалы лесоустройства. Помимо этого материалы лесоустройства в цифровом виде используются Министерством по чрезвычайным ситуациям и Комитетом геологии Министерства промышленности и строительства Республики Казахстан. Именно поэтому необходимо наращивать темпы цифровизации лесной отрасти. Принятие Концепции должно стать своебразным испульсом в дальнейшей работе по сохранению и приумножению биологического разнообразия, неистощительного и бесперебойного лесопользования, основанное на неистощительности лесных ресурсов. </w:t>
      </w:r>
    </w:p>
    <w:bookmarkEnd w:id="167"/>
    <w:bookmarkStart w:name="z189"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Тенденции </w:t>
      </w:r>
    </w:p>
    <w:bookmarkEnd w:id="168"/>
    <w:bookmarkStart w:name="z190" w:id="169"/>
    <w:p>
      <w:pPr>
        <w:spacing w:after="0"/>
        <w:ind w:left="0"/>
        <w:jc w:val="both"/>
      </w:pPr>
      <w:r>
        <w:rPr>
          <w:rFonts w:ascii="Times New Roman"/>
          <w:b w:val="false"/>
          <w:i w:val="false"/>
          <w:color w:val="000000"/>
          <w:sz w:val="28"/>
        </w:rPr>
        <w:t>
      Главой государства поручено посадить на территории государственного лесного фонда 2 млрд деревьев. Во исполнение этого поручения акиматами областей утверждены по согласованию с МЭПР комплексные планы по воспроизводству лесов и лесоразведению на 2021 – 2027 годы. Согласно комплексным планам более 1,5 млрд деревьев высаживается силами местных исполнительных органов областей, 250 млн подведомственными организациями Комитета лесного хозяйства и животного мира МЭПР и 210 млн природопользователями и иными инициативными группами. За 2021 – 2024 годы всего высажено 1 млрд 150 млн деревьев, а в 2025 году планируется высадить 336,5 млн штук.</w:t>
      </w:r>
    </w:p>
    <w:bookmarkEnd w:id="169"/>
    <w:bookmarkStart w:name="z191" w:id="170"/>
    <w:p>
      <w:pPr>
        <w:spacing w:after="0"/>
        <w:ind w:left="0"/>
        <w:jc w:val="both"/>
      </w:pPr>
      <w:r>
        <w:rPr>
          <w:rFonts w:ascii="Times New Roman"/>
          <w:b w:val="false"/>
          <w:i w:val="false"/>
          <w:color w:val="000000"/>
          <w:sz w:val="28"/>
        </w:rPr>
        <w:t xml:space="preserve">
      Из положительно влияющих на сохранение биоразнообразия видов лесопользования нужно выделить размещение ульев и пасек в лесах и выращивание лесных плантаций. Пчелы играют ключевую роль в сохранении биоразнообразия, являясь одними из главных опылителей растений. Они не только способствуют размножению множества цветковых растений, но и обеспечивают устойчивость экосистем, поддерживая жизнь многих видов животных. Опыление пчелами способствует увеличению урожайности сельскохозяйственных культур и формированию природных сообществ. </w:t>
      </w:r>
    </w:p>
    <w:bookmarkEnd w:id="170"/>
    <w:bookmarkStart w:name="z192" w:id="171"/>
    <w:p>
      <w:pPr>
        <w:spacing w:after="0"/>
        <w:ind w:left="0"/>
        <w:jc w:val="both"/>
      </w:pPr>
      <w:r>
        <w:rPr>
          <w:rFonts w:ascii="Times New Roman"/>
          <w:b w:val="false"/>
          <w:i w:val="false"/>
          <w:color w:val="000000"/>
          <w:sz w:val="28"/>
        </w:rPr>
        <w:t xml:space="preserve">
      По данным на 2024 год под размещение пасек предоставлено около 6 тысяч га земель государственного лесного фонда для 85 долгосрочных и более 2000 краткосрочных лесопользователей. </w:t>
      </w:r>
    </w:p>
    <w:bookmarkEnd w:id="171"/>
    <w:bookmarkStart w:name="z193" w:id="172"/>
    <w:p>
      <w:pPr>
        <w:spacing w:after="0"/>
        <w:ind w:left="0"/>
        <w:jc w:val="both"/>
      </w:pPr>
      <w:r>
        <w:rPr>
          <w:rFonts w:ascii="Times New Roman"/>
          <w:b w:val="false"/>
          <w:i w:val="false"/>
          <w:color w:val="000000"/>
          <w:sz w:val="28"/>
        </w:rPr>
        <w:t>
      Особый приоритет направлен на реализацию лесных углеродных офсетов, правовая основа их реализации заложена в Казахстане в 2025 году.</w:t>
      </w:r>
    </w:p>
    <w:bookmarkEnd w:id="172"/>
    <w:bookmarkStart w:name="z194" w:id="173"/>
    <w:p>
      <w:pPr>
        <w:spacing w:after="0"/>
        <w:ind w:left="0"/>
        <w:jc w:val="both"/>
      </w:pPr>
      <w:r>
        <w:rPr>
          <w:rFonts w:ascii="Times New Roman"/>
          <w:b w:val="false"/>
          <w:i w:val="false"/>
          <w:color w:val="000000"/>
          <w:sz w:val="28"/>
        </w:rPr>
        <w:t>
      В составе земель государственного лесного фонда имеется достаточное количество не покрытых лесом земель, где возможно реализовывать лесные углеродные проекты, которые позволят увеличивать лесистость страны, объемы поглощения углекислого газа и выделения кислорода.</w:t>
      </w:r>
    </w:p>
    <w:bookmarkEnd w:id="173"/>
    <w:bookmarkStart w:name="z195" w:id="174"/>
    <w:p>
      <w:pPr>
        <w:spacing w:after="0"/>
        <w:ind w:left="0"/>
        <w:jc w:val="both"/>
      </w:pPr>
      <w:r>
        <w:rPr>
          <w:rFonts w:ascii="Times New Roman"/>
          <w:b/>
          <w:i w:val="false"/>
          <w:color w:val="000000"/>
          <w:sz w:val="28"/>
        </w:rPr>
        <w:t>2.3. Усовершенствование системы мониторинга, охраны и устойчивого использования животного мира</w:t>
      </w:r>
    </w:p>
    <w:bookmarkEnd w:id="174"/>
    <w:bookmarkStart w:name="z196" w:id="175"/>
    <w:p>
      <w:pPr>
        <w:spacing w:after="0"/>
        <w:ind w:left="0"/>
        <w:jc w:val="both"/>
      </w:pPr>
      <w:r>
        <w:rPr>
          <w:rFonts w:ascii="Times New Roman"/>
          <w:b w:val="false"/>
          <w:i w:val="false"/>
          <w:color w:val="000000"/>
          <w:sz w:val="28"/>
        </w:rPr>
        <w:t xml:space="preserve">
      </w:t>
      </w:r>
      <w:r>
        <w:rPr>
          <w:rFonts w:ascii="Times New Roman"/>
          <w:b w:val="false"/>
          <w:i/>
          <w:color w:val="000000"/>
          <w:sz w:val="28"/>
        </w:rPr>
        <w:t>Оценка ситуации</w:t>
      </w:r>
    </w:p>
    <w:bookmarkEnd w:id="175"/>
    <w:p>
      <w:pPr>
        <w:spacing w:after="0"/>
        <w:ind w:left="0"/>
        <w:jc w:val="both"/>
      </w:pPr>
      <w:bookmarkStart w:name="z197" w:id="176"/>
      <w:r>
        <w:rPr>
          <w:rFonts w:ascii="Times New Roman"/>
          <w:b w:val="false"/>
          <w:i w:val="false"/>
          <w:color w:val="000000"/>
          <w:sz w:val="28"/>
        </w:rPr>
        <w:t xml:space="preserve">
      Современная фауна Казахстана богата и недостаточно изучена. Она насчитывает не менее 80 000 видов беспозвоночных животных, в том числе не менее 60 000 видов насекомых. К настоящему времени относительно изучено лишь около 100 из 550 семейств насекомых, представленных в фауне Казахстана, и в целом выявлено не более 40 % видового состава. Для многих других классов беспозвоночных не существует даже предварительных списков видов, встречающихся на территории республики. Отметим, что ключевая роль беспозвоночных в экосистемах в общественном сознании и при принятии управленческих решений не дооценивается. В стране насчитывается порядка </w:t>
      </w:r>
    </w:p>
    <w:bookmarkEnd w:id="176"/>
    <w:p>
      <w:pPr>
        <w:spacing w:after="0"/>
        <w:ind w:left="0"/>
        <w:jc w:val="both"/>
      </w:pPr>
      <w:r>
        <w:rPr>
          <w:rFonts w:ascii="Times New Roman"/>
          <w:b w:val="false"/>
          <w:i w:val="false"/>
          <w:color w:val="000000"/>
          <w:sz w:val="28"/>
        </w:rPr>
        <w:t>890 видов позвоночных животных с различной степенью изученности и с различной степенью охраны или использования. В перечень редких и находящихся под угрозой исчезновения видов (Красную книгу) Казахстана занесено 128 видов и подвидов позвоночных и 96 видов беспозвоночных животных.</w:t>
      </w:r>
    </w:p>
    <w:bookmarkStart w:name="z198" w:id="177"/>
    <w:p>
      <w:pPr>
        <w:spacing w:after="0"/>
        <w:ind w:left="0"/>
        <w:jc w:val="both"/>
      </w:pPr>
      <w:r>
        <w:rPr>
          <w:rFonts w:ascii="Times New Roman"/>
          <w:b w:val="false"/>
          <w:i w:val="false"/>
          <w:color w:val="000000"/>
          <w:sz w:val="28"/>
        </w:rPr>
        <w:t>
      Казахстан имеет огромные пространства степных экосистем, уже практически уничтоженных в других странах Евразии, благодаря чему большая часть популяций степных видов, в том числе глобально угрожаемых, сохранилась именно здесь. Это такие виды, как сайгак, сурок-байбак, степная мышовка, ряд тушканчиков, из птиц – степной лунь, степной орел, кречетка, степная тиркушка, савка и ряд других.</w:t>
      </w:r>
    </w:p>
    <w:bookmarkEnd w:id="177"/>
    <w:bookmarkStart w:name="z199" w:id="178"/>
    <w:p>
      <w:pPr>
        <w:spacing w:after="0"/>
        <w:ind w:left="0"/>
        <w:jc w:val="both"/>
      </w:pPr>
      <w:r>
        <w:rPr>
          <w:rFonts w:ascii="Times New Roman"/>
          <w:b w:val="false"/>
          <w:i w:val="false"/>
          <w:color w:val="000000"/>
          <w:sz w:val="28"/>
        </w:rPr>
        <w:t>
      В стране проходит два важнейших миграционных пути – Западно-Сибирско-Африканский и Центральноазиатско-Индийский, по которым ежегодно пролетают миллионы птиц; 127 признанных ключевых орнитологических территорий международного значения (IBA) подтверждают глобальное значение Казахстана для сохранения птиц.</w:t>
      </w:r>
    </w:p>
    <w:bookmarkEnd w:id="178"/>
    <w:bookmarkStart w:name="z200" w:id="179"/>
    <w:p>
      <w:pPr>
        <w:spacing w:after="0"/>
        <w:ind w:left="0"/>
        <w:jc w:val="both"/>
      </w:pPr>
      <w:r>
        <w:rPr>
          <w:rFonts w:ascii="Times New Roman"/>
          <w:b w:val="false"/>
          <w:i w:val="false"/>
          <w:color w:val="000000"/>
          <w:sz w:val="28"/>
        </w:rPr>
        <w:t xml:space="preserve">
      Животный мир, помимо ключевой роли в экосистемах, обеспечивает ряд потребностей населения страны, представляя собой также эстетическую и экономическую (охотничье хозяйство) ценность. Кроме этого, он является важным генетическим ресурсом для возможной селекционной работы. Из диких предков домашних животных в стране обитают муфлон, пять подвидов горного барана или архара, кабан, кулан, шакал, волк, пятнистая кошка и ряд других. Среди птиц – это, прежде всего, представители отрядов гусеобразных и курообразных. </w:t>
      </w:r>
    </w:p>
    <w:bookmarkEnd w:id="179"/>
    <w:bookmarkStart w:name="z201" w:id="180"/>
    <w:p>
      <w:pPr>
        <w:spacing w:after="0"/>
        <w:ind w:left="0"/>
        <w:jc w:val="both"/>
      </w:pPr>
      <w:r>
        <w:rPr>
          <w:rFonts w:ascii="Times New Roman"/>
          <w:b w:val="false"/>
          <w:i w:val="false"/>
          <w:color w:val="000000"/>
          <w:sz w:val="28"/>
        </w:rPr>
        <w:t xml:space="preserve">
      Благодаря усилиям, предпринимаемым государством при поддержке неправительственного (экологическое просвещение, научные исследования, охотничье хозяйство) и корпоративного (финансовая поддержка природоохранных мероприятий) сектора стабилизирована или устойчиво растет численность ряда редких и охотничьих видов – снежного барса, архара, уриала, джейрана, горного козла, марала, реинтродуцированного тугайного оленя. Восстановление исчезнувшего кулана до численности более 4 тысяч особей и почти исчезнувшего к началу века сайгака до 3,9 млн особей является уникальным достижением мирового уровня. В Казахстане начат проект по возвращению тигра в исторический ареал: начался процесс реинтродукции в Прибалхашье. Программа ориентирована на формирование самоподдерживающейся группировки через разведение и выпуск, сопровождается восстановлением тугайных местообитаний и кормовой базы, усилением охраны, внедрением систем мониторинга и профилактикой конфликтов "человек–хищник" в партнерстве с национальными и международными организациями. Идет активная работа по сохранению каспийского тюленя – ведется постоянный мониторинг, создан реабилитационный центр, проектируется ООПТ, действуют специальные правила судоходства. </w:t>
      </w:r>
    </w:p>
    <w:bookmarkEnd w:id="180"/>
    <w:bookmarkStart w:name="z202" w:id="181"/>
    <w:p>
      <w:pPr>
        <w:spacing w:after="0"/>
        <w:ind w:left="0"/>
        <w:jc w:val="both"/>
      </w:pPr>
      <w:r>
        <w:rPr>
          <w:rFonts w:ascii="Times New Roman"/>
          <w:b w:val="false"/>
          <w:i w:val="false"/>
          <w:color w:val="000000"/>
          <w:sz w:val="28"/>
        </w:rPr>
        <w:t>
      Активно развивается международное сотрудничество. В рамках Конвенции по сохранению мигрирующих видов диких животных (Боннская конвенция) Казахстан является подписантом ряда документов по отдельным видам: "Меморандум о взаимопонимании относительно сохранения, восстановления и устойчивого использования антилопы сайги (</w:t>
      </w:r>
      <w:r>
        <w:rPr>
          <w:rFonts w:ascii="Times New Roman"/>
          <w:b w:val="false"/>
          <w:i/>
          <w:color w:val="000000"/>
          <w:sz w:val="28"/>
        </w:rPr>
        <w:t>Saiga</w:t>
      </w:r>
      <w:r>
        <w:rPr>
          <w:rFonts w:ascii="Times New Roman"/>
          <w:b w:val="false"/>
          <w:i w:val="false"/>
          <w:color w:val="000000"/>
          <w:sz w:val="28"/>
        </w:rPr>
        <w:t xml:space="preserve"> </w:t>
      </w:r>
      <w:r>
        <w:rPr>
          <w:rFonts w:ascii="Times New Roman"/>
          <w:b w:val="false"/>
          <w:i/>
          <w:color w:val="000000"/>
          <w:sz w:val="28"/>
        </w:rPr>
        <w:t>tatarica</w:t>
      </w:r>
      <w:r>
        <w:rPr>
          <w:rFonts w:ascii="Times New Roman"/>
          <w:b w:val="false"/>
          <w:i w:val="false"/>
          <w:color w:val="000000"/>
          <w:sz w:val="28"/>
        </w:rPr>
        <w:t xml:space="preserve"> </w:t>
      </w:r>
      <w:r>
        <w:rPr>
          <w:rFonts w:ascii="Times New Roman"/>
          <w:b w:val="false"/>
          <w:i/>
          <w:color w:val="000000"/>
          <w:sz w:val="28"/>
        </w:rPr>
        <w:t>tatarica</w:t>
      </w:r>
      <w:r>
        <w:rPr>
          <w:rFonts w:ascii="Times New Roman"/>
          <w:b w:val="false"/>
          <w:i w:val="false"/>
          <w:color w:val="000000"/>
          <w:sz w:val="28"/>
        </w:rPr>
        <w:t>)", "Меморандум о взаимопонимании относительно сохранения и восстановления бухарского оленя (</w:t>
      </w:r>
      <w:r>
        <w:rPr>
          <w:rFonts w:ascii="Times New Roman"/>
          <w:b w:val="false"/>
          <w:i/>
          <w:color w:val="000000"/>
          <w:sz w:val="28"/>
        </w:rPr>
        <w:t>Cervus</w:t>
      </w:r>
      <w:r>
        <w:rPr>
          <w:rFonts w:ascii="Times New Roman"/>
          <w:b w:val="false"/>
          <w:i w:val="false"/>
          <w:color w:val="000000"/>
          <w:sz w:val="28"/>
        </w:rPr>
        <w:t xml:space="preserve"> </w:t>
      </w:r>
      <w:r>
        <w:rPr>
          <w:rFonts w:ascii="Times New Roman"/>
          <w:b w:val="false"/>
          <w:i/>
          <w:color w:val="000000"/>
          <w:sz w:val="28"/>
        </w:rPr>
        <w:t>elaphus</w:t>
      </w:r>
      <w:r>
        <w:rPr>
          <w:rFonts w:ascii="Times New Roman"/>
          <w:b w:val="false"/>
          <w:i w:val="false"/>
          <w:color w:val="000000"/>
          <w:sz w:val="28"/>
        </w:rPr>
        <w:t xml:space="preserve"> </w:t>
      </w:r>
      <w:r>
        <w:rPr>
          <w:rFonts w:ascii="Times New Roman"/>
          <w:b w:val="false"/>
          <w:i/>
          <w:color w:val="000000"/>
          <w:sz w:val="28"/>
        </w:rPr>
        <w:t>bactrianus</w:t>
      </w:r>
      <w:r>
        <w:rPr>
          <w:rFonts w:ascii="Times New Roman"/>
          <w:b w:val="false"/>
          <w:i w:val="false"/>
          <w:color w:val="000000"/>
          <w:sz w:val="28"/>
        </w:rPr>
        <w:t>)", "Меморандум о взаимопонимании по сохранению мигрирующих хищных птиц в Африке и Евразии", "Меморандум о взаимопонимании относительно мер по сохранению стерха (</w:t>
      </w:r>
      <w:r>
        <w:rPr>
          <w:rFonts w:ascii="Times New Roman"/>
          <w:b w:val="false"/>
          <w:i/>
          <w:color w:val="000000"/>
          <w:sz w:val="28"/>
        </w:rPr>
        <w:t>Grus</w:t>
      </w:r>
      <w:r>
        <w:rPr>
          <w:rFonts w:ascii="Times New Roman"/>
          <w:b w:val="false"/>
          <w:i w:val="false"/>
          <w:color w:val="000000"/>
          <w:sz w:val="28"/>
        </w:rPr>
        <w:t xml:space="preserve"> </w:t>
      </w:r>
      <w:r>
        <w:rPr>
          <w:rFonts w:ascii="Times New Roman"/>
          <w:b w:val="false"/>
          <w:i/>
          <w:color w:val="000000"/>
          <w:sz w:val="28"/>
        </w:rPr>
        <w:t>leucogeranus</w:t>
      </w:r>
      <w:r>
        <w:rPr>
          <w:rFonts w:ascii="Times New Roman"/>
          <w:b w:val="false"/>
          <w:i w:val="false"/>
          <w:color w:val="000000"/>
          <w:sz w:val="28"/>
        </w:rPr>
        <w:t xml:space="preserve">)", "Меморандум о взаимопонимании относительно мер для сохранения тонкоклювого кроншнепа, </w:t>
      </w:r>
      <w:r>
        <w:rPr>
          <w:rFonts w:ascii="Times New Roman"/>
          <w:b w:val="false"/>
          <w:i/>
          <w:color w:val="000000"/>
          <w:sz w:val="28"/>
        </w:rPr>
        <w:t>Numenius</w:t>
      </w:r>
      <w:r>
        <w:rPr>
          <w:rFonts w:ascii="Times New Roman"/>
          <w:b w:val="false"/>
          <w:i w:val="false"/>
          <w:color w:val="000000"/>
          <w:sz w:val="28"/>
        </w:rPr>
        <w:t xml:space="preserve"> </w:t>
      </w:r>
      <w:r>
        <w:rPr>
          <w:rFonts w:ascii="Times New Roman"/>
          <w:b w:val="false"/>
          <w:i/>
          <w:color w:val="000000"/>
          <w:sz w:val="28"/>
        </w:rPr>
        <w:t>tenuirostris</w:t>
      </w:r>
      <w:r>
        <w:rPr>
          <w:rFonts w:ascii="Times New Roman"/>
          <w:b w:val="false"/>
          <w:i w:val="false"/>
          <w:color w:val="000000"/>
          <w:sz w:val="28"/>
        </w:rPr>
        <w:t>", а также участником "Международного плана действий для сохранения аргали (</w:t>
      </w:r>
      <w:r>
        <w:rPr>
          <w:rFonts w:ascii="Times New Roman"/>
          <w:b w:val="false"/>
          <w:i/>
          <w:color w:val="000000"/>
          <w:sz w:val="28"/>
        </w:rPr>
        <w:t>Ovis</w:t>
      </w:r>
      <w:r>
        <w:rPr>
          <w:rFonts w:ascii="Times New Roman"/>
          <w:b w:val="false"/>
          <w:i w:val="false"/>
          <w:color w:val="000000"/>
          <w:sz w:val="28"/>
        </w:rPr>
        <w:t xml:space="preserve"> </w:t>
      </w:r>
      <w:r>
        <w:rPr>
          <w:rFonts w:ascii="Times New Roman"/>
          <w:b w:val="false"/>
          <w:i/>
          <w:color w:val="000000"/>
          <w:sz w:val="28"/>
        </w:rPr>
        <w:t>ammon</w:t>
      </w:r>
      <w:r>
        <w:rPr>
          <w:rFonts w:ascii="Times New Roman"/>
          <w:b w:val="false"/>
          <w:i w:val="false"/>
          <w:color w:val="000000"/>
          <w:sz w:val="28"/>
        </w:rPr>
        <w:t>)" под эгидой Центральноазиатской инициативы по сохранению млекопитающих</w:t>
      </w:r>
      <w:r>
        <w:rPr>
          <w:rFonts w:ascii="Times New Roman"/>
          <w:b/>
          <w:i w:val="false"/>
          <w:color w:val="000000"/>
          <w:sz w:val="28"/>
        </w:rPr>
        <w:t xml:space="preserve">. </w:t>
      </w:r>
    </w:p>
    <w:bookmarkEnd w:id="181"/>
    <w:bookmarkStart w:name="z203" w:id="182"/>
    <w:p>
      <w:pPr>
        <w:spacing w:after="0"/>
        <w:ind w:left="0"/>
        <w:jc w:val="both"/>
      </w:pPr>
      <w:r>
        <w:rPr>
          <w:rFonts w:ascii="Times New Roman"/>
          <w:b w:val="false"/>
          <w:i w:val="false"/>
          <w:color w:val="000000"/>
          <w:sz w:val="28"/>
        </w:rPr>
        <w:t xml:space="preserve">
      Сохранение животного мира со стороны государства ведется территориальными подразделениями уполномоченного органа (областные территориальные инспекции лесного хозяйства и животного мира Комитета лесного хозяйства и животного мира МЭПР), инспекторами ООПТ республиканского и местного значения, специализированным предприятием республиканское государственное казенное предприятие "ПО Охотзоопром" Комитета лесного хозяйства и животного мира МЭПР , структурами Комитета рыбного хозяйства Министерства сельского хозяйства Республики Казахстан, а также областными управлениями природных ресурсов и регулирования природопользования, в подчинении которых находятся государственные учреждения по охране лесов и животного мира, обладающее штатом охраны, в задачи которого входит управление животным миром на территории государственного лесного фонда. </w:t>
      </w:r>
    </w:p>
    <w:bookmarkEnd w:id="182"/>
    <w:bookmarkStart w:name="z204" w:id="183"/>
    <w:p>
      <w:pPr>
        <w:spacing w:after="0"/>
        <w:ind w:left="0"/>
        <w:jc w:val="both"/>
      </w:pPr>
      <w:r>
        <w:rPr>
          <w:rFonts w:ascii="Times New Roman"/>
          <w:b w:val="false"/>
          <w:i w:val="false"/>
          <w:color w:val="000000"/>
          <w:sz w:val="28"/>
        </w:rPr>
        <w:t xml:space="preserve">
      Значительный вклад в сохранение животного мира вносят охотничьи хозяйства, занимающие около 100,1 млн га, или 36,7 % территории страны. </w:t>
      </w:r>
    </w:p>
    <w:bookmarkEnd w:id="183"/>
    <w:bookmarkStart w:name="z205" w:id="184"/>
    <w:p>
      <w:pPr>
        <w:spacing w:after="0"/>
        <w:ind w:left="0"/>
        <w:jc w:val="both"/>
      </w:pPr>
      <w:r>
        <w:rPr>
          <w:rFonts w:ascii="Times New Roman"/>
          <w:b w:val="false"/>
          <w:i w:val="false"/>
          <w:color w:val="000000"/>
          <w:sz w:val="28"/>
        </w:rPr>
        <w:t xml:space="preserve">
      В настоящее время за охотпользователями закреплено 735 охотхозяйств, в штате которых состоит более 2000 егерей. На них возложена основная роль в обеспечении сохранения и рационального использования охотничьих видов, а также редких видов в закрепленных за ними угодьях. Охота в незакрепленных угодьях и ООПТ запрещена. </w:t>
      </w:r>
    </w:p>
    <w:bookmarkEnd w:id="184"/>
    <w:bookmarkStart w:name="z206" w:id="185"/>
    <w:p>
      <w:pPr>
        <w:spacing w:after="0"/>
        <w:ind w:left="0"/>
        <w:jc w:val="both"/>
      </w:pPr>
      <w:r>
        <w:rPr>
          <w:rFonts w:ascii="Times New Roman"/>
          <w:b w:val="false"/>
          <w:i w:val="false"/>
          <w:color w:val="000000"/>
          <w:sz w:val="28"/>
        </w:rPr>
        <w:t xml:space="preserve">
      Законодательство в области сохранения, восстановления и рационального использования животного мира в целом достаточно развито и проработано, но при этом нуждается в улучшении по ряду направлений в части развития охотничьего хозяйства, управления видами, экологической оценки. </w:t>
      </w:r>
    </w:p>
    <w:bookmarkEnd w:id="185"/>
    <w:bookmarkStart w:name="z207" w:id="18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проблемы</w:t>
      </w:r>
    </w:p>
    <w:bookmarkEnd w:id="186"/>
    <w:bookmarkStart w:name="z208" w:id="187"/>
    <w:p>
      <w:pPr>
        <w:spacing w:after="0"/>
        <w:ind w:left="0"/>
        <w:jc w:val="both"/>
      </w:pPr>
      <w:r>
        <w:rPr>
          <w:rFonts w:ascii="Times New Roman"/>
          <w:b w:val="false"/>
          <w:i w:val="false"/>
          <w:color w:val="000000"/>
          <w:sz w:val="28"/>
        </w:rPr>
        <w:t xml:space="preserve">
      Практика размещения инфраструктурных и аграрных проектов в Казахстане пока не учитывает в полной мере биологическую ценность территорий, что создает повышенные риски для популяции диких животных и экосистем. Необходимо проведение пространственного зонирования территорий по уровням экологических рисков. Для оценки и предотвращения воздействия на фауну на ранних стадиях проектирования и территориального планирования требуется разработка цифровых карт, указывающих зоны с высоким риском для птиц вблизи линий электропередачи, ареалы миграций копытных животных, места обитания редких и уязвимых видов. </w:t>
      </w:r>
    </w:p>
    <w:bookmarkEnd w:id="187"/>
    <w:bookmarkStart w:name="z209" w:id="188"/>
    <w:p>
      <w:pPr>
        <w:spacing w:after="0"/>
        <w:ind w:left="0"/>
        <w:jc w:val="both"/>
      </w:pPr>
      <w:r>
        <w:rPr>
          <w:rFonts w:ascii="Times New Roman"/>
          <w:b w:val="false"/>
          <w:i w:val="false"/>
          <w:color w:val="000000"/>
          <w:sz w:val="28"/>
        </w:rPr>
        <w:t>
      Одной из наиболее острых нерешенных проблем остается массовая гибель птиц на воздушных линиях электропередачи, особенно в регионах с высокой орнитофауной. Причина кроется в отсутствии нормативно-технических требований к проектированию ЛЭП с учетом биологических рисков. Аналогичная ситуация наблюдается в транспортном и энергетическом секторах, где развитие инфраструктуры часто приводит к фрагментации ареалов обитания животных и блокированию традиционных миграционных маршрутов. Это происходит ввиду отсутствия обязательных проектных решений, таких как экодуки, переходы для диких животных, буферные и защитные зоны.</w:t>
      </w:r>
    </w:p>
    <w:bookmarkEnd w:id="188"/>
    <w:bookmarkStart w:name="z210" w:id="189"/>
    <w:p>
      <w:pPr>
        <w:spacing w:after="0"/>
        <w:ind w:left="0"/>
        <w:jc w:val="both"/>
      </w:pPr>
      <w:r>
        <w:rPr>
          <w:rFonts w:ascii="Times New Roman"/>
          <w:b w:val="false"/>
          <w:i w:val="false"/>
          <w:color w:val="000000"/>
          <w:sz w:val="28"/>
        </w:rPr>
        <w:t>
      Процедуры оценки воздействия на окружающую среду, включая ОВОС и СЭО, на практике слабо интегрируют биоразнообразие как полноценный компонент анализа. В методических документах отсутствуют четко установленные критерии для оценки потерь фауны, механизмы расчета и реализации компенсационных мер, а также научно обоснованные индикаторы, фиксирующие изменение состояния популяций животных под воздействием хозяйственной деятельности, что ограничивает возможности по принятию сбалансированных решений. Кроме того, действующие стандарты экологической отчетности предприятий не содержат требований к раскрытию информации о воздействии на животный мир, что препятствует формированию ответственности бизнеса в вопросах охраны фауны и восстановительных мероприятий.</w:t>
      </w:r>
    </w:p>
    <w:bookmarkEnd w:id="189"/>
    <w:bookmarkStart w:name="z211" w:id="190"/>
    <w:p>
      <w:pPr>
        <w:spacing w:after="0"/>
        <w:ind w:left="0"/>
        <w:jc w:val="both"/>
      </w:pPr>
      <w:r>
        <w:rPr>
          <w:rFonts w:ascii="Times New Roman"/>
          <w:b w:val="false"/>
          <w:i w:val="false"/>
          <w:color w:val="000000"/>
          <w:sz w:val="28"/>
        </w:rPr>
        <w:t xml:space="preserve">
      Отдельную проблему представляет агропромышленный сектор, в котором практически не используются подходы к согласованию сельскохозяйственного освоения с мерами по охране природных комплексов. </w:t>
      </w:r>
    </w:p>
    <w:bookmarkEnd w:id="190"/>
    <w:bookmarkStart w:name="z212" w:id="191"/>
    <w:p>
      <w:pPr>
        <w:spacing w:after="0"/>
        <w:ind w:left="0"/>
        <w:jc w:val="both"/>
      </w:pPr>
      <w:r>
        <w:rPr>
          <w:rFonts w:ascii="Times New Roman"/>
          <w:b w:val="false"/>
          <w:i w:val="false"/>
          <w:color w:val="000000"/>
          <w:sz w:val="28"/>
        </w:rPr>
        <w:t>
      Особенно это заметно в регионах с высокой пастбищной нагрузкой, где все чаще фиксируются конфликты между интересами сельского хозяйства и сохранением местообитаний диких животных. Ограниченное применение пространственного анализа и экологических критериев при расширении сельхозугодий создает риски вытеснения диких животных и деградации кормовой базы.</w:t>
      </w:r>
    </w:p>
    <w:bookmarkEnd w:id="191"/>
    <w:bookmarkStart w:name="z213" w:id="192"/>
    <w:p>
      <w:pPr>
        <w:spacing w:after="0"/>
        <w:ind w:left="0"/>
        <w:jc w:val="both"/>
      </w:pPr>
      <w:r>
        <w:rPr>
          <w:rFonts w:ascii="Times New Roman"/>
          <w:b w:val="false"/>
          <w:i w:val="false"/>
          <w:color w:val="000000"/>
          <w:sz w:val="28"/>
        </w:rPr>
        <w:t>
      Система управления животным миром в Казахстане продолжает развиваться, однако сохраняет элементы фрагментарности и требует институционального укрепления. Данные о состоянии и распределении фауны пока не в полной мере интегрированы в процедуры стратегического и территориального планирования, включая СЭО, ОВОС и государственную экологическую экспертизу. Формирование единой информационной базы и ее использование в процессах принятия решений позволят повысить качество управления и обеспечат баланс между хозяйственным развитием и сохранением биоразнообразия. Вместе с тем информацию о видах можно получить на информационном портале https://zooldata.kz/.</w:t>
      </w:r>
    </w:p>
    <w:bookmarkEnd w:id="192"/>
    <w:bookmarkStart w:name="z214" w:id="193"/>
    <w:p>
      <w:pPr>
        <w:spacing w:after="0"/>
        <w:ind w:left="0"/>
        <w:jc w:val="both"/>
      </w:pPr>
      <w:r>
        <w:rPr>
          <w:rFonts w:ascii="Times New Roman"/>
          <w:b w:val="false"/>
          <w:i w:val="false"/>
          <w:color w:val="000000"/>
          <w:sz w:val="28"/>
        </w:rPr>
        <w:t>
      Нормативная база не содержит методик оценки воздействия на животный мир, не определены обязательные к исполнению компенсационные меры, а цифровые инструменты пространственного анализа рисков не применяются системно. В этой связи требуется разработка единой системы индикаторов, позволяющей отслеживать изменения численности и состояния популяций животных под влиянием антропогенной нагрузки для усиления мониторинга и принятия своевременных природоохранных решений. Принципы постмониторинга и контроля за реализацией проектных обязательств по охране фауны должны быть закреплены как обязательные элементы проектных и инвестиционных циклов.</w:t>
      </w:r>
    </w:p>
    <w:bookmarkEnd w:id="193"/>
    <w:bookmarkStart w:name="z215" w:id="194"/>
    <w:p>
      <w:pPr>
        <w:spacing w:after="0"/>
        <w:ind w:left="0"/>
        <w:jc w:val="both"/>
      </w:pPr>
      <w:r>
        <w:rPr>
          <w:rFonts w:ascii="Times New Roman"/>
          <w:b w:val="false"/>
          <w:i w:val="false"/>
          <w:color w:val="000000"/>
          <w:sz w:val="28"/>
        </w:rPr>
        <w:t xml:space="preserve">
      Антропогенная нагрузка, обусловленная развитием ключевых отраслей экономики и инфраструктуры, приводит к трансформациям экосистем и их фрагментации. Это требует особого внимания для сохранения целостности ареалов и обеспечения устойчивости популяций. Эти угрозы усугубляются изменением климата, которое приводит к смещению природно-климатических зон, изменению растительности, нарушению кормовой базы, условий миграций и зимовки животных. Несмотря на существующие меры, вопросы сохранения животного мира пока не в полной мере интегрированы в стратегические экологические оценки, документы государственного планирования и градостроительные нормативы. </w:t>
      </w:r>
    </w:p>
    <w:bookmarkEnd w:id="194"/>
    <w:bookmarkStart w:name="z216" w:id="195"/>
    <w:p>
      <w:pPr>
        <w:spacing w:after="0"/>
        <w:ind w:left="0"/>
        <w:jc w:val="both"/>
      </w:pPr>
      <w:r>
        <w:rPr>
          <w:rFonts w:ascii="Times New Roman"/>
          <w:b w:val="false"/>
          <w:i w:val="false"/>
          <w:color w:val="000000"/>
          <w:sz w:val="28"/>
        </w:rPr>
        <w:t>
      Существующая система охраны животного мира требует комплексной трансформации, направленной на нормативное закрепление оценки и компенсации ущерба, внедрение цифровых инструментов пространственного анализа, интеграцию биоразнообразия в процедуры проектирования и стратегического планирования, а также формирование прозрачной и достоверной системы мониторинга и отчетности.</w:t>
      </w:r>
    </w:p>
    <w:bookmarkEnd w:id="195"/>
    <w:bookmarkStart w:name="z217" w:id="196"/>
    <w:p>
      <w:pPr>
        <w:spacing w:after="0"/>
        <w:ind w:left="0"/>
        <w:jc w:val="both"/>
      </w:pPr>
      <w:r>
        <w:rPr>
          <w:rFonts w:ascii="Times New Roman"/>
          <w:b w:val="false"/>
          <w:i w:val="false"/>
          <w:color w:val="000000"/>
          <w:sz w:val="28"/>
        </w:rPr>
        <w:t>
      Отсутствие стратегического (долгосрочного) планирования действий по отдельным видам ведет к нерациональному использованию ресурсов. Признанный международный инструмент – План действий по отдельным видам – пока отсутствует в законодательстве, в результате существующие документы реализуются точечно и не обеспечивают должной устойчивости мер.</w:t>
      </w:r>
    </w:p>
    <w:bookmarkEnd w:id="196"/>
    <w:bookmarkStart w:name="z218" w:id="197"/>
    <w:p>
      <w:pPr>
        <w:spacing w:after="0"/>
        <w:ind w:left="0"/>
        <w:jc w:val="both"/>
      </w:pPr>
      <w:r>
        <w:rPr>
          <w:rFonts w:ascii="Times New Roman"/>
          <w:b w:val="false"/>
          <w:i w:val="false"/>
          <w:color w:val="000000"/>
          <w:sz w:val="28"/>
        </w:rPr>
        <w:t xml:space="preserve">
      В целом при успешной работе по восстановлению популяций редких видов копытных и снежного барса необходимы дополнительные усилия по обеспечению устойчивости видов путем создания новых группировок. </w:t>
      </w:r>
    </w:p>
    <w:bookmarkEnd w:id="197"/>
    <w:bookmarkStart w:name="z219" w:id="198"/>
    <w:p>
      <w:pPr>
        <w:spacing w:after="0"/>
        <w:ind w:left="0"/>
        <w:jc w:val="both"/>
      </w:pPr>
      <w:r>
        <w:rPr>
          <w:rFonts w:ascii="Times New Roman"/>
          <w:b w:val="false"/>
          <w:i w:val="false"/>
          <w:color w:val="000000"/>
          <w:sz w:val="28"/>
        </w:rPr>
        <w:t xml:space="preserve">
      Казахстан является участником Конвенции о международной торговле видами дикой фауны и флоры, находящимися под угрозой исчезновения (далее – СИТЕС), но для полноценного ее исполнения требуется дальнейшее повышение квалификации таможенных, пограничных, полицейских служб в этих вопросах. Особого внимания требуют ловчие хищные птицы: для восстановления балобана уже необходимы работы по реинтродукции, беркуты (и другие орлы) зачастую незаконно изымаются из природы для национальной охоты и/или фотографирования с ними, отсутствуют центры для реабилитации конфискованных или раненых хищных птиц. </w:t>
      </w:r>
    </w:p>
    <w:bookmarkEnd w:id="198"/>
    <w:bookmarkStart w:name="z220" w:id="199"/>
    <w:p>
      <w:pPr>
        <w:spacing w:after="0"/>
        <w:ind w:left="0"/>
        <w:jc w:val="both"/>
      </w:pPr>
      <w:r>
        <w:rPr>
          <w:rFonts w:ascii="Times New Roman"/>
          <w:b w:val="false"/>
          <w:i w:val="false"/>
          <w:color w:val="000000"/>
          <w:sz w:val="28"/>
        </w:rPr>
        <w:t xml:space="preserve">
      В стране существует целый ряд инвазивных видов животных, при этом отсутствует оценка их влияния на экосистемы, мониторинг и при необходимости меры по регулированию их численности. </w:t>
      </w:r>
    </w:p>
    <w:bookmarkEnd w:id="199"/>
    <w:bookmarkStart w:name="z221" w:id="200"/>
    <w:p>
      <w:pPr>
        <w:spacing w:after="0"/>
        <w:ind w:left="0"/>
        <w:jc w:val="both"/>
      </w:pPr>
      <w:r>
        <w:rPr>
          <w:rFonts w:ascii="Times New Roman"/>
          <w:b w:val="false"/>
          <w:i w:val="false"/>
          <w:color w:val="000000"/>
          <w:sz w:val="28"/>
        </w:rPr>
        <w:t>
      По животному миру в целом есть вопросы для дальнейшего усовершенствования системы охраны, вызванные в том числе сокращением штатов областных территориальных инспекций Комитета лесного хозяйства и животного мира МЭПР, недостатком квалификации и оснащенности инспекторов ООПТ и государственных учреждений по охране лесов и животного мира. Наблюдается положительная тенденция в последние 3 года после повышения заработной платы в отрасли. Для дальнейшего улучшения оснащения необходимо продолжать внедрение и расширение использования современных методов мониторинга и выявления браконьерства, методик контроля эффективности работы инспекторов. Система SMART патрулирования уже была успешно апробирована в двенадцати особо-охраняемых природных территориях. Необходимы также повышение квалификации егерской службы охотничьих хозяйств, решение проблемы с направлением части взысканных по искам сумм на премирование инспекторов в качестве повышения мотивации для задержания нарушителей. </w:t>
      </w:r>
    </w:p>
    <w:bookmarkEnd w:id="200"/>
    <w:bookmarkStart w:name="z222" w:id="201"/>
    <w:p>
      <w:pPr>
        <w:spacing w:after="0"/>
        <w:ind w:left="0"/>
        <w:jc w:val="both"/>
      </w:pPr>
      <w:r>
        <w:rPr>
          <w:rFonts w:ascii="Times New Roman"/>
          <w:b w:val="false"/>
          <w:i w:val="false"/>
          <w:color w:val="000000"/>
          <w:sz w:val="28"/>
        </w:rPr>
        <w:t xml:space="preserve">
      На субъекты охотничьего хозяйства возложены обязанности по охране и воспроизводству животного мира. В то же время текущее законодательство имеет ограничения в правах охотпользователей, имеются барьеры для ведения устойчивого бизнеса в этой хозяйственной сфере. В республике экономические показатели охотхозяйственной деятельности как таковой в целом невысокие, и в большинстве случаев по оценкам охотничьих ассоциаций охотхозяйства покрывают операционные расходы из дополнительных источников (членские взносы, вклады владельцев и т.п.). Перспективным направлением для поддержки охотпользователей будет дичеразведение, при этом частично снимающее нагрузку с природных популяций охотничьих видов и позволяющее вносить вклад в восстановление редких видов. Для развития данного направления необходимо будет определить форму регулирования в законодательных нормах, в том числе по возможной форме государственной поддержки. </w:t>
      </w:r>
    </w:p>
    <w:bookmarkEnd w:id="201"/>
    <w:bookmarkStart w:name="z223" w:id="202"/>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Тенденции</w:t>
      </w:r>
    </w:p>
    <w:bookmarkEnd w:id="202"/>
    <w:bookmarkStart w:name="z224" w:id="203"/>
    <w:p>
      <w:pPr>
        <w:spacing w:after="0"/>
        <w:ind w:left="0"/>
        <w:jc w:val="both"/>
      </w:pPr>
      <w:r>
        <w:rPr>
          <w:rFonts w:ascii="Times New Roman"/>
          <w:b w:val="false"/>
          <w:i w:val="false"/>
          <w:color w:val="000000"/>
          <w:sz w:val="28"/>
        </w:rPr>
        <w:t xml:space="preserve">
      Рост численности ряда видов – редких и ценных копытных, снежного барса и других – сопровождается появлением или нарастанием конфликтов с развивающимся сельским хозяйством. Остро стоит вопрос об управлении популяциями сайгака, численность которого уже кратно превысила исторически известные максимумы и продолжает расти. Все более серьезной проблемой для местообитаний и мигрирующих видов становится ускоряющееся инфраструктурное развитие страны. </w:t>
      </w:r>
    </w:p>
    <w:bookmarkEnd w:id="203"/>
    <w:bookmarkStart w:name="z225" w:id="204"/>
    <w:p>
      <w:pPr>
        <w:spacing w:after="0"/>
        <w:ind w:left="0"/>
        <w:jc w:val="both"/>
      </w:pPr>
      <w:r>
        <w:rPr>
          <w:rFonts w:ascii="Times New Roman"/>
          <w:b w:val="false"/>
          <w:i w:val="false"/>
          <w:color w:val="000000"/>
          <w:sz w:val="28"/>
        </w:rPr>
        <w:t>
      Изменение климата вместе с антропогенными нагрузками уже напрямую угрожает таким видам, как каспийский тюлень и семиреченский лягушкозуб, и потенциально может начать угрожать и другим. При этом увеличиваются объем и разнообразие работ по реинтродукции видов – создаются новые популяции кулана (Южное Прибалхашье и Центральный Казахстан), вновь начата реинтродукция лошади Пржевальского, резко возросли объемы выпуска в природу выращенных в питомниках дроф-красоток. Существует еще ряд видов, которые потенциально являются ресурсными или просто редкими, – балобан, тугайный олень, архар – которые также вполне могут повысить численность и занять новые участки ареала при помощи разведения в неволе и реинтродукции. Для этого необходимо наладить устойчивое финансирование системы субсидий, а также обеспечить долгосрочный подход в планировании таких программ. </w:t>
      </w:r>
    </w:p>
    <w:bookmarkEnd w:id="204"/>
    <w:bookmarkStart w:name="z226" w:id="205"/>
    <w:p>
      <w:pPr>
        <w:spacing w:after="0"/>
        <w:ind w:left="0"/>
        <w:jc w:val="both"/>
      </w:pPr>
      <w:r>
        <w:rPr>
          <w:rFonts w:ascii="Times New Roman"/>
          <w:b w:val="false"/>
          <w:i w:val="false"/>
          <w:color w:val="000000"/>
          <w:sz w:val="28"/>
        </w:rPr>
        <w:t xml:space="preserve">
      У охотпользователей и других субъектов бизнеса растет интерес к дичеразведению и созданию сафари-парков. Несмотря на перечисленные выше проблемы, сафари-парки и фермы возникают в разных регионах страны, и это требует отработки взаимодействия с ними территориальных подразделений уполномоченного органа, особенно в случае разведения редких и находящихся под угрозой исчезновения видов и объектов СИТЕС. </w:t>
      </w:r>
    </w:p>
    <w:bookmarkEnd w:id="205"/>
    <w:bookmarkStart w:name="z227" w:id="206"/>
    <w:p>
      <w:pPr>
        <w:spacing w:after="0"/>
        <w:ind w:left="0"/>
        <w:jc w:val="both"/>
      </w:pPr>
      <w:r>
        <w:rPr>
          <w:rFonts w:ascii="Times New Roman"/>
          <w:b w:val="false"/>
          <w:i w:val="false"/>
          <w:color w:val="000000"/>
          <w:sz w:val="28"/>
        </w:rPr>
        <w:t xml:space="preserve">
      В охотничьем хозяйстве прослеживается тенденция увеличения доли охотпользователей, обладающих достаточными финансовыми ресурсами, но при этом слабо понимающих основы охотоведения и стремящихся к максимальному упрощению контроля за их деятельностью со стороны государства, что требует очень тщательного соблюдения баланса между интересами бизнеса и охраны природы. В то же время достаточно велико число незакрепленных охотхозяйств из-за практической невозможности обеспечить их рентабельность в текущих условиях. </w:t>
      </w:r>
    </w:p>
    <w:bookmarkEnd w:id="206"/>
    <w:bookmarkStart w:name="z228" w:id="207"/>
    <w:p>
      <w:pPr>
        <w:spacing w:after="0"/>
        <w:ind w:left="0"/>
        <w:jc w:val="both"/>
      </w:pPr>
      <w:r>
        <w:rPr>
          <w:rFonts w:ascii="Times New Roman"/>
          <w:b w:val="false"/>
          <w:i w:val="false"/>
          <w:color w:val="000000"/>
          <w:sz w:val="28"/>
        </w:rPr>
        <w:t>
      В части мониторинга животного мира нарастает использование современных технологий (фотоловушки, спутниковая телеметрия, ГИС-моделирование и др.) с соответствующей цифровизацией данных. В ООПТ все шире используется система SMART патрулирования, позволяющая отслеживать работу инспекторов и хранить мониторинговые данные. Население страны проявляет все больший интерес к проблемам сохранения животного мира.</w:t>
      </w:r>
    </w:p>
    <w:bookmarkEnd w:id="207"/>
    <w:bookmarkStart w:name="z229" w:id="208"/>
    <w:p>
      <w:pPr>
        <w:spacing w:after="0"/>
        <w:ind w:left="0"/>
        <w:jc w:val="both"/>
      </w:pPr>
      <w:r>
        <w:rPr>
          <w:rFonts w:ascii="Times New Roman"/>
          <w:b w:val="false"/>
          <w:i w:val="false"/>
          <w:color w:val="000000"/>
          <w:sz w:val="28"/>
        </w:rPr>
        <w:t>
      На фоне сокращения местообитаний и уязвимости части видов фауны в Казахстане возрастает необходимость перехода к системному управлению животным миром. Подчеркивается важность расширения цифровых инструментов мониторинга и пространственного анализа, включая отображение ареалов редких видов, миграционных маршрутов и зон высокого экологического риска. Интерактивная карта природных ресурсов tabigat.gov.kz рассматривается как потенциальная основа для такой трансформации, способствуя созданию более прозрачной, научно обоснованной и доступной системы учета биоразнообразия в процедурах проектирования, экологической экспертизы и территориального планирования.</w:t>
      </w:r>
    </w:p>
    <w:bookmarkEnd w:id="208"/>
    <w:bookmarkStart w:name="z230" w:id="209"/>
    <w:p>
      <w:pPr>
        <w:spacing w:after="0"/>
        <w:ind w:left="0"/>
        <w:jc w:val="both"/>
      </w:pPr>
      <w:r>
        <w:rPr>
          <w:rFonts w:ascii="Times New Roman"/>
          <w:b w:val="false"/>
          <w:i w:val="false"/>
          <w:color w:val="000000"/>
          <w:sz w:val="28"/>
        </w:rPr>
        <w:t>
      Одновременно обозначена потребность в разработке нормативных подходов к оценке воздействия на фауну, включая обоснование и реализацию компенсационных мер. Эксперты подчеркивают необходимость введения обязательного постмониторинга и использования биологических индикаторов для отслеживания состояния популяций и экосистемных изменений под влиянием хозяйственной деятельности.</w:t>
      </w:r>
    </w:p>
    <w:bookmarkEnd w:id="209"/>
    <w:bookmarkStart w:name="z231" w:id="210"/>
    <w:p>
      <w:pPr>
        <w:spacing w:after="0"/>
        <w:ind w:left="0"/>
        <w:jc w:val="both"/>
      </w:pPr>
      <w:r>
        <w:rPr>
          <w:rFonts w:ascii="Times New Roman"/>
          <w:b w:val="false"/>
          <w:i w:val="false"/>
          <w:color w:val="000000"/>
          <w:sz w:val="28"/>
        </w:rPr>
        <w:t>
      Формируется институциональное понимание необходимости интеграции компонентов охраны животного мира в стратегические документы, а также внедрения принципов "нулевого чистого ущерба" (no net loss) как части национальной экологической политики и корпоративных ESG-подходов. Наблюдается рост интереса со стороны бизнеса, научных учреждений и неправительственного сектора к запуску пилотных проектов по снижению фрагментации ареалов, сохранению миграционных путей и восстановлению мест обитания ключевых видов.</w:t>
      </w:r>
    </w:p>
    <w:bookmarkEnd w:id="210"/>
    <w:bookmarkStart w:name="z232" w:id="211"/>
    <w:p>
      <w:pPr>
        <w:spacing w:after="0"/>
        <w:ind w:left="0"/>
        <w:jc w:val="both"/>
      </w:pPr>
      <w:r>
        <w:rPr>
          <w:rFonts w:ascii="Times New Roman"/>
          <w:b w:val="false"/>
          <w:i w:val="false"/>
          <w:color w:val="000000"/>
          <w:sz w:val="28"/>
        </w:rPr>
        <w:t xml:space="preserve">
      2.4. Сохранение биологического разнообразия ихтиофауны и увеличение природной популяции промысловых рыб за счет снижения нагрузки на естественные рыбные ресурсы </w:t>
      </w:r>
    </w:p>
    <w:bookmarkEnd w:id="211"/>
    <w:bookmarkStart w:name="z233" w:id="212"/>
    <w:p>
      <w:pPr>
        <w:spacing w:after="0"/>
        <w:ind w:left="0"/>
        <w:jc w:val="both"/>
      </w:pPr>
      <w:r>
        <w:rPr>
          <w:rFonts w:ascii="Times New Roman"/>
          <w:b w:val="false"/>
          <w:i w:val="false"/>
          <w:color w:val="000000"/>
          <w:sz w:val="28"/>
        </w:rPr>
        <w:t xml:space="preserve">
      </w:t>
      </w:r>
      <w:r>
        <w:rPr>
          <w:rFonts w:ascii="Times New Roman"/>
          <w:b w:val="false"/>
          <w:i/>
          <w:color w:val="000000"/>
          <w:sz w:val="28"/>
        </w:rPr>
        <w:t>Оценка текущей ситуации</w:t>
      </w:r>
    </w:p>
    <w:bookmarkEnd w:id="212"/>
    <w:bookmarkStart w:name="z234" w:id="213"/>
    <w:p>
      <w:pPr>
        <w:spacing w:after="0"/>
        <w:ind w:left="0"/>
        <w:jc w:val="both"/>
      </w:pPr>
      <w:r>
        <w:rPr>
          <w:rFonts w:ascii="Times New Roman"/>
          <w:b w:val="false"/>
          <w:i w:val="false"/>
          <w:color w:val="000000"/>
          <w:sz w:val="28"/>
        </w:rPr>
        <w:t>
      На сегодняшний день в Республике Казахстан насчитывается около 170 видов рыб и других водных животных, распределенных в соответствующих категориях (перечнях) животных (некоторые виды находятся параллельно в нескольких перечнях): 17 включены в перечень редких и находящихся под угрозой исчезновения видов растений и животных и, соответственно, в Красную книгу Казахстана; 25 видов включены в перечень видов животных, используемых в иных хозяйственных целях (кроме охоты и рыболовства); 88 видов включены в перечень видов животных, не используемых в хозяйственных целях, но имеющих экологическую, культурную и иную ценность; 1 вид включен в перечень видов животных, численность которых подлежит регулированию.</w:t>
      </w:r>
    </w:p>
    <w:bookmarkEnd w:id="213"/>
    <w:bookmarkStart w:name="z235" w:id="214"/>
    <w:p>
      <w:pPr>
        <w:spacing w:after="0"/>
        <w:ind w:left="0"/>
        <w:jc w:val="both"/>
      </w:pPr>
      <w:r>
        <w:rPr>
          <w:rFonts w:ascii="Times New Roman"/>
          <w:b w:val="false"/>
          <w:i w:val="false"/>
          <w:color w:val="000000"/>
          <w:sz w:val="28"/>
        </w:rPr>
        <w:t xml:space="preserve">
       В рыбном хозяйстве существуют два приоритета, которые вступают в конфликт между собой. Экологический приоритет требует сохранения и восстановления биологического разнообразия, снижения давления на естественные популяции рыб. Экономический приоритет требует увеличения производства рыбной продукции путем максимального освоения лимитов вылова в рыболовстве, а в части аквакультуры (рыбоводства) передачи водоемов для целей развития аквакультуры с предоставлением возможности тотального отлова нативной ихтиофауны для последующего зарыбления и выращивания других желаемых видов рыб. Это требует принятия сложных управленческих решений для баланса соблюдения интересов экологии и экономики, такие решения должны быть сбалансированными и приниматься на основе научных обоснований. </w:t>
      </w:r>
    </w:p>
    <w:bookmarkEnd w:id="214"/>
    <w:bookmarkStart w:name="z236" w:id="215"/>
    <w:p>
      <w:pPr>
        <w:spacing w:after="0"/>
        <w:ind w:left="0"/>
        <w:jc w:val="both"/>
      </w:pPr>
      <w:r>
        <w:rPr>
          <w:rFonts w:ascii="Times New Roman"/>
          <w:b w:val="false"/>
          <w:i w:val="false"/>
          <w:color w:val="000000"/>
          <w:sz w:val="28"/>
        </w:rPr>
        <w:t xml:space="preserve">
      Ихтиофауна практически всех рыбохозяйственных водоемов Казахстана подверглась реконструкции, в результате основную массу промысловых рыб внутренних водоемов на 50 – 90 % составляют рыбы акклиматизанты. Поэтому на первый план выходят вопросы устойчивого использования рыбных ресурсов для обеспечения сохранения воспроизводственного потенциала не только традиционных объектов рыболовства, но и максимально возможного сохранения биологического разнообразия, а также недопущения проникновения и распространения инвазивных (чужеродных) видов рыб. </w:t>
      </w:r>
    </w:p>
    <w:bookmarkEnd w:id="215"/>
    <w:bookmarkStart w:name="z237" w:id="21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проблемы</w:t>
      </w:r>
    </w:p>
    <w:bookmarkEnd w:id="216"/>
    <w:bookmarkStart w:name="z238" w:id="217"/>
    <w:p>
      <w:pPr>
        <w:spacing w:after="0"/>
        <w:ind w:left="0"/>
        <w:jc w:val="both"/>
      </w:pPr>
      <w:r>
        <w:rPr>
          <w:rFonts w:ascii="Times New Roman"/>
          <w:b w:val="false"/>
          <w:i w:val="false"/>
          <w:color w:val="000000"/>
          <w:sz w:val="28"/>
        </w:rPr>
        <w:t>
      Наиболее актуальными проблемами отрасли являются влияние глобального изменения климата и вопрос водообеспеченности региона, которые при существующей проблеме зарегулированности рек и увеличения антропогенной нагрузки могут привести к серьезному сокращению биоразнообразия водных организмов.</w:t>
      </w:r>
    </w:p>
    <w:bookmarkEnd w:id="217"/>
    <w:bookmarkStart w:name="z239" w:id="218"/>
    <w:p>
      <w:pPr>
        <w:spacing w:after="0"/>
        <w:ind w:left="0"/>
        <w:jc w:val="both"/>
      </w:pPr>
      <w:r>
        <w:rPr>
          <w:rFonts w:ascii="Times New Roman"/>
          <w:b w:val="false"/>
          <w:i w:val="false"/>
          <w:color w:val="000000"/>
          <w:sz w:val="28"/>
        </w:rPr>
        <w:t xml:space="preserve">
      Вторжение многочисленных чужеродных видов из сопредельных государств в водные экосистемы Казахстана, в том числе несанкционированная интродукция рыб населением стал серьезной проблемой для сохранения биологического разнообразия и сохранения ресурсного потенциала водоемов страны. </w:t>
      </w:r>
    </w:p>
    <w:bookmarkEnd w:id="218"/>
    <w:bookmarkStart w:name="z240" w:id="219"/>
    <w:p>
      <w:pPr>
        <w:spacing w:after="0"/>
        <w:ind w:left="0"/>
        <w:jc w:val="both"/>
      </w:pPr>
      <w:r>
        <w:rPr>
          <w:rFonts w:ascii="Times New Roman"/>
          <w:b w:val="false"/>
          <w:i w:val="false"/>
          <w:color w:val="000000"/>
          <w:sz w:val="28"/>
        </w:rPr>
        <w:t>
      Как и по всему миру, в Казахстане присутствует, так называемый ННН (незаконный, несообщаемый и нерегулируемый) промысел, что ведет к сокращению рыбных ресурсов, в первую очередь ценных в коммерческом отношении рыб, их воспроизводственного потенциала, нежелательным изменениям в популяциях рыб, сложностям в регулировании и планировании рыболовства. Так, согласно сведениям о контрольно-инспекционной деятельности территориальных органов в области охраны рыбных ресурсов за 2024 год у нарушителей рыбоохранного законодательства было изъято 24 446,73 кг частиковых и осетровых видов рыб. Однако оценка объемов ННН вылова рыб только по материалам правоохранительных и рыбоохранных органов не может отражать истинные объемы такого вылова, который несоизмеримо выше приведенных цифр. Проблема общей оценки объемов ННН промысла усложняется отсутствием универсальной методики его расчета.</w:t>
      </w:r>
    </w:p>
    <w:bookmarkEnd w:id="219"/>
    <w:bookmarkStart w:name="z241" w:id="220"/>
    <w:p>
      <w:pPr>
        <w:spacing w:after="0"/>
        <w:ind w:left="0"/>
        <w:jc w:val="both"/>
      </w:pPr>
      <w:r>
        <w:rPr>
          <w:rFonts w:ascii="Times New Roman"/>
          <w:b w:val="false"/>
          <w:i w:val="false"/>
          <w:color w:val="000000"/>
          <w:sz w:val="28"/>
        </w:rPr>
        <w:t>
      Промысел рыбы недостаточно механизирован и автоматизирован, промысловое рыболовство имеет тренд перехода от применения активных орудий (невода, тралы) к пассивным орудиям лова (сети), что приводит к отлову наиболее ценных в коммерческом отношении видов рыб и, соответственно, перестройке местных популяций рыб и последующему замещению ценных видов рыб на менее ценные. Есть необходимость в развитии морского рыболовства в Каспийском море, это позволит рационально и в полной мере использовать имеющиеся запасы. Развитие недропользования на акватории Каспийского моря и повышение интенсивности судоходства предполагает дополнительные риски для сохранности и нормального функционирования морской экосистемы. Последствия деятельности, связанной с добычей углеводородного сырья, возможные загрязнения при аварийных ситуациях являются фактором риска для состояния осетровых видов рыб, каспийского тюленя и других представителей экосистемы Каспия.</w:t>
      </w:r>
    </w:p>
    <w:bookmarkEnd w:id="220"/>
    <w:bookmarkStart w:name="z242" w:id="221"/>
    <w:p>
      <w:pPr>
        <w:spacing w:after="0"/>
        <w:ind w:left="0"/>
        <w:jc w:val="both"/>
      </w:pPr>
      <w:r>
        <w:rPr>
          <w:rFonts w:ascii="Times New Roman"/>
          <w:b w:val="false"/>
          <w:i w:val="false"/>
          <w:color w:val="000000"/>
          <w:sz w:val="28"/>
        </w:rPr>
        <w:t>
      Имеет место расширение спектра болезней рыб, что увеличивает возможность их передачи естественным популяциям рыб и как следствие может привести к их болезням и массовой гибели, с риском полной утраты наиболее восприимчивых видов рыб. Есть необходимость контроля за предоставлением (закрепление) водоемов для целей разведения чужеродных (для данного бассейна видов рыб), которые имеют связь с другими водоемами международного и республиканского значения, чтобы не допустить проникновение в них инвазивных видов рыб и других водных организмов.</w:t>
      </w:r>
    </w:p>
    <w:bookmarkEnd w:id="221"/>
    <w:bookmarkStart w:name="z243" w:id="222"/>
    <w:p>
      <w:pPr>
        <w:spacing w:after="0"/>
        <w:ind w:left="0"/>
        <w:jc w:val="both"/>
      </w:pPr>
      <w:r>
        <w:rPr>
          <w:rFonts w:ascii="Times New Roman"/>
          <w:b w:val="false"/>
          <w:i w:val="false"/>
          <w:color w:val="000000"/>
          <w:sz w:val="28"/>
        </w:rPr>
        <w:t>
      Есть необходимость развивать искусственное воспроизводство и зарыбление, в том числе для сохранения редких и исчезающих видов рыб. Необходим генетический анализ зарыбляемых видов рыб (всех возрастов) в случае их выпуска в водоемы международного и республиканского значения или другие водоемы, если они имеют связь с вышеуказанными водоемами, для недопущения проникновения в них гибридных и инвазивных видов рыб и других гидробионтов.</w:t>
      </w:r>
    </w:p>
    <w:bookmarkEnd w:id="222"/>
    <w:bookmarkStart w:name="z244" w:id="223"/>
    <w:p>
      <w:pPr>
        <w:spacing w:after="0"/>
        <w:ind w:left="0"/>
        <w:jc w:val="both"/>
      </w:pPr>
      <w:r>
        <w:rPr>
          <w:rFonts w:ascii="Times New Roman"/>
          <w:b w:val="false"/>
          <w:i w:val="false"/>
          <w:color w:val="000000"/>
          <w:sz w:val="28"/>
        </w:rPr>
        <w:t xml:space="preserve">
      Для повышения эффективности борьбы с браконьерством необходимо расширение оснащения рыбных инспекций плавательными средствами. Так, согласно приказу Министра сельского хозяйства Республики Казахстан от 19 ноября 2025 года № 429 для государственных учреждений, находящихся в ведении Комитета рыбного хозяйства Министерства сельского хозяйства Республики Казахстан, нормы оснащенности специальными водными транспортными средствами составляют 330 единиц. При этом на сегодня оснащенность инспекции специальным водным транспортом составляет 158 единиц или 48%. </w:t>
      </w:r>
    </w:p>
    <w:bookmarkEnd w:id="223"/>
    <w:bookmarkStart w:name="z245" w:id="224"/>
    <w:p>
      <w:pPr>
        <w:spacing w:after="0"/>
        <w:ind w:left="0"/>
        <w:jc w:val="both"/>
      </w:pPr>
      <w:r>
        <w:rPr>
          <w:rFonts w:ascii="Times New Roman"/>
          <w:b w:val="false"/>
          <w:i w:val="false"/>
          <w:color w:val="000000"/>
          <w:sz w:val="28"/>
        </w:rPr>
        <w:t xml:space="preserve">
      Численность бассейновых инспекций рыбного хозяйства составляет 340 штатных единиц, что в 3 раза меньше, чем 20 лет назад, хотя за истекший период количество рыбохозяйственных водоемов, объем добываемой рыбы и рыбаков, осуществляющих промысел, а также возможности для браконьерства не изменились. Вместе с тем Правительством 5 апреля 2021 года утверждена и реализуется Программа развития рыбного хозяйства до 2030 года, где основным индикатором является рост объемов выращивания рыбы до 270 тысяч тонн в год. </w:t>
      </w:r>
    </w:p>
    <w:bookmarkEnd w:id="224"/>
    <w:bookmarkStart w:name="z246" w:id="225"/>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Тенденции</w:t>
      </w:r>
    </w:p>
    <w:bookmarkEnd w:id="225"/>
    <w:bookmarkStart w:name="z247" w:id="226"/>
    <w:p>
      <w:pPr>
        <w:spacing w:after="0"/>
        <w:ind w:left="0"/>
        <w:jc w:val="both"/>
      </w:pPr>
      <w:r>
        <w:rPr>
          <w:rFonts w:ascii="Times New Roman"/>
          <w:b w:val="false"/>
          <w:i w:val="false"/>
          <w:color w:val="000000"/>
          <w:sz w:val="28"/>
        </w:rPr>
        <w:t xml:space="preserve">
      Одним из секторов экономики Казахстана, где имеются потенциальные резервы для роста экологически чистого производства, является рыбное хозяйство. В Республике Казахстан имеется множество рыбохозяйственных водоемов, отличающихся как по морфологии и гидрологии (внутренние солоноватые озера – Каспийское и Аральское моря, пресноводные реки, озера и водохранилища), так и по составу ихтиофауны, в том числе промысловой. Если говорить об экологическом состоянии водоемов (экосистем), то по уровню загрязнения оно удовлетворительное, влияние антропогенных факторов в виде поступления в водоемы токсикантов во всех водоемах не приводит к нарушению таких фундаментальных характеристик рыб, как морфология, физиология и пригодность в пищу для человека. Принятыми мерами (ограничение и оптимизация промысла, внедрение на промышленных предприятиях безотходных технологий, зарыбление водоемов ценными видами рыб, нормативы промыслового усилия и определение лимитов вылова с учетом критерия максимально устойчивого улова, борьба с браконьерством) удалось добиться стабилизации численности большинства промысловых видов рыб выше критических значений, восстановления численности одного из редких видов (кутума) до промысловых значений, сведения к минимуму угрозы полного исчезновения для ряда популяций редких исчезающих видов рыб (таймень, осетр сибирский, балхашский окунь, аральский и туркестанский усачи). Однако в крупных рыбопромысловых водоемах наблюдается тенденция увеличения антропогенной нагрузки, уменьшения водности, что может привести к сокращению благоприятных ареалов (акваторий) обитания, в первую очередь для редких и исчезающих видов рыб, а также в дальнейшем и для более массовых промысловых видов рыб. Доля в уловах ценных в коммерческом отношении и приоритетных для питания человека промысловых видов рыб (судак, сазан, сиговые, сом, жерех) остается низкой, что требует активизации мероприятий по обеспечению условий для их естественного воспроизводства, а также по увеличению и расширению спектра зарыбляемых видов рыб с выработкой стратегии направленного формирования запасов и управления популяциями рыб для сохранения рыбопродуктивности водоемов. </w:t>
      </w:r>
    </w:p>
    <w:bookmarkEnd w:id="226"/>
    <w:bookmarkStart w:name="z248" w:id="227"/>
    <w:p>
      <w:pPr>
        <w:spacing w:after="0"/>
        <w:ind w:left="0"/>
        <w:jc w:val="both"/>
      </w:pPr>
      <w:r>
        <w:rPr>
          <w:rFonts w:ascii="Times New Roman"/>
          <w:b w:val="false"/>
          <w:i w:val="false"/>
          <w:color w:val="000000"/>
          <w:sz w:val="28"/>
        </w:rPr>
        <w:t xml:space="preserve">
      Положительной тенденцией является пилотное внедрение информационной системы прослеживаемости рыбной продукции, которая предусматривает интеграцию информационных систем государственных органов, принимающих участие в выдаче документов, подтверждающих легальность происхождения рыбной продукции, что позволит пресечь реализацию рыбной продукции незаконного происхождения и тем самым предотвратить теневой оборот, а также в системе зарегистрированы и работают субъекты рыбного хозяйства, территориальные отделы ведомства. </w:t>
      </w:r>
    </w:p>
    <w:bookmarkEnd w:id="227"/>
    <w:bookmarkStart w:name="z249" w:id="228"/>
    <w:p>
      <w:pPr>
        <w:spacing w:after="0"/>
        <w:ind w:left="0"/>
        <w:jc w:val="both"/>
      </w:pPr>
      <w:r>
        <w:rPr>
          <w:rFonts w:ascii="Times New Roman"/>
          <w:b/>
          <w:i w:val="false"/>
          <w:color w:val="000000"/>
          <w:sz w:val="28"/>
        </w:rPr>
        <w:t>2.5. Внедрение эффективных мер охраны, восстановления и использования растительного мира.</w:t>
      </w:r>
      <w:r>
        <w:rPr>
          <w:rFonts w:ascii="Times New Roman"/>
          <w:b w:val="false"/>
          <w:i w:val="false"/>
          <w:color w:val="000000"/>
          <w:sz w:val="28"/>
        </w:rPr>
        <w:t xml:space="preserve"> </w:t>
      </w:r>
    </w:p>
    <w:bookmarkEnd w:id="228"/>
    <w:bookmarkStart w:name="z250" w:id="229"/>
    <w:p>
      <w:pPr>
        <w:spacing w:after="0"/>
        <w:ind w:left="0"/>
        <w:jc w:val="both"/>
      </w:pPr>
      <w:r>
        <w:rPr>
          <w:rFonts w:ascii="Times New Roman"/>
          <w:b w:val="false"/>
          <w:i w:val="false"/>
          <w:color w:val="000000"/>
          <w:sz w:val="28"/>
        </w:rPr>
        <w:t xml:space="preserve">
      </w:t>
      </w:r>
      <w:r>
        <w:rPr>
          <w:rFonts w:ascii="Times New Roman"/>
          <w:b w:val="false"/>
          <w:i/>
          <w:color w:val="000000"/>
          <w:sz w:val="28"/>
        </w:rPr>
        <w:t>Оценка текущей ситуации</w:t>
      </w:r>
    </w:p>
    <w:bookmarkEnd w:id="229"/>
    <w:bookmarkStart w:name="z251" w:id="230"/>
    <w:p>
      <w:pPr>
        <w:spacing w:after="0"/>
        <w:ind w:left="0"/>
        <w:jc w:val="both"/>
      </w:pPr>
      <w:r>
        <w:rPr>
          <w:rFonts w:ascii="Times New Roman"/>
          <w:b w:val="false"/>
          <w:i w:val="false"/>
          <w:color w:val="000000"/>
          <w:sz w:val="28"/>
        </w:rPr>
        <w:t xml:space="preserve">
      Флора Казахстана составляет 13 тысяч видов в том числе: 5754 вида высших сосудистых растений, 5 видов плаунов, 8 хвощей, 26 голосеменных, 35 видов папоротников, около 500 видов мохообразных, более 2000 видов водорослей, лишайники насчитывают свыше 500 видов, около 5000 грибов. Среди высших растений 14 % видов от общего числа видов являются эндемичными, то есть типичны только для этой территории, что свидетельствует о своеобразии флоры республики. Юг и юго-восток Казахстана характеризуются наибольшим процентом видового эндемизма: свыше 41% от общего числа видов республики. 387 видов растений включены в перечень редких и находящихся под угрозой исчезновения видов растений от 2022 года. </w:t>
      </w:r>
    </w:p>
    <w:bookmarkEnd w:id="230"/>
    <w:bookmarkStart w:name="z252" w:id="231"/>
    <w:p>
      <w:pPr>
        <w:spacing w:after="0"/>
        <w:ind w:left="0"/>
        <w:jc w:val="both"/>
      </w:pPr>
      <w:r>
        <w:rPr>
          <w:rFonts w:ascii="Times New Roman"/>
          <w:b w:val="false"/>
          <w:i w:val="false"/>
          <w:color w:val="000000"/>
          <w:sz w:val="28"/>
        </w:rPr>
        <w:t>
      На территории Казахстана произрастает не менее 1406 видов лекарственных растений, составляющих четвертую часть всех видов сосудистых растений флоры Казахстана, 65 видов из которых занесены в Красную книгу Казахстана. Изученность запасов этих видов недостаточна. Так, из 230 видов, использующихся в официальной медицине, запасы сырья есть лишь у 82 (36%). Наиболее изучены запасы лекарственных растений южного (64 %) и восточного (42 %) Казахстана. Для северного Казахстана запасы сырья выявлены у 13% видов, незначительна доля изученных лекарственных видов Центрального (5 %) и Западного (4 %) Казахстана.</w:t>
      </w:r>
    </w:p>
    <w:bookmarkEnd w:id="231"/>
    <w:bookmarkStart w:name="z253" w:id="232"/>
    <w:p>
      <w:pPr>
        <w:spacing w:after="0"/>
        <w:ind w:left="0"/>
        <w:jc w:val="both"/>
      </w:pPr>
      <w:r>
        <w:rPr>
          <w:rFonts w:ascii="Times New Roman"/>
          <w:b w:val="false"/>
          <w:i w:val="false"/>
          <w:color w:val="000000"/>
          <w:sz w:val="28"/>
        </w:rPr>
        <w:t xml:space="preserve">
      Вопрос представленности ботанического разнообразия в границах ООПТ требует дополнительного анализа и расширения инвентаризационных исследований. Представленность видов растений в отдельных ООПТ не превышает ¼ от видового разнообразия страны. В качестве примера можно сравнить число высших сосудистых растений в заповедниках Казахстана – наиболее изученных ООПТ с наиболее строгим режимом охраны, гарантированно имеющих описание растительного покрова. </w:t>
      </w:r>
    </w:p>
    <w:bookmarkEnd w:id="232"/>
    <w:bookmarkStart w:name="z254" w:id="233"/>
    <w:p>
      <w:pPr>
        <w:spacing w:after="0"/>
        <w:ind w:left="0"/>
        <w:jc w:val="both"/>
      </w:pPr>
      <w:r>
        <w:rPr>
          <w:rFonts w:ascii="Times New Roman"/>
          <w:b w:val="false"/>
          <w:i w:val="false"/>
          <w:color w:val="000000"/>
          <w:sz w:val="28"/>
        </w:rPr>
        <w:t xml:space="preserve">
      Число обнаруженных видов растений сильно варьирует – от 263 до 1600 видов, то есть от 4,24 % до 25,81 % от флоры. Это объясняется не только различиями природных условий, но и степенью изученности территорий. </w:t>
      </w:r>
    </w:p>
    <w:bookmarkEnd w:id="233"/>
    <w:bookmarkStart w:name="z255" w:id="234"/>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проблемы</w:t>
      </w:r>
    </w:p>
    <w:bookmarkEnd w:id="234"/>
    <w:bookmarkStart w:name="z256" w:id="235"/>
    <w:p>
      <w:pPr>
        <w:spacing w:after="0"/>
        <w:ind w:left="0"/>
        <w:jc w:val="both"/>
      </w:pPr>
      <w:r>
        <w:rPr>
          <w:rFonts w:ascii="Times New Roman"/>
          <w:b w:val="false"/>
          <w:i w:val="false"/>
          <w:color w:val="000000"/>
          <w:sz w:val="28"/>
        </w:rPr>
        <w:t>
      Имеющие глобальное значение экосистемы дикоплодовых лесов Жетысуского и Иле-Алатауского горных систем в настоящее время находятся под большим антропогенным воздействием. Сохранение и лесовосстановление экосистем дикоплодовых лесов могут и должны быть обеспечены сохранением и восстановлением природных популяций лесообразующих видов – яблони Сиверса и абрикоса обыкновенного, в связи с чем особо ценные плодовые леса должны быть включены в зоны экологической стабилизации Иле-Алатауского и Жонгар Алатауского государственных природных природных парков с реализацией предусмотренных для нее законодательством охранных режимов, дополняемых специальными мероприятиями по предотвращению генетической эрозии природных популяций яблони и абрикоса, по защите экосистем от агрессивных чужеродных видов растений. Наряду с охраной плодовых лесов должно быть обеспечено их расширение путем проведения лесовосстановительных работ в зонах экологической стабилизации национальных природных парков.</w:t>
      </w:r>
    </w:p>
    <w:bookmarkEnd w:id="235"/>
    <w:bookmarkStart w:name="z257" w:id="236"/>
    <w:p>
      <w:pPr>
        <w:spacing w:after="0"/>
        <w:ind w:left="0"/>
        <w:jc w:val="both"/>
      </w:pPr>
      <w:r>
        <w:rPr>
          <w:rFonts w:ascii="Times New Roman"/>
          <w:b w:val="false"/>
          <w:i w:val="false"/>
          <w:color w:val="000000"/>
          <w:sz w:val="28"/>
        </w:rPr>
        <w:t>
      Одними из проблем, оказывающих негативное влияние на сохранение биоразнообразия, являются эксплуатация ценных лекарственных растений, отсутствие планомерной системы и режима заготовок, систематического контроля за рекомендуемыми и фактическими объемами экспорта растительного сырья. Необходимо проведение систематических ресурсных исследований для периодической переоценки современного состояния и уточнения сырьевой базы экономически значимых ресурсных видов лекарственных растений. Современная оценка лекарственных растительных ресурсов будет способствовать повышению биологической и продовольственной безопасности страны.</w:t>
      </w:r>
    </w:p>
    <w:bookmarkEnd w:id="236"/>
    <w:bookmarkStart w:name="z258" w:id="237"/>
    <w:p>
      <w:pPr>
        <w:spacing w:after="0"/>
        <w:ind w:left="0"/>
        <w:jc w:val="both"/>
      </w:pPr>
      <w:r>
        <w:rPr>
          <w:rFonts w:ascii="Times New Roman"/>
          <w:b w:val="false"/>
          <w:i w:val="false"/>
          <w:color w:val="000000"/>
          <w:sz w:val="28"/>
        </w:rPr>
        <w:t xml:space="preserve">
      В последние десятилетия угрозу биологической безопасности страны представляют инвазионные виды, способные изменить природные экосистемы вплоть до их полного исчезновения. Их опасность связана с гибридизацией между природными и заносными видами. В настоящее время инвазионные чужеродные растения считаются главной причиной снижения биологического разнообразия, имеющего серьезные социальные и экономические последствия. </w:t>
      </w:r>
    </w:p>
    <w:bookmarkEnd w:id="237"/>
    <w:bookmarkStart w:name="z259" w:id="238"/>
    <w:p>
      <w:pPr>
        <w:spacing w:after="0"/>
        <w:ind w:left="0"/>
        <w:jc w:val="both"/>
      </w:pPr>
      <w:r>
        <w:rPr>
          <w:rFonts w:ascii="Times New Roman"/>
          <w:b w:val="false"/>
          <w:i w:val="false"/>
          <w:color w:val="000000"/>
          <w:sz w:val="28"/>
        </w:rPr>
        <w:t xml:space="preserve">
       Необходима разработка планов регулирования в отношении основных чужеродных видов, которые угрожают растениям, растительным сообществам и соответствующим местообитаниям и экосистемам. Проблемы инвазивных видов отражены в Лесном кодексе Республики Казахстан, законах Республики Казахстан </w:t>
      </w:r>
      <w:r>
        <w:rPr>
          <w:rFonts w:ascii="Times New Roman"/>
          <w:b w:val="false"/>
          <w:i w:val="false"/>
          <w:color w:val="000000"/>
          <w:sz w:val="28"/>
        </w:rPr>
        <w:t>"О карантине растений"</w:t>
      </w:r>
      <w:r>
        <w:rPr>
          <w:rFonts w:ascii="Times New Roman"/>
          <w:b w:val="false"/>
          <w:i w:val="false"/>
          <w:color w:val="000000"/>
          <w:sz w:val="28"/>
        </w:rPr>
        <w:t xml:space="preserve">, </w:t>
      </w:r>
      <w:r>
        <w:rPr>
          <w:rFonts w:ascii="Times New Roman"/>
          <w:b w:val="false"/>
          <w:i w:val="false"/>
          <w:color w:val="000000"/>
          <w:sz w:val="28"/>
        </w:rPr>
        <w:t>"О защите растений"</w:t>
      </w:r>
      <w:r>
        <w:rPr>
          <w:rFonts w:ascii="Times New Roman"/>
          <w:b w:val="false"/>
          <w:i w:val="false"/>
          <w:color w:val="000000"/>
          <w:sz w:val="28"/>
        </w:rPr>
        <w:t xml:space="preserve"> и </w:t>
      </w:r>
      <w:r>
        <w:rPr>
          <w:rFonts w:ascii="Times New Roman"/>
          <w:b w:val="false"/>
          <w:i w:val="false"/>
          <w:color w:val="000000"/>
          <w:sz w:val="28"/>
        </w:rPr>
        <w:t>"О растительном мире".</w:t>
      </w:r>
      <w:r>
        <w:rPr>
          <w:rFonts w:ascii="Times New Roman"/>
          <w:b w:val="false"/>
          <w:i w:val="false"/>
          <w:color w:val="000000"/>
          <w:sz w:val="28"/>
        </w:rPr>
        <w:t xml:space="preserve"> Однако до сих пор в Казахстане отсутствуют единая база данных по инвазионным видам и сведения об измененных под действием инвазионных видов экосистемах, в том числе и наиболее ценных. </w:t>
      </w:r>
    </w:p>
    <w:bookmarkEnd w:id="238"/>
    <w:bookmarkStart w:name="z260" w:id="239"/>
    <w:p>
      <w:pPr>
        <w:spacing w:after="0"/>
        <w:ind w:left="0"/>
        <w:jc w:val="both"/>
      </w:pPr>
      <w:r>
        <w:rPr>
          <w:rFonts w:ascii="Times New Roman"/>
          <w:b w:val="false"/>
          <w:i w:val="false"/>
          <w:color w:val="000000"/>
          <w:sz w:val="28"/>
        </w:rPr>
        <w:t xml:space="preserve">
      Для развития коллекционных фондов государственных ботанических садов, являющихся гарантией сохранения генофонда растительных ресурсов, а значит и экологической и ресурсной безопасности Казахстана, необходимо отдельное, постоянное финансирование государства. Актуальным является и вопрос расширения сети ботанических садов Казахстана, так как согласно глобальной стратегии сохранения растений именно на них возложена миссия по сохранению ботанического разнообразия. В Казахстане есть все необходимые составляющие функционирования единой централизованной сети ботанических учреждений на базе ботанических садов и дендропарков Казахстана, ботанических учреждений и кафедр, негосударственных "зеленых" организаций. </w:t>
      </w:r>
    </w:p>
    <w:bookmarkEnd w:id="239"/>
    <w:bookmarkStart w:name="z261" w:id="240"/>
    <w:p>
      <w:pPr>
        <w:spacing w:after="0"/>
        <w:ind w:left="0"/>
        <w:jc w:val="both"/>
      </w:pPr>
      <w:r>
        <w:rPr>
          <w:rFonts w:ascii="Times New Roman"/>
          <w:b w:val="false"/>
          <w:i w:val="false"/>
          <w:color w:val="000000"/>
          <w:sz w:val="28"/>
        </w:rPr>
        <w:t xml:space="preserve">
      Дополнительным ограничением является отсутствие институциональных механизмов, стимулирующих восстановление растительного покрова. </w:t>
      </w:r>
    </w:p>
    <w:bookmarkEnd w:id="240"/>
    <w:bookmarkStart w:name="z262" w:id="241"/>
    <w:p>
      <w:pPr>
        <w:spacing w:after="0"/>
        <w:ind w:left="0"/>
        <w:jc w:val="both"/>
      </w:pPr>
      <w:r>
        <w:rPr>
          <w:rFonts w:ascii="Times New Roman"/>
          <w:b w:val="false"/>
          <w:i w:val="false"/>
          <w:color w:val="000000"/>
          <w:sz w:val="28"/>
        </w:rPr>
        <w:t>
      В Казахстане до сих пор не внедрены такие практики, как экологические сборы за утрату растительности или биоофсеты – механизм, обязывающий компенсировать нанесенный ущерб путем реализации восстановительных мероприятий. Это снижает возможности мобилизации ресурсов на природную реставрацию и сдерживает развитие устойчивых моделей взаимодействия между бизнесом и природоохранной политикой государства.</w:t>
      </w:r>
    </w:p>
    <w:bookmarkEnd w:id="241"/>
    <w:bookmarkStart w:name="z263" w:id="242"/>
    <w:p>
      <w:pPr>
        <w:spacing w:after="0"/>
        <w:ind w:left="0"/>
        <w:jc w:val="both"/>
      </w:pPr>
      <w:r>
        <w:rPr>
          <w:rFonts w:ascii="Times New Roman"/>
          <w:b w:val="false"/>
          <w:i w:val="false"/>
          <w:color w:val="000000"/>
          <w:sz w:val="28"/>
        </w:rPr>
        <w:t>
      Таким образом, решение задач по охране и восстановлению растительного мира требует системного пересмотра действующих подходов, включая развитие картографических и индикативных инструментов, нормативную конкретизацию процедур оценки и компенсации, а также внедрение экономических механизмов, обеспечивающих восстановление природных экосистем.</w:t>
      </w:r>
    </w:p>
    <w:bookmarkEnd w:id="242"/>
    <w:bookmarkStart w:name="z264" w:id="243"/>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Тенденции</w:t>
      </w:r>
    </w:p>
    <w:bookmarkEnd w:id="243"/>
    <w:bookmarkStart w:name="z265" w:id="244"/>
    <w:p>
      <w:pPr>
        <w:spacing w:after="0"/>
        <w:ind w:left="0"/>
        <w:jc w:val="both"/>
      </w:pPr>
      <w:r>
        <w:rPr>
          <w:rFonts w:ascii="Times New Roman"/>
          <w:b w:val="false"/>
          <w:i w:val="false"/>
          <w:color w:val="000000"/>
          <w:sz w:val="28"/>
        </w:rPr>
        <w:t xml:space="preserve">
      В 2023 году вступил в действие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растительном мире", основными целями которого являются обеспечение регулирования отношений в области охраны, защиты, восстановления и использования растительного мира, а также создание правовых основ для сохранения природного разнообразия и генофонда дикорастущих растений, их рационального использования. Реализация данного Закона позволяет: урегулировать отношения в сфере использования объектов растительного мира и обеспечить условия для их сохранения, воспроизводства и рационального использования как ценного, незаменимого и возобновляемого природного ресурса; планировать государственным органам мероприятия по восстановлению объектов растительного мира не только на техногенно нарушенных территориях, предусмотренных Экологическим кодексом, но и на антропогенно нарушенных землях (селитебные, пастбища, залежи и др.) на основе рекомендаций научных и проектных организаций; предотвратить угрозы распространения инвазионных видов на основе систематических научных исследований по инвентаризации, созданию единой базы данных и оценке воздействия инвазионных видов на природные экосистемы; сохранить уникальное ботаническое разнообразие Казахстана в ботанических коллекциях и коллекциях генетических ресурсов растений.</w:t>
      </w:r>
    </w:p>
    <w:bookmarkEnd w:id="244"/>
    <w:bookmarkStart w:name="z266" w:id="245"/>
    <w:p>
      <w:pPr>
        <w:spacing w:after="0"/>
        <w:ind w:left="0"/>
        <w:jc w:val="both"/>
      </w:pPr>
      <w:r>
        <w:rPr>
          <w:rFonts w:ascii="Times New Roman"/>
          <w:b w:val="false"/>
          <w:i w:val="false"/>
          <w:color w:val="000000"/>
          <w:sz w:val="28"/>
        </w:rPr>
        <w:t xml:space="preserve">
      На протяжении последних 10 лет в Казахстане ведутся планомерные научно-исследовательские работы по изучению, сохранению, эффективному использованию и воспроизводству растительного мира Казахстана. За это время впервые в Казахстане создан Банк семян природной флоры Казахстана, в котором в настоящее время сохраняется более 5000 образцов семян 1300 видов флоры Республики Казахстан. </w:t>
      </w:r>
    </w:p>
    <w:bookmarkEnd w:id="245"/>
    <w:bookmarkStart w:name="z267" w:id="246"/>
    <w:p>
      <w:pPr>
        <w:spacing w:after="0"/>
        <w:ind w:left="0"/>
        <w:jc w:val="both"/>
      </w:pPr>
      <w:r>
        <w:rPr>
          <w:rFonts w:ascii="Times New Roman"/>
          <w:b w:val="false"/>
          <w:i w:val="false"/>
          <w:color w:val="000000"/>
          <w:sz w:val="28"/>
        </w:rPr>
        <w:t>
      Однако, несмотря на положительные тенденции по реализации проектов и программ в области изучения и сохранения растительного мира Республики Казахстан, в настоящее время имеются риски долгосрочности таких фундаментальных исследований в связи с тем, что их реализация осуществляется в рамках конкурсного финансирования и сроком на 3 года. Такие условия не гарантируют стабильности и планомерной работы для комплексного изучения и решения проблем сохранения растительного мира Казахстана</w:t>
      </w:r>
      <w:r>
        <w:rPr>
          <w:rFonts w:ascii="Times New Roman"/>
          <w:b/>
          <w:i w:val="false"/>
          <w:color w:val="000000"/>
          <w:sz w:val="28"/>
        </w:rPr>
        <w:t>.</w:t>
      </w:r>
    </w:p>
    <w:bookmarkEnd w:id="246"/>
    <w:bookmarkStart w:name="z268" w:id="247"/>
    <w:p>
      <w:pPr>
        <w:spacing w:after="0"/>
        <w:ind w:left="0"/>
        <w:jc w:val="both"/>
      </w:pPr>
      <w:r>
        <w:rPr>
          <w:rFonts w:ascii="Times New Roman"/>
          <w:b w:val="false"/>
          <w:i w:val="false"/>
          <w:color w:val="000000"/>
          <w:sz w:val="28"/>
        </w:rPr>
        <w:t>
      Есть положительные тенденции в развитии подходов от сохранения популяций in situ к сохранению генофонда на клеточном и молекулярном уровнях ex situ.</w:t>
      </w:r>
    </w:p>
    <w:bookmarkEnd w:id="247"/>
    <w:bookmarkStart w:name="z269" w:id="248"/>
    <w:p>
      <w:pPr>
        <w:spacing w:after="0"/>
        <w:ind w:left="0"/>
        <w:jc w:val="both"/>
      </w:pPr>
      <w:r>
        <w:rPr>
          <w:rFonts w:ascii="Times New Roman"/>
          <w:b w:val="false"/>
          <w:i w:val="false"/>
          <w:color w:val="000000"/>
          <w:sz w:val="28"/>
        </w:rPr>
        <w:t xml:space="preserve">
      Имеется потенциал для перехода и адаптации критериев Красного списка Международного союза охраны природы (далее – МСОП), который является важным инструментом для оценки риска исчезновения таксонов на уровне видов благодаря своим четко прописанным и отслеживаемым процедурам. Это делает его полезной основой для планирования мероприятий по сохранению и восстановлению конкретных видов. Однако его применение в Казахстане пока затруднено из-за недостаточной оценки региональной флоры. В Красный список МСОП включен 401 вид высших растений Казахстана, что составляет 6 % от национальной флоры, насчитывающей около 6200 видов. Из них 21 вид признан находящимися под угрозой исчезновения (Threatened), 14 видов относятся к категории близкие к уязвимому положению (Near Threatened), а 333 вида имеют статус вызывающие наименьшее опасение (Least Concern или Lower Risk). При этом флора Казахстана включает по разным оценкам от 299 до 451 эндемичного вида. </w:t>
      </w:r>
    </w:p>
    <w:bookmarkEnd w:id="248"/>
    <w:bookmarkStart w:name="z270" w:id="249"/>
    <w:p>
      <w:pPr>
        <w:spacing w:after="0"/>
        <w:ind w:left="0"/>
        <w:jc w:val="both"/>
      </w:pPr>
      <w:r>
        <w:rPr>
          <w:rFonts w:ascii="Times New Roman"/>
          <w:b/>
          <w:i w:val="false"/>
          <w:color w:val="000000"/>
          <w:sz w:val="28"/>
        </w:rPr>
        <w:t>2.6. Восстановление деградированных пастбищ путем внедрения методов устойчивого управления и использования, ландшафтного планирования</w:t>
      </w:r>
    </w:p>
    <w:bookmarkEnd w:id="249"/>
    <w:bookmarkStart w:name="z271" w:id="250"/>
    <w:p>
      <w:pPr>
        <w:spacing w:after="0"/>
        <w:ind w:left="0"/>
        <w:jc w:val="both"/>
      </w:pPr>
      <w:r>
        <w:rPr>
          <w:rFonts w:ascii="Times New Roman"/>
          <w:b w:val="false"/>
          <w:i w:val="false"/>
          <w:color w:val="000000"/>
          <w:sz w:val="28"/>
        </w:rPr>
        <w:t xml:space="preserve">
      </w:t>
      </w:r>
      <w:r>
        <w:rPr>
          <w:rFonts w:ascii="Times New Roman"/>
          <w:b w:val="false"/>
          <w:i/>
          <w:color w:val="000000"/>
          <w:sz w:val="28"/>
        </w:rPr>
        <w:t>Оценка текущей ситуации</w:t>
      </w:r>
    </w:p>
    <w:bookmarkEnd w:id="250"/>
    <w:bookmarkStart w:name="z272" w:id="251"/>
    <w:p>
      <w:pPr>
        <w:spacing w:after="0"/>
        <w:ind w:left="0"/>
        <w:jc w:val="both"/>
      </w:pPr>
      <w:r>
        <w:rPr>
          <w:rFonts w:ascii="Times New Roman"/>
          <w:b w:val="false"/>
          <w:i w:val="false"/>
          <w:color w:val="000000"/>
          <w:sz w:val="28"/>
        </w:rPr>
        <w:t xml:space="preserve">
      Пастбищные угодья Казахстана являются не только основным источником кормов и пространственным базисом животноводства, но и важнейшим местом обитания большей части животного и растительного мира страны. </w:t>
      </w:r>
    </w:p>
    <w:bookmarkEnd w:id="251"/>
    <w:bookmarkStart w:name="z273" w:id="252"/>
    <w:p>
      <w:pPr>
        <w:spacing w:after="0"/>
        <w:ind w:left="0"/>
        <w:jc w:val="both"/>
      </w:pPr>
      <w:r>
        <w:rPr>
          <w:rFonts w:ascii="Times New Roman"/>
          <w:b w:val="false"/>
          <w:i w:val="false"/>
          <w:color w:val="000000"/>
          <w:sz w:val="28"/>
        </w:rPr>
        <w:t>
      По состоянию на 2023 год (</w:t>
      </w:r>
      <w:r>
        <w:rPr>
          <w:rFonts w:ascii="Times New Roman"/>
          <w:b w:val="false"/>
          <w:i/>
          <w:color w:val="000000"/>
          <w:sz w:val="28"/>
        </w:rPr>
        <w:t>сводный аналитический отчет о состоянии и использовании земель Республики Казахстан за 2023 год</w:t>
      </w:r>
      <w:r>
        <w:rPr>
          <w:rFonts w:ascii="Times New Roman"/>
          <w:b w:val="false"/>
          <w:i w:val="false"/>
          <w:color w:val="000000"/>
          <w:sz w:val="28"/>
        </w:rPr>
        <w:t xml:space="preserve">) площадь кормовых угодий составляет 182,9 млн га, в том числе пастбищ – 178 млн га (без учета земель, используемых другими государствами). Из них пастбища на землях сельскохозяйственного назначения занимают 82,8 млн га, на землях населенных пунктов – 21,6 млн га, на землях запаса – 62,5 млн га, на землях лесного фонда – 6,5 млн га, на землях ООПТ – 3,6 млн га, на землях других категорий целевого назначения – 1 млн га. В целом, на долю пастбищных угодий приходится 67,7 % всего земельного фонда, используемого Республикой Казахстан; на долю естественных кормовых угодий в целом (включая сенокосы) – почти 70 % земельного фонда. </w:t>
      </w:r>
    </w:p>
    <w:bookmarkEnd w:id="252"/>
    <w:bookmarkStart w:name="z274" w:id="253"/>
    <w:p>
      <w:pPr>
        <w:spacing w:after="0"/>
        <w:ind w:left="0"/>
        <w:jc w:val="both"/>
      </w:pPr>
      <w:r>
        <w:rPr>
          <w:rFonts w:ascii="Times New Roman"/>
          <w:b w:val="false"/>
          <w:i w:val="false"/>
          <w:color w:val="000000"/>
          <w:sz w:val="28"/>
        </w:rPr>
        <w:t>
      В настоящее время большая часть имеющегося поголовья скота выпасается круглый год на пастбищах сельскохозяйственного назначения, общественных пастбищах вблизи сел (земли населенных пунктов) и пастбищах в составе земель запаса. При этом постоянный выпас сельскохозяйственных животных возможен только на пастбищах, где имеется водопой скота. Площадь таких обводненных пастбищ – 104,7 млн га (в том числе, на землях сельскохозяйственного назначения – 82,8 млн га).</w:t>
      </w:r>
    </w:p>
    <w:bookmarkEnd w:id="253"/>
    <w:bookmarkStart w:name="z275" w:id="254"/>
    <w:p>
      <w:pPr>
        <w:spacing w:after="0"/>
        <w:ind w:left="0"/>
        <w:jc w:val="both"/>
      </w:pPr>
      <w:r>
        <w:rPr>
          <w:rFonts w:ascii="Times New Roman"/>
          <w:b w:val="false"/>
          <w:i w:val="false"/>
          <w:color w:val="000000"/>
          <w:sz w:val="28"/>
        </w:rPr>
        <w:t xml:space="preserve">
      Значение пастбищных и в целом естественных кормовых угодий для биоразнообразия определяется уже тем, что эти угодья занимают большую часть (почти две трети) площади страны. Преобладающие на территории Казахстана типы экосистем, в том числе эндемичных и субэндемичных для Республики Казахстан, существуют исключительно или почти исключительно на пастбищных и естественных кормовых угодьях шире. Таковы прежде всего все зональные типы степных экосистем и большинство горных степных экосистем, большинство типов лугов, экосистемы степных кустарников, все полынные пустыни и большинство многолетних солянковых пустынь (за исключением саксаульников). </w:t>
      </w:r>
    </w:p>
    <w:bookmarkEnd w:id="254"/>
    <w:bookmarkStart w:name="z276" w:id="255"/>
    <w:p>
      <w:pPr>
        <w:spacing w:after="0"/>
        <w:ind w:left="0"/>
        <w:jc w:val="both"/>
      </w:pPr>
      <w:r>
        <w:rPr>
          <w:rFonts w:ascii="Times New Roman"/>
          <w:b w:val="false"/>
          <w:i w:val="false"/>
          <w:color w:val="000000"/>
          <w:sz w:val="28"/>
        </w:rPr>
        <w:t>
      С другой стороны пастбищные угодья Казахстана не только важны для сохранения биоразнообразия, но и наоборот – биоразнообразие степных, луговых и пустынных экосистем на этих угодьях имеет критически важное значение для самого существования естественных кормовых угодий, поддержания продуктивности и качества их продукции. Особое значение для обеспечения хозяйственной ценности имеют видовой состав кормовых растений, их сезонная ритмика, а также деятельность почвенных организмов – от микроорганизмов до норных млекопитающих.</w:t>
      </w:r>
    </w:p>
    <w:bookmarkEnd w:id="255"/>
    <w:bookmarkStart w:name="z277" w:id="256"/>
    <w:p>
      <w:pPr>
        <w:spacing w:after="0"/>
        <w:ind w:left="0"/>
        <w:jc w:val="both"/>
      </w:pPr>
      <w:r>
        <w:rPr>
          <w:rFonts w:ascii="Times New Roman"/>
          <w:b w:val="false"/>
          <w:i w:val="false"/>
          <w:color w:val="000000"/>
          <w:sz w:val="28"/>
        </w:rPr>
        <w:t xml:space="preserve">
      Особенностями естественных кормовых угодий Казахстана являются длительная история и широкий пространственный охват их использования для нужд скотоводства. Это использование продолжается в течение многих тысячелетий на всей территории страны. В результате используемые в качестве пастбищ экосистемы еще в историческом прошлом утратили часть своего первоначального биоразнообразия. Вместе с тем функционирование этих экосистем оказалось тесно связано с их животноводческим использованием. Содержание скота (в некоторых случаях и сенокошение) играет критически важную роль в функционировании экосистем пастбищных угодий и необходимо для поддержания в них основных экосистемных процессов. </w:t>
      </w:r>
    </w:p>
    <w:bookmarkEnd w:id="256"/>
    <w:bookmarkStart w:name="z278" w:id="257"/>
    <w:p>
      <w:pPr>
        <w:spacing w:after="0"/>
        <w:ind w:left="0"/>
        <w:jc w:val="both"/>
      </w:pPr>
      <w:r>
        <w:rPr>
          <w:rFonts w:ascii="Times New Roman"/>
          <w:b w:val="false"/>
          <w:i w:val="false"/>
          <w:color w:val="000000"/>
          <w:sz w:val="28"/>
        </w:rPr>
        <w:t xml:space="preserve">
      В феврале 2024 года в некоторые законодательные акты Республики Казахстан по вопросам использования пастбищ внесены изменения и дополнения, включая Земельный и Лесной кодексы. Так, исключена возможность получения земли из нормы временного безвозмездного землепользования (на 5 лет) для животноводства и выпаса скота. Теперь для этих целей пастбищные земли предоставляются на конкурсной основе. Для эффективного использования потенциала лесного фонда лесоохранные учреждения ежегодно информируют акиматы об участках лесного фонда, на которых возможен выпас скота. </w:t>
      </w:r>
    </w:p>
    <w:bookmarkEnd w:id="257"/>
    <w:bookmarkStart w:name="z279" w:id="258"/>
    <w:p>
      <w:pPr>
        <w:spacing w:after="0"/>
        <w:ind w:left="0"/>
        <w:jc w:val="both"/>
      </w:pPr>
      <w:r>
        <w:rPr>
          <w:rFonts w:ascii="Times New Roman"/>
          <w:b w:val="false"/>
          <w:i w:val="false"/>
          <w:color w:val="000000"/>
          <w:sz w:val="28"/>
        </w:rPr>
        <w:t>
      Внесены дополнения в статью 13 Закона Республики Казахстан "О пастбищах", в соответствии с которыми план по управлению пастбищами и их использованию утверждается в качестве основного нормативного правового акта, регулирующего организацию рационального использования пастбищных угодий. Также усилены нормативные требования к процедурам разработки и утверждения данного плана.</w:t>
      </w:r>
    </w:p>
    <w:bookmarkEnd w:id="258"/>
    <w:bookmarkStart w:name="z280" w:id="259"/>
    <w:p>
      <w:pPr>
        <w:spacing w:after="0"/>
        <w:ind w:left="0"/>
        <w:jc w:val="both"/>
      </w:pPr>
      <w:r>
        <w:rPr>
          <w:rFonts w:ascii="Times New Roman"/>
          <w:b w:val="false"/>
          <w:i w:val="false"/>
          <w:color w:val="000000"/>
          <w:sz w:val="28"/>
        </w:rPr>
        <w:t>
      В связи с прогнозируемым острым дефицитом водных ресурсов в Казахстане необходимо определение потенциала подземных вод с разработкой превентивных мер по обводнению пастбищ для сохранения биоразнообразия на засушливых территориях.</w:t>
      </w:r>
    </w:p>
    <w:bookmarkEnd w:id="259"/>
    <w:bookmarkStart w:name="z281" w:id="260"/>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проблемы</w:t>
      </w:r>
    </w:p>
    <w:bookmarkEnd w:id="260"/>
    <w:bookmarkStart w:name="z282" w:id="261"/>
    <w:p>
      <w:pPr>
        <w:spacing w:after="0"/>
        <w:ind w:left="0"/>
        <w:jc w:val="both"/>
      </w:pPr>
      <w:r>
        <w:rPr>
          <w:rFonts w:ascii="Times New Roman"/>
          <w:b w:val="false"/>
          <w:i w:val="false"/>
          <w:color w:val="000000"/>
          <w:sz w:val="28"/>
        </w:rPr>
        <w:t>
      Использование пастбищных угодий и в целом естественных кормовых угодий регулируется специальным законодательством о пастбищах, аграрным и земельным законодательством. Однако в отраслевом законодательстве, касающемся пастбищ, отсутствуют нормы, отражающие ценность и важность этих угодий для сохранения биоразнообразия. Таким образом, отсутствуют нормы, отражающие важность биоразнообразия для оптимального функционирования, поддержания продуктивности и качества продукции естественных кормовых угодий. Вследствие этого задачи сохранения биоразнообразия не учитываются в практике управления и использования пастбищных угодий на землях сельскохозяйственного назначения и на землях поселений.</w:t>
      </w:r>
    </w:p>
    <w:bookmarkEnd w:id="261"/>
    <w:bookmarkStart w:name="z283" w:id="262"/>
    <w:p>
      <w:pPr>
        <w:spacing w:after="0"/>
        <w:ind w:left="0"/>
        <w:jc w:val="both"/>
      </w:pPr>
      <w:r>
        <w:rPr>
          <w:rFonts w:ascii="Times New Roman"/>
          <w:b w:val="false"/>
          <w:i w:val="false"/>
          <w:color w:val="000000"/>
          <w:sz w:val="28"/>
        </w:rPr>
        <w:t xml:space="preserve">
      На пастбищных угодьях в составе земель ООПТ и земель лесного фонда нередки случаи незаконной пастьбы скота и сенокошения. Часто по этой причине возникают конфликтные ситуации между сельхозтоваропроизводителями и природоохранными службами. </w:t>
      </w:r>
    </w:p>
    <w:bookmarkEnd w:id="262"/>
    <w:bookmarkStart w:name="z284" w:id="263"/>
    <w:p>
      <w:pPr>
        <w:spacing w:after="0"/>
        <w:ind w:left="0"/>
        <w:jc w:val="both"/>
      </w:pPr>
      <w:r>
        <w:rPr>
          <w:rFonts w:ascii="Times New Roman"/>
          <w:b w:val="false"/>
          <w:i w:val="false"/>
          <w:color w:val="000000"/>
          <w:sz w:val="28"/>
        </w:rPr>
        <w:t xml:space="preserve">
      Анализ ситуации показал, что в разработанных планах управления ООПТ меры по устойчивому управлению пастбищными ресурсами отсутствуют. Также и планы лесоустройства лесохозяйственных учреждений не предусматривают меры по управлению и использованию пастбищ на землях лесного фонда. В связи с этим существует острая необходимость разработки плана по управлению пастбищами и их использованию на территориях лесного фонда и ООПТ. </w:t>
      </w:r>
    </w:p>
    <w:bookmarkEnd w:id="263"/>
    <w:bookmarkStart w:name="z285" w:id="264"/>
    <w:p>
      <w:pPr>
        <w:spacing w:after="0"/>
        <w:ind w:left="0"/>
        <w:jc w:val="both"/>
      </w:pPr>
      <w:r>
        <w:rPr>
          <w:rFonts w:ascii="Times New Roman"/>
          <w:b w:val="false"/>
          <w:i w:val="false"/>
          <w:color w:val="000000"/>
          <w:sz w:val="28"/>
        </w:rPr>
        <w:t xml:space="preserve">
      Вследствие неравномерного распределения поголовья скота по территории пастбищных угодий и несоблюдения режимов сезонного использования пастбищ на наиболее интенсивно используемых пастбищах, в особенности вокруг сельских населенных пунктов, величина нагрузки скота часто значительно (до 3-10 раз) превышает рекомендованные нормативы. Это ведет к деградации и снижению продуктивности пастбищных экосистем, создает угрозу биоразнообразию как пастбищных угодий, так и прилегающих к ним территорий лесного фонда и ООПТ. </w:t>
      </w:r>
    </w:p>
    <w:bookmarkEnd w:id="264"/>
    <w:bookmarkStart w:name="z286" w:id="265"/>
    <w:p>
      <w:pPr>
        <w:spacing w:after="0"/>
        <w:ind w:left="0"/>
        <w:jc w:val="both"/>
      </w:pPr>
      <w:r>
        <w:rPr>
          <w:rFonts w:ascii="Times New Roman"/>
          <w:b w:val="false"/>
          <w:i w:val="false"/>
          <w:color w:val="000000"/>
          <w:sz w:val="28"/>
        </w:rPr>
        <w:t xml:space="preserve">
      В стране наблюдается тенденция увеличения площади сбитых пастбищ. Всего пастбищ, сбитых в средней и сильной степени, в республике числится 27,1 млн га, что составляет более четверти используемых для пастьбы скота земель. По мере увеличения степени сбоя пастбища теряют все большую часть своего естественного биоразнообразия, снижают продуктивность, на них развиваются процессы площадной и линейной эрозии почв, сокращается содержание гумуса и гумусовых кислот в почве. Наибольшие площади сбитых пастбищ числятся в Атырауской (4,1 млн га), Актюбинской (3,9 млн га), Западно-Казахстанской (2,5 млн га), Кызылординской (2,0 млн га), Акмолинской (1,9 млн га), Алматинской (1,7 млн га) областях. </w:t>
      </w:r>
    </w:p>
    <w:bookmarkEnd w:id="265"/>
    <w:bookmarkStart w:name="z287" w:id="266"/>
    <w:p>
      <w:pPr>
        <w:spacing w:after="0"/>
        <w:ind w:left="0"/>
        <w:jc w:val="both"/>
      </w:pPr>
      <w:r>
        <w:rPr>
          <w:rFonts w:ascii="Times New Roman"/>
          <w:b w:val="false"/>
          <w:i w:val="false"/>
          <w:color w:val="000000"/>
          <w:sz w:val="28"/>
        </w:rPr>
        <w:t xml:space="preserve">
      Доля деградированных земель оценивается в 26% общей площади пастбищных угодий. Эти территории отличаются особой уязвимостью и требуют специальных мер как для замедления и прекращения процессов деградации, так и для сохранения биоразнообразия. </w:t>
      </w:r>
    </w:p>
    <w:bookmarkEnd w:id="266"/>
    <w:bookmarkStart w:name="z288" w:id="267"/>
    <w:p>
      <w:pPr>
        <w:spacing w:after="0"/>
        <w:ind w:left="0"/>
        <w:jc w:val="both"/>
      </w:pPr>
      <w:r>
        <w:rPr>
          <w:rFonts w:ascii="Times New Roman"/>
          <w:b w:val="false"/>
          <w:i w:val="false"/>
          <w:color w:val="000000"/>
          <w:sz w:val="28"/>
        </w:rPr>
        <w:t>
      Субсидирование применения минеральных удобрений затрудняет переход сельхозпредприятий на органическое земледелие, способствуя дальнейшей деградации почв на пашне, что приводит к распространению эрозионных процессов на окружающие пастбищные угодья.</w:t>
      </w:r>
    </w:p>
    <w:bookmarkEnd w:id="267"/>
    <w:bookmarkStart w:name="z289" w:id="268"/>
    <w:p>
      <w:pPr>
        <w:spacing w:after="0"/>
        <w:ind w:left="0"/>
        <w:jc w:val="both"/>
      </w:pPr>
      <w:r>
        <w:rPr>
          <w:rFonts w:ascii="Times New Roman"/>
          <w:b w:val="false"/>
          <w:i w:val="false"/>
          <w:color w:val="000000"/>
          <w:sz w:val="28"/>
        </w:rPr>
        <w:t xml:space="preserve">
      Целенаправленная работа по регулированию пастбищной нагрузки и восстановлению пастбищ не ведется. Кроме того, целенаправленная работа по регулированию нагрузки на пастбища и их восстановлению требует усиленного внимания. Это важно для продовольственной и экологической безопасности страны, а также развития углеродного рынка. </w:t>
      </w:r>
    </w:p>
    <w:bookmarkEnd w:id="268"/>
    <w:bookmarkStart w:name="z290" w:id="269"/>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Тенденции</w:t>
      </w:r>
    </w:p>
    <w:bookmarkEnd w:id="269"/>
    <w:bookmarkStart w:name="z291" w:id="270"/>
    <w:p>
      <w:pPr>
        <w:spacing w:after="0"/>
        <w:ind w:left="0"/>
        <w:jc w:val="both"/>
      </w:pPr>
      <w:r>
        <w:rPr>
          <w:rFonts w:ascii="Times New Roman"/>
          <w:b w:val="false"/>
          <w:i w:val="false"/>
          <w:color w:val="000000"/>
          <w:sz w:val="28"/>
        </w:rPr>
        <w:t xml:space="preserve">
      В мире успешно развивается рынок углеродных единиц, основанный на монетизации экосистемных услуг по поглощению углерода природными экосистемами и предотвращению эмиссии парниковых газов из этих экосистем. Более известны в этом качестве лесные экосистемы, однако в последние годы в мире нарастает признание важности соответствующих процессов в пастбищных нелесных экосистемах, прежде всего в степных и подобных им. По современным оценкам в травяных экосистемах содержится 35% всего углерода, депонированного наземными экосистемами. </w:t>
      </w:r>
    </w:p>
    <w:bookmarkEnd w:id="270"/>
    <w:bookmarkStart w:name="z292" w:id="271"/>
    <w:p>
      <w:pPr>
        <w:spacing w:after="0"/>
        <w:ind w:left="0"/>
        <w:jc w:val="both"/>
      </w:pPr>
      <w:r>
        <w:rPr>
          <w:rFonts w:ascii="Times New Roman"/>
          <w:b w:val="false"/>
          <w:i w:val="false"/>
          <w:color w:val="000000"/>
          <w:sz w:val="28"/>
        </w:rPr>
        <w:t xml:space="preserve">
      В частности, особая роль депонирования углерода травяными (пастбищными) экосистемами заключается в том, что эти экосистемы накапливают углерод в почвах, а не в древесине, как леса. </w:t>
      </w:r>
    </w:p>
    <w:bookmarkEnd w:id="271"/>
    <w:bookmarkStart w:name="z293" w:id="272"/>
    <w:p>
      <w:pPr>
        <w:spacing w:after="0"/>
        <w:ind w:left="0"/>
        <w:jc w:val="both"/>
      </w:pPr>
      <w:r>
        <w:rPr>
          <w:rFonts w:ascii="Times New Roman"/>
          <w:b w:val="false"/>
          <w:i w:val="false"/>
          <w:color w:val="000000"/>
          <w:sz w:val="28"/>
        </w:rPr>
        <w:t xml:space="preserve">
      Особую важность пастбищным экосистемам как стоку и долгосрочному резервуару (хранилищу) углерода в условиях Казахстана придает также их огромная площадь, превышающая лесопокрытую площадь страны более чем в 13 раз. Таким образом, Казахстан имеет очень большой потенциал для развития рынка углеродных единиц, депонированных степными и иными экосистемами пастбищных угодий. Развитие этого рынка может стать важным инструментом сохранения и восстановления степных и иных экосистем естественных кормовых угодий. </w:t>
      </w:r>
    </w:p>
    <w:bookmarkEnd w:id="272"/>
    <w:bookmarkStart w:name="z294" w:id="273"/>
    <w:p>
      <w:pPr>
        <w:spacing w:after="0"/>
        <w:ind w:left="0"/>
        <w:jc w:val="both"/>
      </w:pPr>
      <w:r>
        <w:rPr>
          <w:rFonts w:ascii="Times New Roman"/>
          <w:b w:val="false"/>
          <w:i w:val="false"/>
          <w:color w:val="000000"/>
          <w:sz w:val="28"/>
        </w:rPr>
        <w:t xml:space="preserve">
      Частью подготовительных процедур также должны стать цифровизация и экологическая паспортизация пастбищ для различных категорий пастбищепользователей с указанием типов, продуктивности, степени деградации, уровня поглощения углерода и предотвращения эмиссии парниковых газов. Это позволит создать научно обоснованную базу для принятия решений по вопросам управления, использования и восстановления пастбищ. </w:t>
      </w:r>
    </w:p>
    <w:bookmarkEnd w:id="273"/>
    <w:bookmarkStart w:name="z295" w:id="274"/>
    <w:p>
      <w:pPr>
        <w:spacing w:after="0"/>
        <w:ind w:left="0"/>
        <w:jc w:val="both"/>
      </w:pPr>
      <w:r>
        <w:rPr>
          <w:rFonts w:ascii="Times New Roman"/>
          <w:b w:val="false"/>
          <w:i w:val="false"/>
          <w:color w:val="000000"/>
          <w:sz w:val="28"/>
        </w:rPr>
        <w:t>
      В условиях устойчивого экономического роста Казахстан сталкивается с усиливающимся антропогенным воздействием на природные экосистемы, особенно в зонах добычи ресурсов, инфраструктурного развития и агропромышленного производства. В результате наблюдаются фрагментация местообитаний, деградация растительного покрова, сокращение численности диких животных и снижение устойчивости экосистем к климатическим и техногенным угрозам.</w:t>
      </w:r>
    </w:p>
    <w:bookmarkEnd w:id="274"/>
    <w:bookmarkStart w:name="z296" w:id="275"/>
    <w:p>
      <w:pPr>
        <w:spacing w:after="0"/>
        <w:ind w:left="0"/>
        <w:jc w:val="left"/>
      </w:pPr>
      <w:r>
        <w:rPr>
          <w:rFonts w:ascii="Times New Roman"/>
          <w:b/>
          <w:i w:val="false"/>
          <w:color w:val="000000"/>
        </w:rPr>
        <w:t xml:space="preserve"> РАЗДЕЛ 3. ОБЗОР МЕЖДУНАРОДНОГО ОПЫТА </w:t>
      </w:r>
    </w:p>
    <w:bookmarkEnd w:id="275"/>
    <w:bookmarkStart w:name="z297" w:id="276"/>
    <w:p>
      <w:pPr>
        <w:spacing w:after="0"/>
        <w:ind w:left="0"/>
        <w:jc w:val="both"/>
      </w:pPr>
      <w:r>
        <w:rPr>
          <w:rFonts w:ascii="Times New Roman"/>
          <w:b/>
          <w:i w:val="false"/>
          <w:color w:val="000000"/>
          <w:sz w:val="28"/>
        </w:rPr>
        <w:t xml:space="preserve">3.1. Развитие единой экологической сети, системы особо охраняемых природных территорий и экологического туризма </w:t>
      </w:r>
    </w:p>
    <w:bookmarkEnd w:id="276"/>
    <w:bookmarkStart w:name="z298" w:id="277"/>
    <w:p>
      <w:pPr>
        <w:spacing w:after="0"/>
        <w:ind w:left="0"/>
        <w:jc w:val="both"/>
      </w:pPr>
      <w:r>
        <w:rPr>
          <w:rFonts w:ascii="Times New Roman"/>
          <w:b w:val="false"/>
          <w:i w:val="false"/>
          <w:color w:val="000000"/>
          <w:sz w:val="28"/>
        </w:rPr>
        <w:t xml:space="preserve">
      Эффективное и инновационное управление ООПТ в разных странах мира включает различные подходы: от использования современных технологий до вовлечения местных сообществ и создания уникальных партнерств между государственными и частными структурами, включая развитие сети частных ООПТ. </w:t>
      </w:r>
    </w:p>
    <w:bookmarkEnd w:id="277"/>
    <w:bookmarkStart w:name="z299" w:id="278"/>
    <w:p>
      <w:pPr>
        <w:spacing w:after="0"/>
        <w:ind w:left="0"/>
        <w:jc w:val="both"/>
      </w:pPr>
      <w:r>
        <w:rPr>
          <w:rFonts w:ascii="Times New Roman"/>
          <w:b w:val="false"/>
          <w:i w:val="false"/>
          <w:color w:val="000000"/>
          <w:sz w:val="28"/>
        </w:rPr>
        <w:t xml:space="preserve">
      Внимания заслуживает опыт стран по развитию долгосрочных программ по финансированию систем охраняемых территорий, так называемый Project Finance for Permanence (PFP). Данная модель финансирования объединяет усилия государственных и частных организаций, некоммерческих организаций и доноров для мобилизации необходимых финансовых ресурсов и обеспечения их эффективного распределения. Модель PFP предусматривает создание целевых фондов или других долгосрочных механизмов для поддержания охраняемых территорий в будущем. Это могут быть трастовые фонды или гарантированные поступления от определенных источников дохода. Подход был успешно реализован в Бразилии и Канаде для создания новых охраняемых территорий. </w:t>
      </w:r>
    </w:p>
    <w:bookmarkEnd w:id="278"/>
    <w:bookmarkStart w:name="z300" w:id="279"/>
    <w:p>
      <w:pPr>
        <w:spacing w:after="0"/>
        <w:ind w:left="0"/>
        <w:jc w:val="both"/>
      </w:pPr>
      <w:r>
        <w:rPr>
          <w:rFonts w:ascii="Times New Roman"/>
          <w:b w:val="false"/>
          <w:i w:val="false"/>
          <w:color w:val="000000"/>
          <w:sz w:val="28"/>
        </w:rPr>
        <w:t xml:space="preserve">
      Актуальным пример разработки и запуска модели PFP является сотрудничество между Правительством Монголии и крупнейшей природоохранной организацией The Nature Conservancy. Соглашение было подписано в апреле 2024 года и включает в себя программу по поддержке сети охраняемых территорий в Монголии на 15 лет с бюджетом 198 млн долларов США. Из общей суммы бюджета 71 млн долларов составят инвестиции доноров и природоохранных фондов и 126,8 млн являются возвратными средствами за счет гарантированных доходов (например, платежи за пользование природными ресурсами, плата за въезд в национальные парки и т.д.) С этой целью был создан трастовый фонд охраны природы с прозрачным механизмом его управления. Программа включает в себя мероприятия, направленные на вовлечение местного населения в процессы создания и последующего управления охраняемыми территориями, особое внимание уделено вопросам охраны водных ресурсов </w:t>
      </w:r>
    </w:p>
    <w:bookmarkEnd w:id="279"/>
    <w:bookmarkStart w:name="z301" w:id="280"/>
    <w:p>
      <w:pPr>
        <w:spacing w:after="0"/>
        <w:ind w:left="0"/>
        <w:jc w:val="both"/>
      </w:pPr>
      <w:r>
        <w:rPr>
          <w:rFonts w:ascii="Times New Roman"/>
          <w:b w:val="false"/>
          <w:i w:val="false"/>
          <w:color w:val="000000"/>
          <w:sz w:val="28"/>
        </w:rPr>
        <w:t>
      Несмотря на сравнительно короткий срок развития международной инициативы по расширению сети охраняемых территорий за счет сети OECMs (Other Effective Area-Based Conservation Measures – других эффективных территориальных мер сохранения), 15 стран уже имеют опыт адаптации подхода на национальных уровнях и всего странами было идентифицировано 6 463 территорий. Это территории, которые не являются государственными природными территориями, но при этом также имеют режим охраны и ограничения по некоторым видам хозяйственной деятельности. Одной из передовых стран в развитии сети OECMs является Колумбия, где разработана отдельная национальная дорожная карта и прописан процесс номинирования, верификации и определения территорий как национальных OECM’s. Министерство охраны окружающей среды является ответственным координирующим органом, где оценка проводится при участии заинтересованных сторон, включая общественные и научные организации.</w:t>
      </w:r>
    </w:p>
    <w:bookmarkEnd w:id="280"/>
    <w:bookmarkStart w:name="z302" w:id="281"/>
    <w:p>
      <w:pPr>
        <w:spacing w:after="0"/>
        <w:ind w:left="0"/>
        <w:jc w:val="both"/>
      </w:pPr>
      <w:r>
        <w:rPr>
          <w:rFonts w:ascii="Times New Roman"/>
          <w:b w:val="false"/>
          <w:i w:val="false"/>
          <w:color w:val="000000"/>
          <w:sz w:val="28"/>
        </w:rPr>
        <w:t xml:space="preserve">
      Для определения OECM’s не было выделено отдельного термина, они рассматриваются в рамках уже существующего приказа Министерства под категорией "дополнительные природоохранные зоны", которые соответствуют критериям OECMs. Всего в Колумбии на конец 2024 года определено 55 территорий, преимущественно это территории коренных народов. </w:t>
      </w:r>
    </w:p>
    <w:bookmarkEnd w:id="281"/>
    <w:bookmarkStart w:name="z303" w:id="282"/>
    <w:p>
      <w:pPr>
        <w:spacing w:after="0"/>
        <w:ind w:left="0"/>
        <w:jc w:val="both"/>
      </w:pPr>
      <w:r>
        <w:rPr>
          <w:rFonts w:ascii="Times New Roman"/>
          <w:b w:val="false"/>
          <w:i w:val="false"/>
          <w:color w:val="000000"/>
          <w:sz w:val="28"/>
        </w:rPr>
        <w:t xml:space="preserve">
      Для достижения цели 30 % охраняемых территорий к 2030 году, включая развитие сети OECMs Министерство охраны окружающей среды Японии в 2022 году утвердило дорожную карту "Japan's 30by30 roadmap", которая включает в себя разработку национальной системы сертификации OECMs, и была успешно протестирована в 2023 году. На конец 2024 года в Японии были определено и утверждено около 100 территорий, которые включают в себя охраняемые территории под частным управлением. Аналогичная дорожная карта была разработана и принята Министерством охраны окружающей среды Перу в 2024 году. В большинстве в разных странах к OEMCs были определены территории коренных народов, частные охраняемые территории, территории военных баз. В Мороко и Камеруне некоторые охотничьи хозяйства вошли в перечень сертифицированных OECMs. </w:t>
      </w:r>
    </w:p>
    <w:bookmarkEnd w:id="282"/>
    <w:bookmarkStart w:name="z304" w:id="283"/>
    <w:p>
      <w:pPr>
        <w:spacing w:after="0"/>
        <w:ind w:left="0"/>
        <w:jc w:val="both"/>
      </w:pPr>
      <w:r>
        <w:rPr>
          <w:rFonts w:ascii="Times New Roman"/>
          <w:b w:val="false"/>
          <w:i w:val="false"/>
          <w:color w:val="000000"/>
          <w:sz w:val="28"/>
        </w:rPr>
        <w:t>
      С точки зрения развития экотуризма заслуживает внимания опыт США с централизованным подходом с одним "окном" входа для туриста – вся информация, как система бронирования и планирования размещена на одном сайте, который продублирован в приложениях для телефонов – National Park Service. Такой же клиентоориентированный опыт предлагает и Кения с ее развитым экотуризмом. Агентство Kenya Wildlife Service предлагает услуги по всем паркам. Опыт этой страны показывает, как организация тура может снизить нагрузку на природу и фактор беспокойства диких животных, сделав при этом туризм более интересным. Экскурсии проводятся по жестким правилам, лоджии для отдыха сделаны в национальном стиле со всеми минимальными удобствами. Инфраструктура в США немного отличается от этого подхода, она сделана в более унифицированном стандартном виде, за счет этого решается вопрос экономической оптимизации и гарантирования определенных удобств в каждом парке. При этом инфраструктура располагается не в самых красивых местах, чтобы не нарушить единения человека с природой. Есть много примеров обустройства троп – от Кении, где нет тропы, а есть грунтовая дорога с лимитированным доступом количества машин в день и количества человек в машине, до проложенных деревянными досками на Байкале. И тот и другой подход минимизирует нагрузку на природные экосистемы. В США очень поучителен пример организации бронирования – некоторые парки не нуждаются в бронировании или оплате, они бесплатны, но в некоторые, которые перегружены туристами, надо заранее сделать бронирование на определенную дату. Таким образом, парки предотвращают превышение норм рекреационных нагрузок.</w:t>
      </w:r>
    </w:p>
    <w:bookmarkEnd w:id="283"/>
    <w:bookmarkStart w:name="z305" w:id="284"/>
    <w:p>
      <w:pPr>
        <w:spacing w:after="0"/>
        <w:ind w:left="0"/>
        <w:jc w:val="both"/>
      </w:pPr>
      <w:r>
        <w:rPr>
          <w:rFonts w:ascii="Times New Roman"/>
          <w:b/>
          <w:i w:val="false"/>
          <w:color w:val="000000"/>
          <w:sz w:val="28"/>
        </w:rPr>
        <w:t>3.2. Повышение эффективности охраны и воспроизводства лесов с применением практик устойчивого лесопользования</w:t>
      </w:r>
    </w:p>
    <w:bookmarkEnd w:id="284"/>
    <w:bookmarkStart w:name="z306" w:id="285"/>
    <w:p>
      <w:pPr>
        <w:spacing w:after="0"/>
        <w:ind w:left="0"/>
        <w:jc w:val="both"/>
      </w:pPr>
      <w:r>
        <w:rPr>
          <w:rFonts w:ascii="Times New Roman"/>
          <w:b w:val="false"/>
          <w:i w:val="false"/>
          <w:color w:val="000000"/>
          <w:sz w:val="28"/>
        </w:rPr>
        <w:t>
      Интересным является опыт Российской Федерации, где охрана лесов от пожаров осуществляется через прокладки опорных минерализованных полос способом взрыва, что может быть использовано в сосновых лесах Прииртышья.</w:t>
      </w:r>
    </w:p>
    <w:bookmarkEnd w:id="285"/>
    <w:bookmarkStart w:name="z307" w:id="286"/>
    <w:p>
      <w:pPr>
        <w:spacing w:after="0"/>
        <w:ind w:left="0"/>
        <w:jc w:val="both"/>
      </w:pPr>
      <w:r>
        <w:rPr>
          <w:rFonts w:ascii="Times New Roman"/>
          <w:b w:val="false"/>
          <w:i w:val="false"/>
          <w:color w:val="000000"/>
          <w:sz w:val="28"/>
        </w:rPr>
        <w:t>
      Кроме того, интересен опыт России и Республике Беларусь по маркировке лесной продукции в целях борьбы с незаконными рубками.</w:t>
      </w:r>
    </w:p>
    <w:bookmarkEnd w:id="286"/>
    <w:bookmarkStart w:name="z308" w:id="287"/>
    <w:p>
      <w:pPr>
        <w:spacing w:after="0"/>
        <w:ind w:left="0"/>
        <w:jc w:val="both"/>
      </w:pPr>
      <w:r>
        <w:rPr>
          <w:rFonts w:ascii="Times New Roman"/>
          <w:b w:val="false"/>
          <w:i w:val="false"/>
          <w:color w:val="000000"/>
          <w:sz w:val="28"/>
        </w:rPr>
        <w:t>
      В области защиты лесом от вредителей и болезней в мировой практике лесного хозяйства все больше применяются биологические методы борьбы с вредителями леса, которые должны получить широкое распространение и в лесах Казахстана. В борьбе с болезнью раком-водянкой березовых лесов Северного Казахстана применим опыт Белоруссии, основанный на отборе форм в природе, устойчивых к этому заболеванию.</w:t>
      </w:r>
    </w:p>
    <w:bookmarkEnd w:id="287"/>
    <w:bookmarkStart w:name="z309" w:id="288"/>
    <w:p>
      <w:pPr>
        <w:spacing w:after="0"/>
        <w:ind w:left="0"/>
        <w:jc w:val="both"/>
      </w:pPr>
      <w:r>
        <w:rPr>
          <w:rFonts w:ascii="Times New Roman"/>
          <w:b w:val="false"/>
          <w:i w:val="false"/>
          <w:color w:val="000000"/>
          <w:sz w:val="28"/>
        </w:rPr>
        <w:t>
      Для развития направления воспроизводства лесов следует обратить внимание на опыт стран с высоким уровнем ведения лесного хозяйства, которые при восстановлении лесов перешли на использование посадочного материала с закрытой корневой системой (Финляндия, Швеция, Германия и др.), выращенного из селекционных семян с улучшенными наследственными качествами. Такой опыт внедрен в Казахстане в лесосеменном комплексе ГЛПР "Семей орманы", который будет масштабирован в лесных хозяйствах страны.</w:t>
      </w:r>
    </w:p>
    <w:bookmarkEnd w:id="288"/>
    <w:bookmarkStart w:name="z310" w:id="289"/>
    <w:p>
      <w:pPr>
        <w:spacing w:after="0"/>
        <w:ind w:left="0"/>
        <w:jc w:val="both"/>
      </w:pPr>
      <w:r>
        <w:rPr>
          <w:rFonts w:ascii="Times New Roman"/>
          <w:b w:val="false"/>
          <w:i w:val="false"/>
          <w:color w:val="000000"/>
          <w:sz w:val="28"/>
        </w:rPr>
        <w:t xml:space="preserve">
      В 2026 году будет начато строительство данных комплексов в Алматинской, Костанайской, Восточно-Казахстанской областях и области Абай. </w:t>
      </w:r>
    </w:p>
    <w:bookmarkEnd w:id="289"/>
    <w:bookmarkStart w:name="z311" w:id="290"/>
    <w:p>
      <w:pPr>
        <w:spacing w:after="0"/>
        <w:ind w:left="0"/>
        <w:jc w:val="both"/>
      </w:pPr>
      <w:r>
        <w:rPr>
          <w:rFonts w:ascii="Times New Roman"/>
          <w:b w:val="false"/>
          <w:i w:val="false"/>
          <w:color w:val="000000"/>
          <w:sz w:val="28"/>
        </w:rPr>
        <w:t>
      Для государственной поддержки деревообработки и лесозаготовок в Казахстане наиболее приемлемым является опыт РФ и Беларуси. Фонд развития промышленности (ФРП) РФ существенно расширил возможности получения льготных займов для предприятий, занимающихся переработкой древесины. В первую очередь – это программа совместного финансирования с региональными ФРП, запущенная в конце декабря 2020 года. Она получила название "Проекты лесной промышленности". Ее участниками могут стать предприятия малого и среднего бизнеса, которые хотят приобрести технологическое оборудование для модернизации своих производственных мощностей. Таким предприятиям федеральный и региональные фонды предоставляют совместные льготные займы в размере от 20 до 100 млн рублей под 1 или 3 % годовых. Сумма займа формируется из двух бюджетов: 70 % – федеральные средства, 30 % – средства регионов. Для реализации более масштабных проектов компании лесной промышленности могут воспользоваться действующей программой ФРП "Проекты развития" и получить заем на сумму от 50 до 500 млн рублей также под 1 % или 3 % годовых. В рамках этой программы льготное софинансирование предоставляется на проекты, направленные на импортозамещение, производство высокотехнологичной продукции гражданского назначения и внедрение современных технологий. Расширен перечень оборудования по программе "Лизинговые проекты". Деревопереработчики смогут по упрощенной схеме взять в лизинг под 1% годовых любое необходимое им промышленное оборудование: сортировочное, лесопильное, сушильное, дробильное, прессовое, станки для глубокой переработки и для сращивания и склеивания древесины, а также для гранулирования и изготовления пеллет и брикетов. Для деревопереработки предусмотрены льготы - лизинг на станки, харвестеры и форвардеры – под 1 % годовых. Льготные условия распространяются и на вспомогательную технику: погрузочно-разгрузочные и самоходные машины, включая автопогрузчики и краны.</w:t>
      </w:r>
    </w:p>
    <w:bookmarkEnd w:id="290"/>
    <w:bookmarkStart w:name="z312" w:id="291"/>
    <w:p>
      <w:pPr>
        <w:spacing w:after="0"/>
        <w:ind w:left="0"/>
        <w:jc w:val="both"/>
      </w:pPr>
      <w:r>
        <w:rPr>
          <w:rFonts w:ascii="Times New Roman"/>
          <w:b w:val="false"/>
          <w:i w:val="false"/>
          <w:color w:val="000000"/>
          <w:sz w:val="28"/>
        </w:rPr>
        <w:t>
      В Республике Беларусь для повышения эффективности работы лесной и деревообрабатывающих отраслей экономики ежегодно за счет бюджетных средств строится не менее 100 км лесохозяйственных дорог. Такой опыт важен для Восточно-Казахстанской области, где этот вопрос стоит наиболее остро.</w:t>
      </w:r>
    </w:p>
    <w:bookmarkEnd w:id="291"/>
    <w:bookmarkStart w:name="z313" w:id="292"/>
    <w:p>
      <w:pPr>
        <w:spacing w:after="0"/>
        <w:ind w:left="0"/>
        <w:jc w:val="both"/>
      </w:pPr>
      <w:r>
        <w:rPr>
          <w:rFonts w:ascii="Times New Roman"/>
          <w:b w:val="false"/>
          <w:i w:val="false"/>
          <w:color w:val="000000"/>
          <w:sz w:val="28"/>
        </w:rPr>
        <w:t>
       Лесные плантации, определяемые также как "плантации лесных древесных пород", успешно создаются и используются во многих странах мира (Китай, Чили, ЮАР, Швеция, Финляндия, Италия, Канада, США и др.) в основном для удовлетворения потребности в древесине, а также и иных целях. Это одно из важных направлений лесного хозяйства и использования земель лесного фонда, направленных на расширение лесных экосистем. Одним из ключевых аспектов создания лесных плантаций является выбор подходящей породы деревьев и кустарников. В разных регионах мира используются различные породы, адаптированные к местным климатическим условиям и почвам. Важным аспектом является агротехника, особенно в части возможности создания орошаемых плантаций. В некоторых случаях используется такой метод, как агролесоводство, который сочетает в себе выращивание деревьев с сельскохозяйственными культурами. Мировой опыт создания лесных плантаций показывает, что это может иметь различные экологические, социальные и экономические выгоды, но может иметь и негативные последствия, такие как вытеснение местных растительных сообществ, отрицательное влияние на биоразнообразие. Поэтому к созданию лесных плантаций должен быть ответственный подход, учитывающий потенциальные риски и выгоды.</w:t>
      </w:r>
    </w:p>
    <w:bookmarkEnd w:id="292"/>
    <w:bookmarkStart w:name="z314" w:id="293"/>
    <w:p>
      <w:pPr>
        <w:spacing w:after="0"/>
        <w:ind w:left="0"/>
        <w:jc w:val="both"/>
      </w:pPr>
      <w:r>
        <w:rPr>
          <w:rFonts w:ascii="Times New Roman"/>
          <w:b/>
          <w:i w:val="false"/>
          <w:color w:val="000000"/>
          <w:sz w:val="28"/>
        </w:rPr>
        <w:t>3.3. Усовершенствование системы мониторинга, охраны и устойчивого использования животного мира</w:t>
      </w:r>
    </w:p>
    <w:bookmarkEnd w:id="293"/>
    <w:bookmarkStart w:name="z315" w:id="294"/>
    <w:p>
      <w:pPr>
        <w:spacing w:after="0"/>
        <w:ind w:left="0"/>
        <w:jc w:val="both"/>
      </w:pPr>
      <w:r>
        <w:rPr>
          <w:rFonts w:ascii="Times New Roman"/>
          <w:b w:val="false"/>
          <w:i w:val="false"/>
          <w:color w:val="000000"/>
          <w:sz w:val="28"/>
        </w:rPr>
        <w:t xml:space="preserve">
      В различных странах существуют различные системы управления животным миром, зависящие от права собственности на землю, традиций и т.п., соответственно, выстраивается национальное и региональное законодательство. Так, странами Евросоюза принят Закон о восстановлении природы, являющийся ключевым элементом Стратегии ЕС по биоразнообразию, который устанавливает обязательные цели по восстановлению деградировавших экосистем, включая биоразнообразие. Специально на сохранение птиц в ЕС направлена "Птичья директива", среди прочего полностью запрещающая весеннюю охоту, с единичными исключениями. В ЕС действует ряд правил для борьбы с инвазивными чужеродными видами (IAS). </w:t>
      </w:r>
    </w:p>
    <w:bookmarkEnd w:id="294"/>
    <w:bookmarkStart w:name="z316" w:id="295"/>
    <w:p>
      <w:pPr>
        <w:spacing w:after="0"/>
        <w:ind w:left="0"/>
        <w:jc w:val="both"/>
      </w:pPr>
      <w:r>
        <w:rPr>
          <w:rFonts w:ascii="Times New Roman"/>
          <w:b w:val="false"/>
          <w:i w:val="false"/>
          <w:color w:val="000000"/>
          <w:sz w:val="28"/>
        </w:rPr>
        <w:t xml:space="preserve">
      В США среди наиболее важных федеральных законов – Закон об исчезающих видах (ESA). Помимо ESA, во многих штатах действуют собственные правила по защите биоразнообразия, включая правила по защите водно-болотных угодий, управлению дикой природой, защите редких и находящихся под угрозой исчезновения видов. В Северной и Центральной Америке эффективно действуют межгосударственные соглашения по сохранению мигрирующих птиц и их местообитаний. </w:t>
      </w:r>
    </w:p>
    <w:bookmarkEnd w:id="295"/>
    <w:bookmarkStart w:name="z317" w:id="296"/>
    <w:p>
      <w:pPr>
        <w:spacing w:after="0"/>
        <w:ind w:left="0"/>
        <w:jc w:val="both"/>
      </w:pPr>
      <w:r>
        <w:rPr>
          <w:rFonts w:ascii="Times New Roman"/>
          <w:b w:val="false"/>
          <w:i w:val="false"/>
          <w:color w:val="000000"/>
          <w:sz w:val="28"/>
        </w:rPr>
        <w:t>
      Что касается собственности на животный мир, то, например, в Монголии, она принадлежит государству, но правом управления животным миром наделены различные институты власти. В большинстве европейских государств (Англия, Германия, Австрия, Чехия и др.) собственность на животный мир связана с правом землевладения, соответственно, и объем добычи охотничьих животных определяется землевладельцем и охотхозяйственной организацией.</w:t>
      </w:r>
    </w:p>
    <w:bookmarkEnd w:id="296"/>
    <w:bookmarkStart w:name="z318" w:id="297"/>
    <w:p>
      <w:pPr>
        <w:spacing w:after="0"/>
        <w:ind w:left="0"/>
        <w:jc w:val="both"/>
      </w:pPr>
      <w:r>
        <w:rPr>
          <w:rFonts w:ascii="Times New Roman"/>
          <w:b w:val="false"/>
          <w:i w:val="false"/>
          <w:color w:val="000000"/>
          <w:sz w:val="28"/>
        </w:rPr>
        <w:t xml:space="preserve">
      В законодательстве стран ЕС и Армении предусмотрена ответственность землевладельцев за сохранение редких животных, обитающих на их землях. </w:t>
      </w:r>
    </w:p>
    <w:bookmarkEnd w:id="297"/>
    <w:bookmarkStart w:name="z319" w:id="298"/>
    <w:p>
      <w:pPr>
        <w:spacing w:after="0"/>
        <w:ind w:left="0"/>
        <w:jc w:val="both"/>
      </w:pPr>
      <w:r>
        <w:rPr>
          <w:rFonts w:ascii="Times New Roman"/>
          <w:b w:val="false"/>
          <w:i w:val="false"/>
          <w:color w:val="000000"/>
          <w:sz w:val="28"/>
        </w:rPr>
        <w:t>
       В странах Центральной Европы (Чехия, Словакия, Австрия, частично Германия), а также в Великобритании охотничьи хозяйства, как правило, располагаются на землях частных собственников. Право ведения охотничьего хозяйства предоставляется самим владельцам либо арендуется охотничьими коллективами и обществами. Наряду с открытыми угодьями существуют и огороженные хозяйства (оборы, парки), где осуществляются содержание и разведение дичи с последующим использованием для охоты. В Турции, Украине, Белоруссии, России, Западной и Центральной Азии, Канаде, странах Африки большая часть охотничьих хозяйств организована на государственных землях с различными формами землевладения. Во многих государствах сочетаются охотничьи хозяйства и охотничьи фермы. На фермах разводят как охотничьи виды, так и редких и исчезающих животных, которые являются частной собственностью владельцев ферм; порядок пользования этими животными определяет владелец. В Казахстане, несмотря на то, что основная часть земель принадлежит государству, на частных землевладениях и землях с интенсивным ведением сельского хозяйства вполне применим опыт европейских стран.</w:t>
      </w:r>
    </w:p>
    <w:bookmarkEnd w:id="298"/>
    <w:bookmarkStart w:name="z320" w:id="299"/>
    <w:p>
      <w:pPr>
        <w:spacing w:after="0"/>
        <w:ind w:left="0"/>
        <w:jc w:val="both"/>
      </w:pPr>
      <w:r>
        <w:rPr>
          <w:rFonts w:ascii="Times New Roman"/>
          <w:b w:val="false"/>
          <w:i w:val="false"/>
          <w:color w:val="000000"/>
          <w:sz w:val="28"/>
        </w:rPr>
        <w:t>
      Охрана животного мира в европейских государствах возложена на полицию, в большинстве стран содружества независимых государств – на специализированные органы. Но все больше прав передается егерской службе охотничьих хозяйств или специализированным службам охраны, нанимаемым владельцами хозяйств. Во многих государствах законодательно определено привлечение населения к управлению животным миром, вплоть до прямого участия в охранных мероприятиях. В Кыргызстане приняты прогрессивные законодательные нормы, согласно которым 40 % от платы за ресурсы возвращается охотпользователям на проведение биотехнических мероприятий, 25 % перечисляется в местный бюджет и 35 % в уполномоченный орган. Там же существует институт общественных инспекторов, которые, как и егери охотхозяйств, получают вознаграждение в размере 30 % от суммы штрафов и исков. Поощрение за выявленные факты незаконной охоты применяется и в Узбекистане. Эта практика действовала и в тогдашней Казахской Советской Социалистической Республики. В результате фактов браконьерства, выявляемых егерями и общественными инспекторами, фиксировалось больше, чем со стороны государственных инспекторов. В Монголии правом охраны наделены и неправительственные организации. В Великобритании негосударственное Королевское общество защиты птиц (RSPB) выявляет больше фактов незаконной добычи диких животных, чем полиция (эта организация выявляет факт нарушения, собирает первичный материал и передает в полицию для принятия процессуального решения).</w:t>
      </w:r>
    </w:p>
    <w:bookmarkEnd w:id="299"/>
    <w:bookmarkStart w:name="z321" w:id="300"/>
    <w:p>
      <w:pPr>
        <w:spacing w:after="0"/>
        <w:ind w:left="0"/>
        <w:jc w:val="both"/>
      </w:pPr>
      <w:r>
        <w:rPr>
          <w:rFonts w:ascii="Times New Roman"/>
          <w:b w:val="false"/>
          <w:i w:val="false"/>
          <w:color w:val="000000"/>
          <w:sz w:val="28"/>
        </w:rPr>
        <w:t xml:space="preserve">
      Практически во всех странах предусмотрено обязательное обучение охотников и егерской службы, особенно строгий подход наблюдается в странах ЕС. Огромную роль в мониторинге редких и обычных видов животных (прежде всего птиц) в Европе играют любители природы, вносящие информацию о наблюдениях через широко используемые интернет-порталы и мобильные приложения. </w:t>
      </w:r>
    </w:p>
    <w:bookmarkEnd w:id="300"/>
    <w:bookmarkStart w:name="z322" w:id="301"/>
    <w:p>
      <w:pPr>
        <w:spacing w:after="0"/>
        <w:ind w:left="0"/>
        <w:jc w:val="both"/>
      </w:pPr>
      <w:r>
        <w:rPr>
          <w:rFonts w:ascii="Times New Roman"/>
          <w:b w:val="false"/>
          <w:i w:val="false"/>
          <w:color w:val="000000"/>
          <w:sz w:val="28"/>
        </w:rPr>
        <w:t xml:space="preserve">
      По успешному внедрению природоохранных мер в промышленности можно привести следующие примеры. </w:t>
      </w:r>
    </w:p>
    <w:bookmarkEnd w:id="301"/>
    <w:p>
      <w:pPr>
        <w:spacing w:after="0"/>
        <w:ind w:left="0"/>
        <w:jc w:val="both"/>
      </w:pPr>
      <w:bookmarkStart w:name="z323" w:id="302"/>
      <w:r>
        <w:rPr>
          <w:rFonts w:ascii="Times New Roman"/>
          <w:b w:val="false"/>
          <w:i w:val="false"/>
          <w:color w:val="000000"/>
          <w:sz w:val="28"/>
        </w:rPr>
        <w:t xml:space="preserve">
      В Испании высокоскоростная железнодорожная линия должна была пройти через природные территории, входящие в сеть Natura 2000 (Natura </w:t>
      </w:r>
    </w:p>
    <w:bookmarkEnd w:id="302"/>
    <w:p>
      <w:pPr>
        <w:spacing w:after="0"/>
        <w:ind w:left="0"/>
        <w:jc w:val="both"/>
      </w:pPr>
      <w:r>
        <w:rPr>
          <w:rFonts w:ascii="Times New Roman"/>
          <w:b w:val="false"/>
          <w:i w:val="false"/>
          <w:color w:val="000000"/>
          <w:sz w:val="28"/>
        </w:rPr>
        <w:t>2000 Viewer). В рамках директивы по стратегической экологической оценке (SEA) и директивы по охране природных местообитаний (Habitats Directive) были проведены детальные экологические оценки, что позволило избежать строительства на наиболее уязвимых территориях и принять компенсационные меры. Результаты – сохранение ценных экосистем, минимизация негативного воздействия на биоразнообразие и успешное завершение инфраструктурного проекта.</w:t>
      </w:r>
    </w:p>
    <w:bookmarkStart w:name="z324" w:id="303"/>
    <w:p>
      <w:pPr>
        <w:spacing w:after="0"/>
        <w:ind w:left="0"/>
        <w:jc w:val="both"/>
      </w:pPr>
      <w:r>
        <w:rPr>
          <w:rFonts w:ascii="Times New Roman"/>
          <w:b w:val="false"/>
          <w:i w:val="false"/>
          <w:color w:val="000000"/>
          <w:sz w:val="28"/>
        </w:rPr>
        <w:t>
      Проект возобновляемой энергии на морской ветровой электростанции Horns Rev 2 в Дании. Строительство одной из крупнейших морских ветровых электростанций в Европе. В рамках директивы по экологической оценке (EIA) и морской стратегии ЕС были проведены обширные исследования воздействия на морскую экосистему, разработаны меры по защите морских обитателей и учету миграционных путей птиц. Результаты – успешная интеграция электростанции в природную среду, минимизация воздействия на биоразнообразие и значительный вклад в развитие возобновляемых источников энергии.</w:t>
      </w:r>
    </w:p>
    <w:bookmarkEnd w:id="303"/>
    <w:bookmarkStart w:name="z325" w:id="304"/>
    <w:p>
      <w:pPr>
        <w:spacing w:after="0"/>
        <w:ind w:left="0"/>
        <w:jc w:val="both"/>
      </w:pPr>
      <w:r>
        <w:rPr>
          <w:rFonts w:ascii="Times New Roman"/>
          <w:b/>
          <w:i w:val="false"/>
          <w:color w:val="000000"/>
          <w:sz w:val="28"/>
        </w:rPr>
        <w:t>3.4. Сохранение биологического разнообразия ихтиофауны и увеличение природной популяции промысловых рыб за счет снижения нагрузки на естественные рыбные ресурсы</w:t>
      </w:r>
    </w:p>
    <w:bookmarkEnd w:id="304"/>
    <w:bookmarkStart w:name="z326" w:id="305"/>
    <w:p>
      <w:pPr>
        <w:spacing w:after="0"/>
        <w:ind w:left="0"/>
        <w:jc w:val="both"/>
      </w:pPr>
      <w:r>
        <w:rPr>
          <w:rFonts w:ascii="Times New Roman"/>
          <w:b w:val="false"/>
          <w:i w:val="false"/>
          <w:color w:val="000000"/>
          <w:sz w:val="28"/>
        </w:rPr>
        <w:t>
      В направлении развития системы учета и борьбы с инвазивными (чужеродными видами) стоит обратить внимание на опыт стран Европейского Союза, где действует ряд правил для борьбы с инвазивными чужеродными видами, объединенными нормативами IAS. В рамках Регламента ЕC об инвазивных чужеродных видах ЕС стремится предотвратить внедрение и распространение инвазивных чужеродных видов и минимизировать их воздействие на биоразнообразие и экосистемные услуги.</w:t>
      </w:r>
    </w:p>
    <w:bookmarkEnd w:id="305"/>
    <w:bookmarkStart w:name="z327" w:id="306"/>
    <w:p>
      <w:pPr>
        <w:spacing w:after="0"/>
        <w:ind w:left="0"/>
        <w:jc w:val="both"/>
      </w:pPr>
      <w:r>
        <w:rPr>
          <w:rFonts w:ascii="Times New Roman"/>
          <w:b w:val="false"/>
          <w:i w:val="false"/>
          <w:color w:val="000000"/>
          <w:sz w:val="28"/>
        </w:rPr>
        <w:t>
      Проект восстановления реки Рейн является примером экологичной реализации природоохранных мероприятий. Индустриализация и строительство плотин привели к значительным экологическим проблемам в бассейне реки Рейн. В рамках директивы по экологической оценке (EIA) и директивы по охране природных местообитаний (Habitats Directive) были реализованы проекты по восстановлению естественного течения реки, созданию рыбопропускных сооружений и улучшению качества воды. В результате значительно улучшилось биоразнообразие, возвратились многие виды рыб, включая лосося, произошло восстановление водно-болотных угодий.</w:t>
      </w:r>
    </w:p>
    <w:bookmarkEnd w:id="306"/>
    <w:p>
      <w:pPr>
        <w:spacing w:after="0"/>
        <w:ind w:left="0"/>
        <w:jc w:val="both"/>
      </w:pPr>
      <w:r>
        <w:rPr>
          <w:rFonts w:ascii="Times New Roman"/>
          <w:b/>
          <w:i w:val="false"/>
          <w:color w:val="000000"/>
          <w:sz w:val="28"/>
        </w:rPr>
        <w:t>3</w:t>
      </w:r>
      <w:r>
        <w:rPr>
          <w:rFonts w:ascii="Times New Roman"/>
          <w:b/>
          <w:i w:val="false"/>
          <w:color w:val="000000"/>
          <w:sz w:val="28"/>
        </w:rPr>
        <w:t>.5. Внедрение эффективных мер охраны, восстановления и использования растительного мира</w:t>
      </w:r>
    </w:p>
    <w:bookmarkStart w:name="z329" w:id="307"/>
    <w:p>
      <w:pPr>
        <w:spacing w:after="0"/>
        <w:ind w:left="0"/>
        <w:jc w:val="both"/>
      </w:pPr>
      <w:r>
        <w:rPr>
          <w:rFonts w:ascii="Times New Roman"/>
          <w:b w:val="false"/>
          <w:i w:val="false"/>
          <w:color w:val="000000"/>
          <w:sz w:val="28"/>
        </w:rPr>
        <w:t>
      Помимо национальных стратегий по сохранению биоразнообразия, некоторые страны имеют отдельные национальные стратегии сохранения растений. В числе таких стран – Великобритания (здесь утверждена программа Plant Diversity Challenge – the UK's response to the global strategy for plant conservation). В Республике Белорусь стратегия сохранения растений стала частью национальной Стратегии сохранения биологического разнообразия, утвержденной Правительством страны.</w:t>
      </w:r>
    </w:p>
    <w:bookmarkEnd w:id="307"/>
    <w:bookmarkStart w:name="z330" w:id="308"/>
    <w:p>
      <w:pPr>
        <w:spacing w:after="0"/>
        <w:ind w:left="0"/>
        <w:jc w:val="both"/>
      </w:pPr>
      <w:r>
        <w:rPr>
          <w:rFonts w:ascii="Times New Roman"/>
          <w:b w:val="false"/>
          <w:i w:val="false"/>
          <w:color w:val="000000"/>
          <w:sz w:val="28"/>
        </w:rPr>
        <w:t>
      В марте 2013 года Южноафриканский национальный институт биоразнообразия (SANBI) организовал семинар для разработки национальной стратегии охраны растений Южной Африки. Мексиканская стратегия охраны растений на 2012–2030 годы была запущена в ноябре 2012 года Национальной комиссией по сохранению и использованию биоразнообразия Мексики (CONABIO). Кавказская экспертная группа Красного списка растений, созданная под эгидой Комиссии по выживанию видов МСОП, разработала региональную стратегию охраны растений, цели которой соответствуют целям глобальной стратегии охраны растений (GSPC) на 2011 – 2020 годы.</w:t>
      </w:r>
    </w:p>
    <w:bookmarkEnd w:id="308"/>
    <w:bookmarkStart w:name="z331" w:id="309"/>
    <w:p>
      <w:pPr>
        <w:spacing w:after="0"/>
        <w:ind w:left="0"/>
        <w:jc w:val="both"/>
      </w:pPr>
      <w:r>
        <w:rPr>
          <w:rFonts w:ascii="Times New Roman"/>
          <w:b w:val="false"/>
          <w:i w:val="false"/>
          <w:color w:val="000000"/>
          <w:sz w:val="28"/>
        </w:rPr>
        <w:t>
      В рамках стратегии сохранения растений впервые были определены важные для сохранения растений участки в Турции. Одной из наиболее известных программ стала Important Plant Areas или ключевые ботанические территории. Выделение ключевых ботанических территорий (далее – КБТ) должно помочь оптимизации сети ООПТ, позволив сосредоточить усилия и финансовые возможности на самых важных участках для сохранения биологического разнообразия. Именно это направление получило наибольшую поддержку по всему миру. В европейских странах создана организация "Planta Europa", которая объединяет независимые неправительственные, правительственные организации и частные лица, работающие вместе для сохранения европейских диких растений и грибов. Казахстанский институт ботаники и фитоиндустрии вступил в эту организацию в 2015 году и развивает сотрудничество в направлении реализации совместных проектов по созданию в Казахстане сети КБТ как части всемирной сети КБТ, перспективных для организации на их основе новых ООПТ.</w:t>
      </w:r>
    </w:p>
    <w:bookmarkEnd w:id="309"/>
    <w:bookmarkStart w:name="z332" w:id="310"/>
    <w:p>
      <w:pPr>
        <w:spacing w:after="0"/>
        <w:ind w:left="0"/>
        <w:jc w:val="both"/>
      </w:pPr>
      <w:r>
        <w:rPr>
          <w:rFonts w:ascii="Times New Roman"/>
          <w:b w:val="false"/>
          <w:i w:val="false"/>
          <w:color w:val="000000"/>
          <w:sz w:val="28"/>
        </w:rPr>
        <w:t>
      Очень активно во всем мире ведется работа по сохранению исчезающих видов растений в ботанических садах и питомниках (</w:t>
      </w:r>
      <w:r>
        <w:rPr>
          <w:rFonts w:ascii="Times New Roman"/>
          <w:b w:val="false"/>
          <w:i/>
          <w:color w:val="000000"/>
          <w:sz w:val="28"/>
        </w:rPr>
        <w:t>ex-situ</w:t>
      </w:r>
      <w:r>
        <w:rPr>
          <w:rFonts w:ascii="Times New Roman"/>
          <w:b w:val="false"/>
          <w:i w:val="false"/>
          <w:color w:val="000000"/>
          <w:sz w:val="28"/>
        </w:rPr>
        <w:t>). Несмотря на успехи этого направления, необходимо помнить, что только сохранение в природных условиях позволяет сохранить генетическое разнообразие популяций, а значит, сохранение в коллекциях можно рассматривать как дополнение к сохранению в природе.</w:t>
      </w:r>
    </w:p>
    <w:bookmarkEnd w:id="310"/>
    <w:p>
      <w:pPr>
        <w:spacing w:after="0"/>
        <w:ind w:left="0"/>
        <w:jc w:val="both"/>
      </w:pPr>
      <w:r>
        <w:rPr>
          <w:rFonts w:ascii="Times New Roman"/>
          <w:b/>
          <w:i w:val="false"/>
          <w:color w:val="000000"/>
          <w:sz w:val="28"/>
        </w:rPr>
        <w:t>3</w:t>
      </w:r>
      <w:r>
        <w:rPr>
          <w:rFonts w:ascii="Times New Roman"/>
          <w:b/>
          <w:i w:val="false"/>
          <w:color w:val="000000"/>
          <w:sz w:val="28"/>
        </w:rPr>
        <w:t>.6. Восстановление деградированных пастбищ путем внедрения методов устойчивого управления и использования</w:t>
      </w:r>
    </w:p>
    <w:bookmarkStart w:name="z334" w:id="311"/>
    <w:p>
      <w:pPr>
        <w:spacing w:after="0"/>
        <w:ind w:left="0"/>
        <w:jc w:val="both"/>
      </w:pPr>
      <w:r>
        <w:rPr>
          <w:rFonts w:ascii="Times New Roman"/>
          <w:b w:val="false"/>
          <w:i w:val="false"/>
          <w:color w:val="000000"/>
          <w:sz w:val="28"/>
        </w:rPr>
        <w:t xml:space="preserve">
      Представляет интерес опыт некоторых стран о регламентированной пастбищной нагрузки на ООПТ, а именно в степных зонах, так как естественные степные экосистемы сформировались под воздействием диких стадных копытных (ныне вымерших или ставших очень малочисленными). Для поддержания естественного равновесия эти экосистемы нуждаются в умеренной пастбищной нагрузке. При этом снижается количество ветоши в травостое, почва обогащается навозом и, соответственно, повышается ее способность поглощать и удерживать углерод. Такой подход распространен на прериях американских национальных парков и в России на части территорий степных национальных и природных парков. </w:t>
      </w:r>
    </w:p>
    <w:bookmarkEnd w:id="311"/>
    <w:p>
      <w:pPr>
        <w:spacing w:after="0"/>
        <w:ind w:left="0"/>
        <w:jc w:val="both"/>
      </w:pPr>
      <w:bookmarkStart w:name="z335" w:id="312"/>
      <w:r>
        <w:rPr>
          <w:rFonts w:ascii="Times New Roman"/>
          <w:b w:val="false"/>
          <w:i w:val="false"/>
          <w:color w:val="000000"/>
          <w:sz w:val="28"/>
        </w:rPr>
        <w:t xml:space="preserve">
      Большое внимание подходам устойчивого управления пастбищами уделяется в соседнем Кыргызстане. Согласно Закону "О пастбищах", полномочия по управлению пастбищами были обратно переданы местным объединениям пастбищепользователей. В рамках Закона было создано </w:t>
      </w:r>
    </w:p>
    <w:bookmarkEnd w:id="312"/>
    <w:p>
      <w:pPr>
        <w:spacing w:after="0"/>
        <w:ind w:left="0"/>
        <w:jc w:val="both"/>
      </w:pPr>
      <w:r>
        <w:rPr>
          <w:rFonts w:ascii="Times New Roman"/>
          <w:b w:val="false"/>
          <w:i w:val="false"/>
          <w:color w:val="000000"/>
          <w:sz w:val="28"/>
        </w:rPr>
        <w:t xml:space="preserve">454 пастбищных комитета, ответственных за мониторинг состояния пастбищ, разработку планов их использования, выдачу пастбищных билетов и управление доходами от использования пастбищ. Использование пастбищ осуществляется в соответствии с планом сообщества по управлению и использованию пастбищ и ежегодным планом использования. Ответственность и контроль за управлением государственными пастбищными угодьями, кроме права распоряжения, осуществляются органом местного самоуправления, который вправе делегировать полномочия по управлению и их использованию объединениям пастбищепользователей. </w:t>
      </w:r>
    </w:p>
    <w:bookmarkStart w:name="z336" w:id="313"/>
    <w:p>
      <w:pPr>
        <w:spacing w:after="0"/>
        <w:ind w:left="0"/>
        <w:jc w:val="both"/>
      </w:pPr>
      <w:r>
        <w:rPr>
          <w:rFonts w:ascii="Times New Roman"/>
          <w:b w:val="false"/>
          <w:i w:val="false"/>
          <w:color w:val="000000"/>
          <w:sz w:val="28"/>
        </w:rPr>
        <w:t xml:space="preserve">
      В 2024 году в Кыргызстане была принята отдельная программа развития пастбищ на 2024 – 2029 годы, которая нацелена на три приоритетных направления: </w:t>
      </w:r>
    </w:p>
    <w:bookmarkEnd w:id="313"/>
    <w:bookmarkStart w:name="z337" w:id="314"/>
    <w:p>
      <w:pPr>
        <w:spacing w:after="0"/>
        <w:ind w:left="0"/>
        <w:jc w:val="both"/>
      </w:pPr>
      <w:r>
        <w:rPr>
          <w:rFonts w:ascii="Times New Roman"/>
          <w:b w:val="false"/>
          <w:i w:val="false"/>
          <w:color w:val="000000"/>
          <w:sz w:val="28"/>
        </w:rPr>
        <w:t xml:space="preserve">
      1) регулярное проведение тренингов и семинаров для членов пастбищных комитетов и пастбищепользователей, что способствует повышению их компетентности в вопросах устойчивого управления пастбищами; </w:t>
      </w:r>
    </w:p>
    <w:bookmarkEnd w:id="314"/>
    <w:bookmarkStart w:name="z338" w:id="315"/>
    <w:p>
      <w:pPr>
        <w:spacing w:after="0"/>
        <w:ind w:left="0"/>
        <w:jc w:val="both"/>
      </w:pPr>
      <w:r>
        <w:rPr>
          <w:rFonts w:ascii="Times New Roman"/>
          <w:b w:val="false"/>
          <w:i w:val="false"/>
          <w:color w:val="000000"/>
          <w:sz w:val="28"/>
        </w:rPr>
        <w:t xml:space="preserve">
      2) использование автоматизированных систем управления и методов, что позволяет более эффективно контролировать состояние пастбищ и предотвращать их деградацию; </w:t>
      </w:r>
    </w:p>
    <w:bookmarkEnd w:id="315"/>
    <w:bookmarkStart w:name="z339" w:id="316"/>
    <w:p>
      <w:pPr>
        <w:spacing w:after="0"/>
        <w:ind w:left="0"/>
        <w:jc w:val="both"/>
      </w:pPr>
      <w:r>
        <w:rPr>
          <w:rFonts w:ascii="Times New Roman"/>
          <w:b w:val="false"/>
          <w:i w:val="false"/>
          <w:color w:val="000000"/>
          <w:sz w:val="28"/>
        </w:rPr>
        <w:t>
      3) восстановление дорог, мостов и водопоев на дальних пастбищах, что будет стимулировать их использование и снизит нагрузку на присельные пастбища.</w:t>
      </w:r>
    </w:p>
    <w:bookmarkEnd w:id="316"/>
    <w:bookmarkStart w:name="z340" w:id="317"/>
    <w:p>
      <w:pPr>
        <w:spacing w:after="0"/>
        <w:ind w:left="0"/>
        <w:jc w:val="both"/>
      </w:pPr>
      <w:r>
        <w:rPr>
          <w:rFonts w:ascii="Times New Roman"/>
          <w:b w:val="false"/>
          <w:i w:val="false"/>
          <w:color w:val="000000"/>
          <w:sz w:val="28"/>
        </w:rPr>
        <w:t>
      Активно в мире развивается форма углеродных офсетов в травяных (пастбищных) экосистемах, она же является оптимальной для Казахстана как подход предохранения степных экосистем от преобразований, ведущих к эмиссии накопленного почвенного углерода. Смысл таких офсетных схем в том, что единственными видами воздействий, которые способны привести к быстрой эмиссии накопленного травяной экосистемой почвенного углерода, являются распашка и другие агротехнические приемы. Предохранение травяных экосистем от таких воздействий признается в мире правомерным способом углеродного секвестра. И только этот способ наряду с вкладом в защиту климата позволяет эффективно обеспечить сохранение биоразнообразия пастбищных угодий, в частности, такие офсетные схемы получили распространение в США, где, как и в Казахстане, сохранились достаточно большие площади травяных экосистем, используемых для низкоинтенсивного выпаса скота. На рынке углеродных кредитов в США, начиная с 2019 года, появилось и сейчас представлено несколько таких программ ряда земельных фондов и их объединений (Avoided Grassland Conversion Carbon Offset Program of the Land Trust Alliance, Avoided Grasslands Conversion Carbon Credits of the Texas Agricultural Land Trust &amp; AgriCapture Co и другие). Проекты этого типа относятся к категории Avoided Conversion of Grasslands and Shrublands (ACoGS) и входят в группу стандартов Agriculture, Forestry, and Other Land Use (AFOLU) вместе с более известными в Казахстане категориями Reduced Emissions from Deforestation and Degradation (REDD) и Agricultural Land Management (ALM).</w:t>
      </w:r>
    </w:p>
    <w:bookmarkEnd w:id="317"/>
    <w:bookmarkStart w:name="z341" w:id="318"/>
    <w:p>
      <w:pPr>
        <w:spacing w:after="0"/>
        <w:ind w:left="0"/>
        <w:jc w:val="both"/>
      </w:pPr>
      <w:r>
        <w:rPr>
          <w:rFonts w:ascii="Times New Roman"/>
          <w:b w:val="false"/>
          <w:i w:val="false"/>
          <w:color w:val="000000"/>
          <w:sz w:val="28"/>
        </w:rPr>
        <w:t xml:space="preserve">
      В настоящее время компания VERRA, мировой лидер в сфере разработки и развития стандартов углеродных офсетов, обновляет для проектов такого типа стандарт VM0032 – Methodology for the Adoption of Sustainable Grasslands through Adjustment of Fire and Grazing, разработанный в 2015 году. В июле 2024 года компания VERRA запустила тестовый проект по адаптации стандарта в Монголии и также проведению мероприятий по развитию национального добровольного углеродного рынка. </w:t>
      </w:r>
    </w:p>
    <w:bookmarkEnd w:id="318"/>
    <w:bookmarkStart w:name="z342" w:id="319"/>
    <w:p>
      <w:pPr>
        <w:spacing w:after="0"/>
        <w:ind w:left="0"/>
        <w:jc w:val="left"/>
      </w:pPr>
      <w:r>
        <w:rPr>
          <w:rFonts w:ascii="Times New Roman"/>
          <w:b/>
          <w:i w:val="false"/>
          <w:color w:val="000000"/>
        </w:rPr>
        <w:t xml:space="preserve"> РАЗДЕЛ 4. ВИДЕНИЕ СОХРАНЕНИЯ И УСТОЙЧИВОГО ИСПОЛЬЗОВАНИЯ БИОРАЗНООБРАЗИЯ </w:t>
      </w:r>
    </w:p>
    <w:bookmarkEnd w:id="319"/>
    <w:bookmarkStart w:name="z343" w:id="320"/>
    <w:p>
      <w:pPr>
        <w:spacing w:after="0"/>
        <w:ind w:left="0"/>
        <w:jc w:val="both"/>
      </w:pPr>
      <w:r>
        <w:rPr>
          <w:rFonts w:ascii="Times New Roman"/>
          <w:b w:val="false"/>
          <w:i w:val="false"/>
          <w:color w:val="000000"/>
          <w:sz w:val="28"/>
        </w:rPr>
        <w:t>
      Видение сохранения и устойчивого использования биоразнообразия в Казахстане базируется на следующих стратегических приоритетах:</w:t>
      </w:r>
    </w:p>
    <w:bookmarkEnd w:id="320"/>
    <w:bookmarkStart w:name="z344" w:id="321"/>
    <w:p>
      <w:pPr>
        <w:spacing w:after="0"/>
        <w:ind w:left="0"/>
        <w:jc w:val="both"/>
      </w:pPr>
      <w:r>
        <w:rPr>
          <w:rFonts w:ascii="Times New Roman"/>
          <w:b w:val="false"/>
          <w:i w:val="false"/>
          <w:color w:val="000000"/>
          <w:sz w:val="28"/>
        </w:rPr>
        <w:t xml:space="preserve">
      1. </w:t>
      </w:r>
      <w:r>
        <w:rPr>
          <w:rFonts w:ascii="Times New Roman"/>
          <w:b/>
          <w:i w:val="false"/>
          <w:color w:val="000000"/>
          <w:sz w:val="28"/>
        </w:rPr>
        <w:t>Управление сохранением биоразнообразия на основе данных</w:t>
      </w:r>
      <w:r>
        <w:rPr>
          <w:rFonts w:ascii="Times New Roman"/>
          <w:b w:val="false"/>
          <w:i w:val="false"/>
          <w:color w:val="000000"/>
          <w:sz w:val="28"/>
        </w:rPr>
        <w:t>: сбор всех данных, имеющих отношение к сохранению биоразнобразия, их аналитическая обработка и распространение среди всех стейкхолдеров через единый информационный ресурс.</w:t>
      </w:r>
    </w:p>
    <w:bookmarkEnd w:id="321"/>
    <w:bookmarkStart w:name="z345" w:id="322"/>
    <w:p>
      <w:pPr>
        <w:spacing w:after="0"/>
        <w:ind w:left="0"/>
        <w:jc w:val="both"/>
      </w:pPr>
      <w:r>
        <w:rPr>
          <w:rFonts w:ascii="Times New Roman"/>
          <w:b w:val="false"/>
          <w:i w:val="false"/>
          <w:color w:val="000000"/>
          <w:sz w:val="28"/>
        </w:rPr>
        <w:t xml:space="preserve">
      2. </w:t>
      </w:r>
      <w:r>
        <w:rPr>
          <w:rFonts w:ascii="Times New Roman"/>
          <w:b/>
          <w:i w:val="false"/>
          <w:color w:val="000000"/>
          <w:sz w:val="28"/>
        </w:rPr>
        <w:t>Пространственное планирование в интересах биоразнообразия</w:t>
      </w:r>
      <w:r>
        <w:rPr>
          <w:rFonts w:ascii="Times New Roman"/>
          <w:b w:val="false"/>
          <w:i w:val="false"/>
          <w:color w:val="000000"/>
          <w:sz w:val="28"/>
        </w:rPr>
        <w:t>: формирование геоинформационной системы, отражающей ключевые компоненты и/или задачи по сохранению биоразнообразия в привязке к георгафическим координатам, доступной для широкого круга заинтересованных лиц.</w:t>
      </w:r>
    </w:p>
    <w:bookmarkEnd w:id="322"/>
    <w:bookmarkStart w:name="z346" w:id="323"/>
    <w:p>
      <w:pPr>
        <w:spacing w:after="0"/>
        <w:ind w:left="0"/>
        <w:jc w:val="both"/>
      </w:pPr>
      <w:r>
        <w:rPr>
          <w:rFonts w:ascii="Times New Roman"/>
          <w:b w:val="false"/>
          <w:i w:val="false"/>
          <w:color w:val="000000"/>
          <w:sz w:val="28"/>
        </w:rPr>
        <w:t xml:space="preserve">
      3. </w:t>
      </w:r>
      <w:r>
        <w:rPr>
          <w:rFonts w:ascii="Times New Roman"/>
          <w:b/>
          <w:i w:val="false"/>
          <w:color w:val="000000"/>
          <w:sz w:val="28"/>
        </w:rPr>
        <w:t>Формирование у граждан страны парадигмы мышления собственника биоразнообразия</w:t>
      </w:r>
      <w:r>
        <w:rPr>
          <w:rFonts w:ascii="Times New Roman"/>
          <w:b w:val="false"/>
          <w:i w:val="false"/>
          <w:color w:val="000000"/>
          <w:sz w:val="28"/>
        </w:rPr>
        <w:t>: реальное понимание экономической ценности биоразнообразия и широкая осведомленность о задачах и проблемах, касающихся вопросов сохранения биоразнообразия.</w:t>
      </w:r>
    </w:p>
    <w:bookmarkEnd w:id="323"/>
    <w:bookmarkStart w:name="z347" w:id="324"/>
    <w:p>
      <w:pPr>
        <w:spacing w:after="0"/>
        <w:ind w:left="0"/>
        <w:jc w:val="both"/>
      </w:pPr>
      <w:r>
        <w:rPr>
          <w:rFonts w:ascii="Times New Roman"/>
          <w:b w:val="false"/>
          <w:i w:val="false"/>
          <w:color w:val="000000"/>
          <w:sz w:val="28"/>
        </w:rPr>
        <w:t xml:space="preserve">
      4. </w:t>
      </w:r>
      <w:r>
        <w:rPr>
          <w:rFonts w:ascii="Times New Roman"/>
          <w:b/>
          <w:i w:val="false"/>
          <w:color w:val="000000"/>
          <w:sz w:val="28"/>
        </w:rPr>
        <w:t>Смена подхода, основанного на сохранении статуса-</w:t>
      </w:r>
      <w:r>
        <w:rPr>
          <w:rFonts w:ascii="Times New Roman"/>
          <w:b/>
          <w:i w:val="false"/>
          <w:color w:val="000000"/>
          <w:sz w:val="28"/>
        </w:rPr>
        <w:t>кво</w:t>
      </w:r>
      <w:r>
        <w:rPr>
          <w:rFonts w:ascii="Times New Roman"/>
          <w:b/>
          <w:i w:val="false"/>
          <w:color w:val="000000"/>
          <w:sz w:val="28"/>
        </w:rPr>
        <w:t xml:space="preserve"> по биоразнообразию</w:t>
      </w:r>
      <w:r>
        <w:rPr>
          <w:rFonts w:ascii="Times New Roman"/>
          <w:b w:val="false"/>
          <w:i w:val="false"/>
          <w:color w:val="000000"/>
          <w:sz w:val="28"/>
        </w:rPr>
        <w:t>, на подход по обеспечению чистого прироста биоразнообразия (Biodiversity Net Gain).</w:t>
      </w:r>
    </w:p>
    <w:bookmarkEnd w:id="324"/>
    <w:bookmarkStart w:name="z348" w:id="325"/>
    <w:p>
      <w:pPr>
        <w:spacing w:after="0"/>
        <w:ind w:left="0"/>
        <w:jc w:val="both"/>
      </w:pPr>
      <w:r>
        <w:rPr>
          <w:rFonts w:ascii="Times New Roman"/>
          <w:b w:val="false"/>
          <w:i w:val="false"/>
          <w:color w:val="000000"/>
          <w:sz w:val="28"/>
        </w:rPr>
        <w:t xml:space="preserve">
      5. </w:t>
      </w:r>
      <w:r>
        <w:rPr>
          <w:rFonts w:ascii="Times New Roman"/>
          <w:b/>
          <w:i w:val="false"/>
          <w:color w:val="000000"/>
          <w:sz w:val="28"/>
        </w:rPr>
        <w:t>Эффективное вовлечение всех стейкхолдеров</w:t>
      </w:r>
      <w:r>
        <w:rPr>
          <w:rFonts w:ascii="Times New Roman"/>
          <w:b w:val="false"/>
          <w:i w:val="false"/>
          <w:color w:val="000000"/>
          <w:sz w:val="28"/>
        </w:rPr>
        <w:t xml:space="preserve"> процессов, необходимых для сохранения и устойчивого использования биоразнообразия, с координацией государственных стейкхолдеров через межведомственный Координационный совет высокого уровня.</w:t>
      </w:r>
    </w:p>
    <w:bookmarkEnd w:id="325"/>
    <w:bookmarkStart w:name="z349" w:id="326"/>
    <w:p>
      <w:pPr>
        <w:spacing w:after="0"/>
        <w:ind w:left="0"/>
        <w:jc w:val="both"/>
      </w:pPr>
      <w:r>
        <w:rPr>
          <w:rFonts w:ascii="Times New Roman"/>
          <w:b w:val="false"/>
          <w:i w:val="false"/>
          <w:color w:val="000000"/>
          <w:sz w:val="28"/>
        </w:rPr>
        <w:t xml:space="preserve">
      6. </w:t>
      </w:r>
      <w:r>
        <w:rPr>
          <w:rFonts w:ascii="Times New Roman"/>
          <w:b/>
          <w:i w:val="false"/>
          <w:color w:val="000000"/>
          <w:sz w:val="28"/>
        </w:rPr>
        <w:t>Консолидация и эффективное использование доступных финансовых ресурсов</w:t>
      </w:r>
      <w:r>
        <w:rPr>
          <w:rFonts w:ascii="Times New Roman"/>
          <w:b w:val="false"/>
          <w:i w:val="false"/>
          <w:color w:val="000000"/>
          <w:sz w:val="28"/>
        </w:rPr>
        <w:t>, а также поиск и привлечение новых финансовых источников для обеспечения мер по сохранению и устойчивому использованию биоразнообразия.</w:t>
      </w:r>
    </w:p>
    <w:bookmarkEnd w:id="326"/>
    <w:bookmarkStart w:name="z350" w:id="327"/>
    <w:p>
      <w:pPr>
        <w:spacing w:after="0"/>
        <w:ind w:left="0"/>
        <w:jc w:val="both"/>
      </w:pPr>
      <w:r>
        <w:rPr>
          <w:rFonts w:ascii="Times New Roman"/>
          <w:b w:val="false"/>
          <w:i w:val="false"/>
          <w:color w:val="000000"/>
          <w:sz w:val="28"/>
        </w:rPr>
        <w:t>
      Таким образом, предполагается, что при принятии стратегических государственных решений по экономической и инвестиционной политике будет осуществляться анализ выгод и издержек биоразнообразия. Приоритетами экономической политики государства должны быть сохранение и устойчивое использование биоразнообразия, как ключевого актива страны.</w:t>
      </w:r>
    </w:p>
    <w:bookmarkEnd w:id="327"/>
    <w:bookmarkStart w:name="z351" w:id="328"/>
    <w:p>
      <w:pPr>
        <w:spacing w:after="0"/>
        <w:ind w:left="0"/>
        <w:jc w:val="both"/>
      </w:pPr>
      <w:r>
        <w:rPr>
          <w:rFonts w:ascii="Times New Roman"/>
          <w:b w:val="false"/>
          <w:i w:val="false"/>
          <w:color w:val="000000"/>
          <w:sz w:val="28"/>
        </w:rPr>
        <w:t>
      В свою очередь, принимая во внимание осуществленную в 2022 году конституционную реформу, закрепившую право собственности на растительный и животный мир, другие природные ресурсы за народом, необходимо формирование у граждан Казахстана парадигмы мышления собственника по отношению к биоразнообразию. Такая парадигма мышления базируется на понимании прямых и косвенных экономических выгод биоразнообразия. Достижению этой задачи будет способствовать повышение информированности граждан о проблемах биоразнообразия, значимости устойчивого использования биоразнообразия.</w:t>
      </w:r>
    </w:p>
    <w:bookmarkEnd w:id="328"/>
    <w:bookmarkStart w:name="z352" w:id="329"/>
    <w:p>
      <w:pPr>
        <w:spacing w:after="0"/>
        <w:ind w:left="0"/>
        <w:jc w:val="both"/>
      </w:pPr>
      <w:r>
        <w:rPr>
          <w:rFonts w:ascii="Times New Roman"/>
          <w:b w:val="false"/>
          <w:i w:val="false"/>
          <w:color w:val="000000"/>
          <w:sz w:val="28"/>
        </w:rPr>
        <w:t xml:space="preserve">
      В формируемом видении по сохранению и устойчивому использованию биоразнообразия на бизнес возлагаются задачи по расширению и углублению охвата ESG (экологическое, социальное и корпоративное управление, далее – ESG) отчетностью отраслей предпринимательской деятельности. Так, например, учет соблюдения предпринимательским субъектом ESG принципов должно предопределять решение банков второго уровня при выделении финансовых ресурсов (кредитов). В конечном итоге это должно привести к тому, что проекты, предполагающие причинение прямого или косвенного ущерба биоразнообразию, должны быть ограничены в банковском финансировании. </w:t>
      </w:r>
    </w:p>
    <w:bookmarkEnd w:id="329"/>
    <w:bookmarkStart w:name="z353" w:id="330"/>
    <w:p>
      <w:pPr>
        <w:spacing w:after="0"/>
        <w:ind w:left="0"/>
        <w:jc w:val="both"/>
      </w:pPr>
      <w:r>
        <w:rPr>
          <w:rFonts w:ascii="Times New Roman"/>
          <w:b w:val="false"/>
          <w:i w:val="false"/>
          <w:color w:val="000000"/>
          <w:sz w:val="28"/>
        </w:rPr>
        <w:t>
      В этом реализуется подход по экономической дестимуляции деятельности, оказывающей негативное воздействие на биоразнообразие.</w:t>
      </w:r>
    </w:p>
    <w:bookmarkEnd w:id="330"/>
    <w:bookmarkStart w:name="z354" w:id="331"/>
    <w:p>
      <w:pPr>
        <w:spacing w:after="0"/>
        <w:ind w:left="0"/>
        <w:jc w:val="both"/>
      </w:pPr>
      <w:r>
        <w:rPr>
          <w:rFonts w:ascii="Times New Roman"/>
          <w:b w:val="false"/>
          <w:i w:val="false"/>
          <w:color w:val="000000"/>
          <w:sz w:val="28"/>
        </w:rPr>
        <w:t>
      Реализация указанного выше видения по конкретным направлениям будет достигаться следующим образом:</w:t>
      </w:r>
    </w:p>
    <w:bookmarkEnd w:id="331"/>
    <w:p>
      <w:pPr>
        <w:spacing w:after="0"/>
        <w:ind w:left="0"/>
        <w:jc w:val="both"/>
      </w:pPr>
      <w:r>
        <w:rPr>
          <w:rFonts w:ascii="Times New Roman"/>
          <w:b/>
          <w:i w:val="false"/>
          <w:color w:val="000000"/>
          <w:sz w:val="28"/>
        </w:rPr>
        <w:t>4</w:t>
      </w:r>
      <w:r>
        <w:rPr>
          <w:rFonts w:ascii="Times New Roman"/>
          <w:b/>
          <w:i w:val="false"/>
          <w:color w:val="000000"/>
          <w:sz w:val="28"/>
        </w:rPr>
        <w:t>.1. Развитие единой экологической сети адаптивной к климату, системы особо охраняемых природных территорий и экологического туризма</w:t>
      </w:r>
      <w:r>
        <w:rPr>
          <w:rFonts w:ascii="Times New Roman"/>
          <w:b/>
          <w:i w:val="false"/>
          <w:color w:val="000000"/>
          <w:sz w:val="28"/>
        </w:rPr>
        <w:t>:</w:t>
      </w:r>
    </w:p>
    <w:bookmarkStart w:name="z356" w:id="332"/>
    <w:p>
      <w:pPr>
        <w:spacing w:after="0"/>
        <w:ind w:left="0"/>
        <w:jc w:val="both"/>
      </w:pPr>
      <w:r>
        <w:rPr>
          <w:rFonts w:ascii="Times New Roman"/>
          <w:b w:val="false"/>
          <w:i w:val="false"/>
          <w:color w:val="000000"/>
          <w:sz w:val="28"/>
        </w:rPr>
        <w:t>
      Экологическая сеть Казахстана будет расширена с увеличением площади ООПТ до 12,5 % от общей территории страны, а также включением других природоохранных объектов с различным статусом при условии эффективного управления ими. Активное и устойчивое развитие экологического туризма будет способствовать не только охране природы, но и экологическому просвещению населения. Экологическое образование получит широкое распространение в системе образования страны, играя ключевую роль в формировании экологической культуры граждан.</w:t>
      </w:r>
    </w:p>
    <w:bookmarkEnd w:id="332"/>
    <w:p>
      <w:pPr>
        <w:spacing w:after="0"/>
        <w:ind w:left="0"/>
        <w:jc w:val="both"/>
      </w:pPr>
      <w:r>
        <w:rPr>
          <w:rFonts w:ascii="Times New Roman"/>
          <w:b/>
          <w:i w:val="false"/>
          <w:color w:val="000000"/>
          <w:sz w:val="28"/>
        </w:rPr>
        <w:t>4.2. Повышение эффективности охраны и воспроизводства лесов с применением практик устойчивого лесопользования</w:t>
      </w:r>
      <w:r>
        <w:rPr>
          <w:rFonts w:ascii="Times New Roman"/>
          <w:b/>
          <w:i w:val="false"/>
          <w:color w:val="000000"/>
          <w:sz w:val="28"/>
        </w:rPr>
        <w:t>:</w:t>
      </w:r>
    </w:p>
    <w:bookmarkStart w:name="z358" w:id="333"/>
    <w:p>
      <w:pPr>
        <w:spacing w:after="0"/>
        <w:ind w:left="0"/>
        <w:jc w:val="both"/>
      </w:pPr>
      <w:r>
        <w:rPr>
          <w:rFonts w:ascii="Times New Roman"/>
          <w:b w:val="false"/>
          <w:i w:val="false"/>
          <w:color w:val="000000"/>
          <w:sz w:val="28"/>
        </w:rPr>
        <w:t>
      Применяя имеющиеся научную базу и развивая ее, используя богатый опыт ведения лесного хозяйства в жестких лесорастительных условиях, изучая и адаптируя передовые мировые технологии в области лесного хозяйства, улучшив подготовку кадров и устойчиво в необходимом объеме финансируя эту отрасль за десятилетний период реализации плана действий Концепции, планируется достичь следующего:</w:t>
      </w:r>
    </w:p>
    <w:bookmarkEnd w:id="333"/>
    <w:bookmarkStart w:name="z359" w:id="334"/>
    <w:p>
      <w:pPr>
        <w:spacing w:after="0"/>
        <w:ind w:left="0"/>
        <w:jc w:val="both"/>
      </w:pPr>
      <w:r>
        <w:rPr>
          <w:rFonts w:ascii="Times New Roman"/>
          <w:b w:val="false"/>
          <w:i w:val="false"/>
          <w:color w:val="000000"/>
          <w:sz w:val="28"/>
        </w:rPr>
        <w:t>
      – площадь лесных пожаров, несмотря на количество возгораний, будет сокращена при достижении средней площади одного пожара к 2035 году не более 0,5 га;</w:t>
      </w:r>
    </w:p>
    <w:bookmarkEnd w:id="334"/>
    <w:bookmarkStart w:name="z360" w:id="335"/>
    <w:p>
      <w:pPr>
        <w:spacing w:after="0"/>
        <w:ind w:left="0"/>
        <w:jc w:val="both"/>
      </w:pPr>
      <w:r>
        <w:rPr>
          <w:rFonts w:ascii="Times New Roman"/>
          <w:b w:val="false"/>
          <w:i w:val="false"/>
          <w:color w:val="000000"/>
          <w:sz w:val="28"/>
        </w:rPr>
        <w:t>
      – в борьбе с очагами болезней и вредителей леса будут применяться преимущественно биологические методы, площадь очагов не будет превышать 60 тыс. га в год;</w:t>
      </w:r>
    </w:p>
    <w:bookmarkEnd w:id="335"/>
    <w:bookmarkStart w:name="z361" w:id="336"/>
    <w:p>
      <w:pPr>
        <w:spacing w:after="0"/>
        <w:ind w:left="0"/>
        <w:jc w:val="both"/>
      </w:pPr>
      <w:r>
        <w:rPr>
          <w:rFonts w:ascii="Times New Roman"/>
          <w:b w:val="false"/>
          <w:i w:val="false"/>
          <w:color w:val="000000"/>
          <w:sz w:val="28"/>
        </w:rPr>
        <w:t>
      – объемы незаконных рубок леса будут сведены до минимума;</w:t>
      </w:r>
    </w:p>
    <w:bookmarkEnd w:id="336"/>
    <w:bookmarkStart w:name="z362" w:id="337"/>
    <w:p>
      <w:pPr>
        <w:spacing w:after="0"/>
        <w:ind w:left="0"/>
        <w:jc w:val="both"/>
      </w:pPr>
      <w:r>
        <w:rPr>
          <w:rFonts w:ascii="Times New Roman"/>
          <w:b w:val="false"/>
          <w:i w:val="false"/>
          <w:color w:val="000000"/>
          <w:sz w:val="28"/>
        </w:rPr>
        <w:t>
      – увеличивая объемы посадок леса, в том числе с применением посадочного материала с закрытой корневой системой, выращенным из семян с улучшенной наследственностью, можно достигнуть нормативной приживаемости и, взяв под охрану ранее неучтенные леса, значительно увеличить лесные территории страны, достигнув увеличения показателя лесистости до 5,2 %;</w:t>
      </w:r>
    </w:p>
    <w:bookmarkEnd w:id="337"/>
    <w:bookmarkStart w:name="z363" w:id="338"/>
    <w:p>
      <w:pPr>
        <w:spacing w:after="0"/>
        <w:ind w:left="0"/>
        <w:jc w:val="both"/>
      </w:pPr>
      <w:r>
        <w:rPr>
          <w:rFonts w:ascii="Times New Roman"/>
          <w:b w:val="false"/>
          <w:i w:val="false"/>
          <w:color w:val="000000"/>
          <w:sz w:val="28"/>
        </w:rPr>
        <w:t>
      – государственная поддержка развития лесозаготовительной и деревообрабатывающей отраслей будет способствовать более рациональному использованию имеющихся древесных ресурсов и сыграет значимую роль в процессе импортозамещения на рынке лесоматериалов.;</w:t>
      </w:r>
    </w:p>
    <w:bookmarkEnd w:id="338"/>
    <w:bookmarkStart w:name="z364" w:id="339"/>
    <w:p>
      <w:pPr>
        <w:spacing w:after="0"/>
        <w:ind w:left="0"/>
        <w:jc w:val="both"/>
      </w:pPr>
      <w:r>
        <w:rPr>
          <w:rFonts w:ascii="Times New Roman"/>
          <w:b w:val="false"/>
          <w:i w:val="false"/>
          <w:color w:val="000000"/>
          <w:sz w:val="28"/>
        </w:rPr>
        <w:t>
      – совершенствуя систему подготовки кадров и повышения квалификации, достигнуть, что в отрасли будут работать квалифицированные специалисты, имеющие профильное образование. Рост человеческого капитала в отрасли – основное условие успешного сохранения и расширения лесов Казахстана, повышения их экологического, ресурсного потенциала, и в итоге сохранение благоприятной окружающей среды для человека.</w:t>
      </w:r>
    </w:p>
    <w:bookmarkEnd w:id="339"/>
    <w:p>
      <w:pPr>
        <w:spacing w:after="0"/>
        <w:ind w:left="0"/>
        <w:jc w:val="both"/>
      </w:pPr>
      <w:r>
        <w:rPr>
          <w:rFonts w:ascii="Times New Roman"/>
          <w:b/>
          <w:i w:val="false"/>
          <w:color w:val="000000"/>
          <w:sz w:val="28"/>
        </w:rPr>
        <w:t>4.3. Усовершенствование системы мониторинга, охраны и устойчивого использования животного мира</w:t>
      </w:r>
      <w:r>
        <w:rPr>
          <w:rFonts w:ascii="Times New Roman"/>
          <w:b/>
          <w:i w:val="false"/>
          <w:color w:val="000000"/>
          <w:sz w:val="28"/>
        </w:rPr>
        <w:t>:</w:t>
      </w:r>
    </w:p>
    <w:bookmarkStart w:name="z366" w:id="340"/>
    <w:p>
      <w:pPr>
        <w:spacing w:after="0"/>
        <w:ind w:left="0"/>
        <w:jc w:val="both"/>
      </w:pPr>
      <w:r>
        <w:rPr>
          <w:rFonts w:ascii="Times New Roman"/>
          <w:b w:val="false"/>
          <w:i w:val="false"/>
          <w:color w:val="000000"/>
          <w:sz w:val="28"/>
        </w:rPr>
        <w:t>
      Животный мир Казахстана будет устойчиво существовать, обеспечивая полноценное функционирование всех типов экосистем и удовлетворяя экономические, эстетические и другие потребности населения страны.</w:t>
      </w:r>
    </w:p>
    <w:bookmarkEnd w:id="340"/>
    <w:bookmarkStart w:name="z367" w:id="341"/>
    <w:p>
      <w:pPr>
        <w:spacing w:after="0"/>
        <w:ind w:left="0"/>
        <w:jc w:val="both"/>
      </w:pPr>
      <w:r>
        <w:rPr>
          <w:rFonts w:ascii="Times New Roman"/>
          <w:b w:val="false"/>
          <w:i w:val="false"/>
          <w:color w:val="000000"/>
          <w:sz w:val="28"/>
        </w:rPr>
        <w:t>
      Вопросы охраны животного мира будут тщательно рассматриваться при проектировании развития всех видов инфраструктуры, включая градостроительство. Будет снижен уровень гибели птиц на линиях электропередачи и других видах энергетических установок.</w:t>
      </w:r>
    </w:p>
    <w:bookmarkEnd w:id="341"/>
    <w:bookmarkStart w:name="z368" w:id="342"/>
    <w:p>
      <w:pPr>
        <w:spacing w:after="0"/>
        <w:ind w:left="0"/>
        <w:jc w:val="both"/>
      </w:pPr>
      <w:r>
        <w:rPr>
          <w:rFonts w:ascii="Times New Roman"/>
          <w:b w:val="false"/>
          <w:i w:val="false"/>
          <w:color w:val="000000"/>
          <w:sz w:val="28"/>
        </w:rPr>
        <w:t>
      Охотничье хозяйство будет развиваться как полноценная отрасль экономики, управляться эффективно, обеспечивая разумное устойчивое использование охотничьих видов и сохранение редких видов в закрепленных угодьях, а также развивая дичеразведение и охотничий туризм.</w:t>
      </w:r>
    </w:p>
    <w:bookmarkEnd w:id="342"/>
    <w:bookmarkStart w:name="z369" w:id="343"/>
    <w:p>
      <w:pPr>
        <w:spacing w:after="0"/>
        <w:ind w:left="0"/>
        <w:jc w:val="both"/>
      </w:pPr>
      <w:r>
        <w:rPr>
          <w:rFonts w:ascii="Times New Roman"/>
          <w:b w:val="false"/>
          <w:i w:val="false"/>
          <w:color w:val="000000"/>
          <w:sz w:val="28"/>
        </w:rPr>
        <w:t>
      Сохранение животного мира станет привлекательным направлением для трудоустройства и будет обеспечено квалифицированными кадрами как в государственных структурах, так и в охотничьем хозяйстве, а также необходимыми материально-техническими ресурсами.</w:t>
      </w:r>
    </w:p>
    <w:bookmarkEnd w:id="343"/>
    <w:bookmarkStart w:name="z370" w:id="344"/>
    <w:p>
      <w:pPr>
        <w:spacing w:after="0"/>
        <w:ind w:left="0"/>
        <w:jc w:val="both"/>
      </w:pPr>
      <w:r>
        <w:rPr>
          <w:rFonts w:ascii="Times New Roman"/>
          <w:b w:val="false"/>
          <w:i w:val="false"/>
          <w:color w:val="000000"/>
          <w:sz w:val="28"/>
        </w:rPr>
        <w:t>
      Будут широко использоваться современные технологии изучения и мониторинга животного мира с применением лучшего мирового опыта. Ключевые ценные и редкие виды будут включены в систему государственного мониторинга и управления популяциями. Максимально будет внедрена цифровизация.</w:t>
      </w:r>
    </w:p>
    <w:bookmarkEnd w:id="344"/>
    <w:bookmarkStart w:name="z371" w:id="345"/>
    <w:p>
      <w:pPr>
        <w:spacing w:after="0"/>
        <w:ind w:left="0"/>
        <w:jc w:val="both"/>
      </w:pPr>
      <w:r>
        <w:rPr>
          <w:rFonts w:ascii="Times New Roman"/>
          <w:b w:val="false"/>
          <w:i w:val="false"/>
          <w:color w:val="000000"/>
          <w:sz w:val="28"/>
        </w:rPr>
        <w:t>
      Популяции редких и находящихся под угрозой исчезновения видов будут стабилизированы или увеличены, благодаря чему число видов, находящихся под угрозой, сократится, а некоторые из них будут выведены из Красной книги. Будет расти численность балобана, степного орла и других видов хищных птиц. Будут созданы или развиты новые группировки кулана, бухарского оленя, лошади Пржевальского, снежного барса и других видов. Будет начата реинтродукция тигра. Популяции сайгака, ценного ресурсного вида, будут поддерживаться на стабильно высоком уровне и управляться с учетом интересов сельского хозяйства и местного населения.</w:t>
      </w:r>
    </w:p>
    <w:bookmarkEnd w:id="345"/>
    <w:bookmarkStart w:name="z372" w:id="346"/>
    <w:p>
      <w:pPr>
        <w:spacing w:after="0"/>
        <w:ind w:left="0"/>
        <w:jc w:val="both"/>
      </w:pPr>
      <w:r>
        <w:rPr>
          <w:rFonts w:ascii="Times New Roman"/>
          <w:b w:val="false"/>
          <w:i w:val="false"/>
          <w:color w:val="000000"/>
          <w:sz w:val="28"/>
        </w:rPr>
        <w:t>
      Будет начато ведение Красного списка с оценкой природоохранного статуса максимального числа видов фауны Казахстана по критериям МСОП, а Красная книга будет обновляться с установленной периодичностью.</w:t>
      </w:r>
    </w:p>
    <w:bookmarkEnd w:id="346"/>
    <w:bookmarkStart w:name="z373" w:id="347"/>
    <w:p>
      <w:pPr>
        <w:spacing w:after="0"/>
        <w:ind w:left="0"/>
        <w:jc w:val="both"/>
      </w:pPr>
      <w:r>
        <w:rPr>
          <w:rFonts w:ascii="Times New Roman"/>
          <w:b w:val="false"/>
          <w:i w:val="false"/>
          <w:color w:val="000000"/>
          <w:sz w:val="28"/>
        </w:rPr>
        <w:t>
      В целях повышения эффективности государственной политики в области охраны животного мира будет обеспечена интеграция вопросов биоразнообразия в стратегическое, территориальное и отраслевое планирование. Предусматривается внедрение подходов, направленных на предотвращение потерь биоразнообразия на доконструкционных этапах, включая пространственное картографирование зон риска, учет миграционных маршрутов, мест обитания и биологически уязвимых территорий.</w:t>
      </w:r>
    </w:p>
    <w:bookmarkEnd w:id="347"/>
    <w:bookmarkStart w:name="z374" w:id="348"/>
    <w:p>
      <w:pPr>
        <w:spacing w:after="0"/>
        <w:ind w:left="0"/>
        <w:jc w:val="both"/>
      </w:pPr>
      <w:r>
        <w:rPr>
          <w:rFonts w:ascii="Times New Roman"/>
          <w:b w:val="false"/>
          <w:i w:val="false"/>
          <w:color w:val="000000"/>
          <w:sz w:val="28"/>
        </w:rPr>
        <w:t>
      Будут разработаны и внедрены нормативные и методические документы, обеспечивающие обязательную интеграцию биологических критериев в процедуры оценки воздействия на окружающую среду (ОВОС), стратегической экологической оценки (СЭО) и государственной градостроительной политики (ГГП). Планируются внедрение индикативного и постпроектного мониторинга состояния популяций, формирование цифровой инфраструктуры для пространственного анализа, а также усиление межведомственного взаимодействия.</w:t>
      </w:r>
    </w:p>
    <w:bookmarkEnd w:id="348"/>
    <w:bookmarkStart w:name="z375" w:id="349"/>
    <w:p>
      <w:pPr>
        <w:spacing w:after="0"/>
        <w:ind w:left="0"/>
        <w:jc w:val="both"/>
      </w:pPr>
      <w:r>
        <w:rPr>
          <w:rFonts w:ascii="Times New Roman"/>
          <w:b w:val="false"/>
          <w:i w:val="false"/>
          <w:color w:val="000000"/>
          <w:sz w:val="28"/>
        </w:rPr>
        <w:t>
      Развитие биоориентированной инфраструктуры и устойчивых агропрактик будет осуществляться с учетом задач сохранения природных связей и функциональности экосистем. Также предусматриваются внедрение механизмов компенсации утраченных экосистемных компонентов, расширение требований к экологической отчетности хозяйствующих субъектов и обеспечение участия бизнеса и научного сообщества в реализации пилотных и восстановительных проектов.</w:t>
      </w:r>
    </w:p>
    <w:bookmarkEnd w:id="349"/>
    <w:p>
      <w:pPr>
        <w:spacing w:after="0"/>
        <w:ind w:left="0"/>
        <w:jc w:val="both"/>
      </w:pPr>
      <w:r>
        <w:rPr>
          <w:rFonts w:ascii="Times New Roman"/>
          <w:b/>
          <w:i w:val="false"/>
          <w:color w:val="000000"/>
          <w:sz w:val="28"/>
        </w:rPr>
        <w:t>4.4. Сохранение биологического разнообразия ихтиофауны и увеличение природной популяции промысловых рыб за счет снижения нагрузки на естественные рыбные ресурсы</w:t>
      </w:r>
      <w:r>
        <w:rPr>
          <w:rFonts w:ascii="Times New Roman"/>
          <w:b/>
          <w:i w:val="false"/>
          <w:color w:val="000000"/>
          <w:sz w:val="28"/>
        </w:rPr>
        <w:t>:</w:t>
      </w:r>
    </w:p>
    <w:bookmarkStart w:name="z377" w:id="350"/>
    <w:p>
      <w:pPr>
        <w:spacing w:after="0"/>
        <w:ind w:left="0"/>
        <w:jc w:val="both"/>
      </w:pPr>
      <w:r>
        <w:rPr>
          <w:rFonts w:ascii="Times New Roman"/>
          <w:b w:val="false"/>
          <w:i w:val="false"/>
          <w:color w:val="000000"/>
          <w:sz w:val="28"/>
        </w:rPr>
        <w:t>
      Достижение задач по данному направлению будет обеспечено через применение научно-обоснованного комплекса мероприятий по восстановлению и сохранению среды обитания ихтиофауны и промысловых рыб, сохранение генетических ресурсов рыбных ресурсов, а также совершенствование деятельности государственных организаций, ответственных за сохранение биоразнообразия в рассматриваемой сфере.</w:t>
      </w:r>
    </w:p>
    <w:bookmarkEnd w:id="350"/>
    <w:bookmarkStart w:name="z378" w:id="351"/>
    <w:p>
      <w:pPr>
        <w:spacing w:after="0"/>
        <w:ind w:left="0"/>
        <w:jc w:val="both"/>
      </w:pPr>
      <w:r>
        <w:rPr>
          <w:rFonts w:ascii="Times New Roman"/>
          <w:b w:val="false"/>
          <w:i w:val="false"/>
          <w:color w:val="000000"/>
          <w:sz w:val="28"/>
        </w:rPr>
        <w:t>
      Будут создан криобанк для сохранения генетического материала ценных, редких и исчезающих видов гидробионтов, повышена квалификация государственных инспекторов и работников государственных предприятий и учреждений рыбного хозяйства с ежегодным охватом до 20 %.</w:t>
      </w:r>
    </w:p>
    <w:bookmarkEnd w:id="351"/>
    <w:bookmarkStart w:name="z379" w:id="352"/>
    <w:p>
      <w:pPr>
        <w:spacing w:after="0"/>
        <w:ind w:left="0"/>
        <w:jc w:val="both"/>
      </w:pPr>
      <w:r>
        <w:rPr>
          <w:rFonts w:ascii="Times New Roman"/>
          <w:b w:val="false"/>
          <w:i w:val="false"/>
          <w:color w:val="000000"/>
          <w:sz w:val="28"/>
        </w:rPr>
        <w:t>
      Будут разработаны технико-экономическое обоснование, проектно-сметная документация и проведена модернизация действующих государственных предприятий по искусственному воспроизводству рыб с разработкой и внедрением новых технологий для расширения спектра зарыбляемых видов рыб.</w:t>
      </w:r>
    </w:p>
    <w:bookmarkEnd w:id="352"/>
    <w:p>
      <w:pPr>
        <w:spacing w:after="0"/>
        <w:ind w:left="0"/>
        <w:jc w:val="both"/>
      </w:pPr>
      <w:r>
        <w:rPr>
          <w:rFonts w:ascii="Times New Roman"/>
          <w:b/>
          <w:i w:val="false"/>
          <w:color w:val="000000"/>
          <w:sz w:val="28"/>
        </w:rPr>
        <w:t>4.5. Внедрение эффективных мер охраны, восстановления и использования растительного мира</w:t>
      </w:r>
      <w:r>
        <w:rPr>
          <w:rFonts w:ascii="Times New Roman"/>
          <w:b/>
          <w:i w:val="false"/>
          <w:color w:val="000000"/>
          <w:sz w:val="28"/>
        </w:rPr>
        <w:t>:</w:t>
      </w:r>
    </w:p>
    <w:bookmarkStart w:name="z381" w:id="353"/>
    <w:p>
      <w:pPr>
        <w:spacing w:after="0"/>
        <w:ind w:left="0"/>
        <w:jc w:val="both"/>
      </w:pPr>
      <w:r>
        <w:rPr>
          <w:rFonts w:ascii="Times New Roman"/>
          <w:b w:val="false"/>
          <w:i w:val="false"/>
          <w:color w:val="000000"/>
          <w:sz w:val="28"/>
        </w:rPr>
        <w:t>
      Растительный мир Казахстана сохраняется как в естественной среде, так и в коллекциях ботанических садов и банках семян. Регулярный мониторинг и кадастровая оценка позволят эффективно разработать меры по сохранению и устойчивому использованию растительного мира. В результате кадастровой оценки будет определен видовой состав объектов растительного мира 7 областей на территории общей площадью 1 289 435 кв. км. Выделенные ключевые ботанические территории и генетические резерваты станут важной основой для защиты ключевых экосистем и редких видов. Будут проведены инвентаризация инвазионных видов и издана монография со списком чужеродных видов Республики Казахстан.</w:t>
      </w:r>
    </w:p>
    <w:bookmarkEnd w:id="353"/>
    <w:bookmarkStart w:name="z382" w:id="354"/>
    <w:p>
      <w:pPr>
        <w:spacing w:after="0"/>
        <w:ind w:left="0"/>
        <w:jc w:val="both"/>
      </w:pPr>
      <w:r>
        <w:rPr>
          <w:rFonts w:ascii="Times New Roman"/>
          <w:b w:val="false"/>
          <w:i w:val="false"/>
          <w:color w:val="000000"/>
          <w:sz w:val="28"/>
        </w:rPr>
        <w:t>
      Для обеспечения устойчивого использования и сохранения растительного мира будет обеспечено развитие нормативной, научно-методической и цифровой базы в данной сфере. Одними из приоритетов станут разработка механизмов оценки воздействия на растительность, установление порядка расчета и компенсации потерь, а также внедрение обязательств по восстановлению деградированных участков в рамках проектной деятельности.</w:t>
      </w:r>
    </w:p>
    <w:bookmarkEnd w:id="354"/>
    <w:bookmarkStart w:name="z383" w:id="355"/>
    <w:p>
      <w:pPr>
        <w:spacing w:after="0"/>
        <w:ind w:left="0"/>
        <w:jc w:val="both"/>
      </w:pPr>
      <w:r>
        <w:rPr>
          <w:rFonts w:ascii="Times New Roman"/>
          <w:b w:val="false"/>
          <w:i w:val="false"/>
          <w:color w:val="000000"/>
          <w:sz w:val="28"/>
        </w:rPr>
        <w:t>
      Будут реализованы меры по созданию цифровой картографии растительного покрова с привязкой к типам экосистем, уровню деградации и чувствительности к антропогенным нагрузкам. Пространственное зонирование по экологическим рискам позволит учитывать уязвимые природные комплексы в степных, пустынных и пойменных ландшафтах при разработке проектной и градостроительной документации.</w:t>
      </w:r>
    </w:p>
    <w:bookmarkEnd w:id="355"/>
    <w:bookmarkStart w:name="z384" w:id="356"/>
    <w:p>
      <w:pPr>
        <w:spacing w:after="0"/>
        <w:ind w:left="0"/>
        <w:jc w:val="both"/>
      </w:pPr>
      <w:r>
        <w:rPr>
          <w:rFonts w:ascii="Times New Roman"/>
          <w:b w:val="false"/>
          <w:i w:val="false"/>
          <w:color w:val="000000"/>
          <w:sz w:val="28"/>
        </w:rPr>
        <w:t>
      Предусматриваются внедрение индикаторов состояния растительности и предельных экологических нагрузок, формирование нормативов восстановления и институциональное закрепление механизмов биоофсетов, экологических сборов и иных стимулирующих инструментов. Также будет обеспечена интеграция восстановительных мероприятий в государственные программы развития с приоритетом природоориентированных решений. Предусматривается расширение участия бизнеса и неправительственного сектора в пилотных проектах, направленных на восстановление растительного покрова и сохранение экосистемных функций.</w:t>
      </w:r>
    </w:p>
    <w:bookmarkEnd w:id="356"/>
    <w:bookmarkStart w:name="z385" w:id="357"/>
    <w:p>
      <w:pPr>
        <w:spacing w:after="0"/>
        <w:ind w:left="0"/>
        <w:jc w:val="both"/>
      </w:pPr>
      <w:r>
        <w:rPr>
          <w:rFonts w:ascii="Times New Roman"/>
          <w:b/>
          <w:i w:val="false"/>
          <w:color w:val="000000"/>
          <w:sz w:val="28"/>
        </w:rPr>
        <w:t>4.6. Восстановление деградированных пастбищ путем внедрения методов устойчивого управления и использования</w:t>
      </w:r>
    </w:p>
    <w:bookmarkEnd w:id="357"/>
    <w:bookmarkStart w:name="z386" w:id="358"/>
    <w:p>
      <w:pPr>
        <w:spacing w:after="0"/>
        <w:ind w:left="0"/>
        <w:jc w:val="both"/>
      </w:pPr>
      <w:r>
        <w:rPr>
          <w:rFonts w:ascii="Times New Roman"/>
          <w:b w:val="false"/>
          <w:i w:val="false"/>
          <w:color w:val="000000"/>
          <w:sz w:val="28"/>
        </w:rPr>
        <w:t xml:space="preserve">
      Сбитые пастбища будут восстановлены посредством реализации целенаправленных действий по ускоренной реабилитации деградированных кормовых угодий, повышению биосеквестрации углерода и сохранению биоразнообразия. Будут применены инновационные технологий посева/посадок засухоустойчивых аридных и других культур, организации противоэрозионного пастбищеоборота и др. Внедрены "зеленые" механизмы финансирования мероприятий по восстановлению продуктивности пастбищ. Повышены потенциал и практические навыки пастбищепользователей в вопросах сохранения экологической целостности пастбищной экосистемы и биоразнообразия страны в настоящем и будущем. </w:t>
      </w:r>
    </w:p>
    <w:bookmarkEnd w:id="358"/>
    <w:p>
      <w:pPr>
        <w:spacing w:after="0"/>
        <w:ind w:left="0"/>
        <w:jc w:val="both"/>
      </w:pPr>
      <w:r>
        <w:rPr>
          <w:rFonts w:ascii="Times New Roman"/>
          <w:b/>
          <w:i w:val="false"/>
          <w:color w:val="000000"/>
          <w:sz w:val="28"/>
        </w:rPr>
        <w:t>4</w:t>
      </w:r>
      <w:r>
        <w:rPr>
          <w:rFonts w:ascii="Times New Roman"/>
          <w:b/>
          <w:i w:val="false"/>
          <w:color w:val="000000"/>
          <w:sz w:val="28"/>
        </w:rPr>
        <w:t>.7. Создание национальной системы сбора и мониторинга данных о финансировании мероприятий по сохранению биоразнообразия</w:t>
      </w:r>
      <w:r>
        <w:rPr>
          <w:rFonts w:ascii="Times New Roman"/>
          <w:b/>
          <w:i w:val="false"/>
          <w:color w:val="000000"/>
          <w:sz w:val="28"/>
        </w:rPr>
        <w:t xml:space="preserve"> </w:t>
      </w:r>
    </w:p>
    <w:bookmarkStart w:name="z388" w:id="359"/>
    <w:p>
      <w:pPr>
        <w:spacing w:after="0"/>
        <w:ind w:left="0"/>
        <w:jc w:val="both"/>
      </w:pPr>
      <w:r>
        <w:rPr>
          <w:rFonts w:ascii="Times New Roman"/>
          <w:b w:val="false"/>
          <w:i w:val="false"/>
          <w:color w:val="000000"/>
          <w:sz w:val="28"/>
        </w:rPr>
        <w:t>
      Точные данные о финансировании биоразнообразия позволят оценивать вклад частного сектора, неправительственных организаций, международных структур и промышленности, что обеспечит эффективное планирование ресурсов и привлечение дополнительных инвестиций. Эти меры способствуют повышению прозрачности денежных потоков, поддерживают устойчивое развитие, улучшают принятие управленческих решений и укрепляют сотрудничество с партнерами.</w:t>
      </w:r>
    </w:p>
    <w:bookmarkEnd w:id="359"/>
    <w:bookmarkStart w:name="z389" w:id="360"/>
    <w:p>
      <w:pPr>
        <w:spacing w:after="0"/>
        <w:ind w:left="0"/>
        <w:jc w:val="left"/>
      </w:pPr>
      <w:r>
        <w:rPr>
          <w:rFonts w:ascii="Times New Roman"/>
          <w:b/>
          <w:i w:val="false"/>
          <w:color w:val="000000"/>
        </w:rPr>
        <w:t xml:space="preserve"> РАЗДЕЛ 5. ОСНОВНЫЕ ПРИНЦИПЫ И ПОДХОДЫ К СОХРАНЕНИЮ И УСТОЙЧИВОМУ ИСПОЛЬЗОВАНИЮ БИОРАЗНООБРАЗИЯ </w:t>
      </w:r>
    </w:p>
    <w:bookmarkEnd w:id="360"/>
    <w:bookmarkStart w:name="z390" w:id="361"/>
    <w:p>
      <w:pPr>
        <w:spacing w:after="0"/>
        <w:ind w:left="0"/>
        <w:jc w:val="both"/>
      </w:pPr>
      <w:r>
        <w:rPr>
          <w:rFonts w:ascii="Times New Roman"/>
          <w:b w:val="false"/>
          <w:i w:val="false"/>
          <w:color w:val="000000"/>
          <w:sz w:val="28"/>
        </w:rPr>
        <w:t>
      Исполнение Концепции построено на следующих основных принципах:</w:t>
      </w:r>
    </w:p>
    <w:bookmarkEnd w:id="361"/>
    <w:bookmarkStart w:name="z391" w:id="362"/>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единства и целостности, централизованности и согласованности</w:t>
      </w:r>
      <w:r>
        <w:rPr>
          <w:rFonts w:ascii="Times New Roman"/>
          <w:b w:val="false"/>
          <w:i w:val="false"/>
          <w:color w:val="000000"/>
          <w:sz w:val="28"/>
        </w:rPr>
        <w:t xml:space="preserve"> – единство организации и управления функционирования системы управления биоразнообразием Республики Казахстан, единство порядка осуществления процесса управления биоразнообразием, согласованность законодательства в сфере биоразнообразия.</w:t>
      </w:r>
    </w:p>
    <w:bookmarkEnd w:id="362"/>
    <w:bookmarkStart w:name="z392" w:id="363"/>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устойчивого развития</w:t>
      </w:r>
      <w:r>
        <w:rPr>
          <w:rFonts w:ascii="Times New Roman"/>
          <w:b w:val="false"/>
          <w:i w:val="false"/>
          <w:color w:val="000000"/>
          <w:sz w:val="28"/>
        </w:rPr>
        <w:t xml:space="preserve"> – решения и действия, принимаемые в рамках исполнения данной Концепции, направлены на устойчивое состояние и развитие Республики Казахстан и человечества в целом.</w:t>
      </w:r>
    </w:p>
    <w:bookmarkEnd w:id="363"/>
    <w:bookmarkStart w:name="z393" w:id="364"/>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адаптивного управления</w:t>
      </w:r>
      <w:r>
        <w:rPr>
          <w:rFonts w:ascii="Times New Roman"/>
          <w:b w:val="false"/>
          <w:i w:val="false"/>
          <w:color w:val="000000"/>
          <w:sz w:val="28"/>
        </w:rPr>
        <w:t xml:space="preserve"> – управление с учетом неопределенности изменения климата</w:t>
      </w:r>
    </w:p>
    <w:bookmarkEnd w:id="364"/>
    <w:bookmarkStart w:name="z394" w:id="365"/>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кадровой и ресурсной обеспеченности</w:t>
      </w:r>
      <w:r>
        <w:rPr>
          <w:rFonts w:ascii="Times New Roman"/>
          <w:b w:val="false"/>
          <w:i w:val="false"/>
          <w:color w:val="000000"/>
          <w:sz w:val="28"/>
        </w:rPr>
        <w:t xml:space="preserve"> – определение и обеспечение источников и объемов финансирования людских и других материальных и нематериальных ресурсов для достижения поставленных целей и задач.</w:t>
      </w:r>
    </w:p>
    <w:bookmarkEnd w:id="365"/>
    <w:bookmarkStart w:name="z395" w:id="366"/>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результативности и достаточности</w:t>
      </w:r>
      <w:r>
        <w:rPr>
          <w:rFonts w:ascii="Times New Roman"/>
          <w:b w:val="false"/>
          <w:i w:val="false"/>
          <w:color w:val="000000"/>
          <w:sz w:val="28"/>
        </w:rPr>
        <w:t xml:space="preserve"> – достижение целей, задач и показателей результатов с наименьшими затратами ресурсов, но с достаточным и полным выполнением поставленных целей, задач, мероприятий.</w:t>
      </w:r>
    </w:p>
    <w:bookmarkEnd w:id="366"/>
    <w:bookmarkStart w:name="z396" w:id="367"/>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ответственности</w:t>
      </w:r>
      <w:r>
        <w:rPr>
          <w:rFonts w:ascii="Times New Roman"/>
          <w:b w:val="false"/>
          <w:i w:val="false"/>
          <w:color w:val="000000"/>
          <w:sz w:val="28"/>
        </w:rPr>
        <w:t xml:space="preserve"> – ответственность всех участников процесса сохранения и устойчивого использования биоразнообразия.</w:t>
      </w:r>
    </w:p>
    <w:bookmarkEnd w:id="367"/>
    <w:bookmarkStart w:name="z397" w:id="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Принцип публичности </w:t>
      </w:r>
      <w:r>
        <w:rPr>
          <w:rFonts w:ascii="Times New Roman"/>
          <w:b w:val="false"/>
          <w:i w:val="false"/>
          <w:color w:val="000000"/>
          <w:sz w:val="28"/>
        </w:rPr>
        <w:t>– обязательное распространение информации о целях, задачах и реализации Концепции сохранения и устойчивого использования биоразнообразия Республики Казахстан, в том числе в понятной форме для широкой аудитории.</w:t>
      </w:r>
    </w:p>
    <w:bookmarkEnd w:id="368"/>
    <w:bookmarkStart w:name="z398" w:id="369"/>
    <w:p>
      <w:pPr>
        <w:spacing w:after="0"/>
        <w:ind w:left="0"/>
        <w:jc w:val="both"/>
      </w:pPr>
      <w:r>
        <w:rPr>
          <w:rFonts w:ascii="Times New Roman"/>
          <w:b w:val="false"/>
          <w:i w:val="false"/>
          <w:color w:val="000000"/>
          <w:sz w:val="28"/>
        </w:rPr>
        <w:t xml:space="preserve">
      Для реализации целей и задач Концепции будут применены следующие подходы/решения по направлениям: </w:t>
      </w:r>
    </w:p>
    <w:bookmarkEnd w:id="369"/>
    <w:p>
      <w:pPr>
        <w:spacing w:after="0"/>
        <w:ind w:left="0"/>
        <w:jc w:val="both"/>
      </w:pPr>
      <w:r>
        <w:rPr>
          <w:rFonts w:ascii="Times New Roman"/>
          <w:b/>
          <w:i w:val="false"/>
          <w:color w:val="000000"/>
          <w:sz w:val="28"/>
        </w:rPr>
        <w:t>5</w:t>
      </w:r>
      <w:r>
        <w:rPr>
          <w:rFonts w:ascii="Times New Roman"/>
          <w:b/>
          <w:i w:val="false"/>
          <w:color w:val="000000"/>
          <w:sz w:val="28"/>
        </w:rPr>
        <w:t>.1. Институционализация подходов к сохранению и устойчивому использованию биоразнообразия</w:t>
      </w:r>
    </w:p>
    <w:bookmarkStart w:name="z400" w:id="370"/>
    <w:p>
      <w:pPr>
        <w:spacing w:after="0"/>
        <w:ind w:left="0"/>
        <w:jc w:val="both"/>
      </w:pPr>
      <w:r>
        <w:rPr>
          <w:rFonts w:ascii="Times New Roman"/>
          <w:b w:val="false"/>
          <w:i w:val="false"/>
          <w:color w:val="000000"/>
          <w:sz w:val="28"/>
        </w:rPr>
        <w:t>
      Построение институциональной основы для сохранения и устойчивого использования биоразнообразия требует фундаментального переосмысления роли биоразнообразия как по сущности, так и по форме.</w:t>
      </w:r>
    </w:p>
    <w:bookmarkEnd w:id="370"/>
    <w:bookmarkStart w:name="z401" w:id="371"/>
    <w:p>
      <w:pPr>
        <w:spacing w:after="0"/>
        <w:ind w:left="0"/>
        <w:jc w:val="both"/>
      </w:pPr>
      <w:r>
        <w:rPr>
          <w:rFonts w:ascii="Times New Roman"/>
          <w:b w:val="false"/>
          <w:i w:val="false"/>
          <w:color w:val="000000"/>
          <w:sz w:val="28"/>
        </w:rPr>
        <w:t>
      В первую очередь предлагается формирование новой парадигмы мышления: "Биологическое разнообразие – основа государственного суверенитета Республики Казахстан".</w:t>
      </w:r>
    </w:p>
    <w:bookmarkEnd w:id="371"/>
    <w:bookmarkStart w:name="z402" w:id="372"/>
    <w:p>
      <w:pPr>
        <w:spacing w:after="0"/>
        <w:ind w:left="0"/>
        <w:jc w:val="both"/>
      </w:pPr>
      <w:r>
        <w:rPr>
          <w:rFonts w:ascii="Times New Roman"/>
          <w:b w:val="false"/>
          <w:i w:val="false"/>
          <w:color w:val="000000"/>
          <w:sz w:val="28"/>
        </w:rPr>
        <w:t xml:space="preserve">
      Одним из фундаментальных составляющих государственного суверенитета Республики Казахстан является исключительное право собственности на землю, ее недра, воду, леса, животный и растительный мир, другие природные ресурсы, находящиеся на территории страны, а также их использование в целях обеспечения жизни и деятельности народа Казахстана, что, соответственно, было закреплено в статье 9 Декларации о государственном суверенитете, принятой Казахстаном 25 октября 1990 года. </w:t>
      </w:r>
    </w:p>
    <w:bookmarkEnd w:id="372"/>
    <w:bookmarkStart w:name="z403" w:id="373"/>
    <w:p>
      <w:pPr>
        <w:spacing w:after="0"/>
        <w:ind w:left="0"/>
        <w:jc w:val="both"/>
      </w:pPr>
      <w:r>
        <w:rPr>
          <w:rFonts w:ascii="Times New Roman"/>
          <w:b w:val="false"/>
          <w:i w:val="false"/>
          <w:color w:val="000000"/>
          <w:sz w:val="28"/>
        </w:rPr>
        <w:t>
      В соответствии с пунктом 3 статьи 6 Конституции Республики Казахстан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w:t>
      </w:r>
    </w:p>
    <w:bookmarkEnd w:id="373"/>
    <w:bookmarkStart w:name="z404" w:id="374"/>
    <w:p>
      <w:pPr>
        <w:spacing w:after="0"/>
        <w:ind w:left="0"/>
        <w:jc w:val="both"/>
      </w:pPr>
      <w:r>
        <w:rPr>
          <w:rFonts w:ascii="Times New Roman"/>
          <w:b w:val="false"/>
          <w:i w:val="false"/>
          <w:color w:val="000000"/>
          <w:sz w:val="28"/>
        </w:rPr>
        <w:t>
      Вместе с тем право собственности влечет за собой также и обязанность государства принимать все необходимые меры по защите принадлежащего народу Казахстана права собственности на указанные выше объекты. Данные положения закреплены нормативным постановлением Конституционного Суда Республики Казахстан от 11 июля 2023 года № 20-НП.</w:t>
      </w:r>
    </w:p>
    <w:bookmarkEnd w:id="374"/>
    <w:bookmarkStart w:name="z405" w:id="375"/>
    <w:p>
      <w:pPr>
        <w:spacing w:after="0"/>
        <w:ind w:left="0"/>
        <w:jc w:val="both"/>
      </w:pPr>
      <w:r>
        <w:rPr>
          <w:rFonts w:ascii="Times New Roman"/>
          <w:b w:val="false"/>
          <w:i w:val="false"/>
          <w:color w:val="000000"/>
          <w:sz w:val="28"/>
        </w:rPr>
        <w:t>
      Таким образом, вопросы сохранения и устойчивого использования биологического разнообразия (биоразнообразия) являются не просто одними из операционных задач государственных органов, а относятся к первостепенным и критически важным экзистенциальным задачам народа Казахстана, как единственного и полноправного собственника всех природных ресурсов, и всех ветвей власти Казахстана, которым делегированы соответствующие права и ответственность.</w:t>
      </w:r>
    </w:p>
    <w:bookmarkEnd w:id="375"/>
    <w:bookmarkStart w:name="z406" w:id="376"/>
    <w:p>
      <w:pPr>
        <w:spacing w:after="0"/>
        <w:ind w:left="0"/>
        <w:jc w:val="both"/>
      </w:pPr>
      <w:r>
        <w:rPr>
          <w:rFonts w:ascii="Times New Roman"/>
          <w:b w:val="false"/>
          <w:i w:val="false"/>
          <w:color w:val="000000"/>
          <w:sz w:val="28"/>
        </w:rPr>
        <w:t>
      Одним из фундаментальных подходов к сохранению и устойчивому использованию биоразнообразия является формирование у граждан Казахстана парадигмы мышления собственника (хозяина) биоразнообразия, четкого отождествления государственного суверенитета с сохранностью биоразнообразия.</w:t>
      </w:r>
    </w:p>
    <w:bookmarkEnd w:id="376"/>
    <w:bookmarkStart w:name="z407" w:id="377"/>
    <w:p>
      <w:pPr>
        <w:spacing w:after="0"/>
        <w:ind w:left="0"/>
        <w:jc w:val="both"/>
      </w:pPr>
      <w:r>
        <w:rPr>
          <w:rFonts w:ascii="Times New Roman"/>
          <w:b w:val="false"/>
          <w:i w:val="false"/>
          <w:color w:val="000000"/>
          <w:sz w:val="28"/>
        </w:rPr>
        <w:t xml:space="preserve">
      Примером измеримого показателя изменения парадигмы мышления может являться уровень информированности граждан Казахстана о проблемах изменения климата и угрожающих последствиях как для человечества в целом, так и для Казахстана. Данное предположение основывается нам том, что если человек систематически получает информацию о различных проблемах экологии из разных источников, если человек получает из общего потока информацию, генерируемую государственными органами, "месседжи" о направлении усилий государства на решение проблем, связанных с изменением климата, то такой человек с большей долей вероятности открыт и заинтересован к самостоятельному поиску любой связанной с этой темой информации, как минимум в СМИ, соответственно, такой человек не может не быть информированным о проблематике биоразнообразия хоть в каком-то аспекте. </w:t>
      </w:r>
    </w:p>
    <w:bookmarkEnd w:id="377"/>
    <w:bookmarkStart w:name="z408" w:id="378"/>
    <w:p>
      <w:pPr>
        <w:spacing w:after="0"/>
        <w:ind w:left="0"/>
        <w:jc w:val="both"/>
      </w:pPr>
      <w:r>
        <w:rPr>
          <w:rFonts w:ascii="Times New Roman"/>
          <w:b w:val="false"/>
          <w:i w:val="false"/>
          <w:color w:val="000000"/>
          <w:sz w:val="28"/>
        </w:rPr>
        <w:t>
      Озвученный выше показатель был предметом исследований общественный фонд "Десента" в 2012, в 2020 и 2022 годы (десятилетний период), заказанных ПРООН. Уровень информированности респондентов о проблемах изменения климата выглядел следующим образом:</w:t>
      </w:r>
    </w:p>
    <w:bookmarkEnd w:id="378"/>
    <w:bookmarkStart w:name="z409" w:id="379"/>
    <w:p>
      <w:pPr>
        <w:spacing w:after="0"/>
        <w:ind w:left="0"/>
        <w:jc w:val="both"/>
      </w:pPr>
      <w:r>
        <w:rPr>
          <w:rFonts w:ascii="Times New Roman"/>
          <w:b w:val="false"/>
          <w:i w:val="false"/>
          <w:color w:val="000000"/>
          <w:sz w:val="28"/>
        </w:rPr>
        <w:t>
      2012 год – 51 %;</w:t>
      </w:r>
    </w:p>
    <w:bookmarkEnd w:id="379"/>
    <w:bookmarkStart w:name="z410" w:id="380"/>
    <w:p>
      <w:pPr>
        <w:spacing w:after="0"/>
        <w:ind w:left="0"/>
        <w:jc w:val="both"/>
      </w:pPr>
      <w:r>
        <w:rPr>
          <w:rFonts w:ascii="Times New Roman"/>
          <w:b w:val="false"/>
          <w:i w:val="false"/>
          <w:color w:val="000000"/>
          <w:sz w:val="28"/>
        </w:rPr>
        <w:t>
      2020 год – 63 %;</w:t>
      </w:r>
    </w:p>
    <w:bookmarkEnd w:id="380"/>
    <w:bookmarkStart w:name="z411" w:id="381"/>
    <w:p>
      <w:pPr>
        <w:spacing w:after="0"/>
        <w:ind w:left="0"/>
        <w:jc w:val="both"/>
      </w:pPr>
      <w:r>
        <w:rPr>
          <w:rFonts w:ascii="Times New Roman"/>
          <w:b w:val="false"/>
          <w:i w:val="false"/>
          <w:color w:val="000000"/>
          <w:sz w:val="28"/>
        </w:rPr>
        <w:t>
      2022 год – 49,05 %.</w:t>
      </w:r>
    </w:p>
    <w:bookmarkEnd w:id="381"/>
    <w:bookmarkStart w:name="z412" w:id="382"/>
    <w:p>
      <w:pPr>
        <w:spacing w:after="0"/>
        <w:ind w:left="0"/>
        <w:jc w:val="both"/>
      </w:pPr>
      <w:r>
        <w:rPr>
          <w:rFonts w:ascii="Times New Roman"/>
          <w:b w:val="false"/>
          <w:i w:val="false"/>
          <w:color w:val="000000"/>
          <w:sz w:val="28"/>
        </w:rPr>
        <w:t>
      Таким образом, с учетом динамики данного показателя за десятилетний период можно предположить, что достижение уровня осведомленности выше 90% могло бы являться измеримым и качественным показателем "сдвига" в парадигме экологического мышления граждан Казахстана.</w:t>
      </w:r>
    </w:p>
    <w:bookmarkEnd w:id="382"/>
    <w:bookmarkStart w:name="z413" w:id="383"/>
    <w:p>
      <w:pPr>
        <w:spacing w:after="0"/>
        <w:ind w:left="0"/>
        <w:jc w:val="both"/>
      </w:pPr>
      <w:r>
        <w:rPr>
          <w:rFonts w:ascii="Times New Roman"/>
          <w:b w:val="false"/>
          <w:i w:val="false"/>
          <w:color w:val="000000"/>
          <w:sz w:val="28"/>
        </w:rPr>
        <w:t xml:space="preserve">
      </w:t>
      </w:r>
      <w:r>
        <w:rPr>
          <w:rFonts w:ascii="Times New Roman"/>
          <w:b/>
          <w:i w:val="false"/>
          <w:color w:val="000000"/>
          <w:sz w:val="28"/>
        </w:rPr>
        <w:t>Во-вторых, видится необходимым лингвистическое переформатирование понятия "биоразнообразие"</w:t>
      </w:r>
      <w:r>
        <w:rPr>
          <w:rFonts w:ascii="Times New Roman"/>
          <w:b w:val="false"/>
          <w:i w:val="false"/>
          <w:color w:val="000000"/>
          <w:sz w:val="28"/>
        </w:rPr>
        <w:t>.</w:t>
      </w:r>
    </w:p>
    <w:bookmarkEnd w:id="383"/>
    <w:bookmarkStart w:name="z414" w:id="384"/>
    <w:p>
      <w:pPr>
        <w:spacing w:after="0"/>
        <w:ind w:left="0"/>
        <w:jc w:val="both"/>
      </w:pPr>
      <w:r>
        <w:rPr>
          <w:rFonts w:ascii="Times New Roman"/>
          <w:b w:val="false"/>
          <w:i w:val="false"/>
          <w:color w:val="000000"/>
          <w:sz w:val="28"/>
        </w:rPr>
        <w:t>
      С точки зрения лингвистики и когнитивной психологии термин "биоразнообразие" представляет собой типичный пример научного заимствования, которое, несмотря на свою формальную точность, страдает от низкой семантической прозрачности для широкой аудитории. Это слово не вызывает у большинства людей немедленной зрительной или эмоциональной ассоциации, в отличие от слов "лес", "животные", "природа", "жизнь". Как следствие, термин не вызывает эмпатии, а значит не мотивирует к действию. Он звучит отстраненно и абстрактно, даже если речь идет об исчезновении живых существ.</w:t>
      </w:r>
    </w:p>
    <w:bookmarkEnd w:id="384"/>
    <w:p>
      <w:pPr>
        <w:spacing w:after="0"/>
        <w:ind w:left="0"/>
        <w:jc w:val="both"/>
      </w:pPr>
      <w:bookmarkStart w:name="z415" w:id="385"/>
      <w:r>
        <w:rPr>
          <w:rFonts w:ascii="Times New Roman"/>
          <w:b w:val="false"/>
          <w:i w:val="false"/>
          <w:color w:val="000000"/>
          <w:sz w:val="28"/>
        </w:rPr>
        <w:t xml:space="preserve">
      Кроме того, "биоразнообразие" – это составной термин латинского происхождения, несущий в себе элементы научного дискурса, а не живой повседневной речи. Его морфологическая структура сложна: </w:t>
      </w:r>
    </w:p>
    <w:bookmarkEnd w:id="385"/>
    <w:p>
      <w:pPr>
        <w:spacing w:after="0"/>
        <w:ind w:left="0"/>
        <w:jc w:val="both"/>
      </w:pPr>
      <w:r>
        <w:rPr>
          <w:rFonts w:ascii="Times New Roman"/>
          <w:b w:val="false"/>
          <w:i w:val="false"/>
          <w:color w:val="000000"/>
          <w:sz w:val="28"/>
        </w:rPr>
        <w:t>"био" (жизнь) + "разнообразие" (множественность форм), что уже предполагает когнитивную нагрузку выше средней. Для неспециалистов он легко смешивается с другими схожими по звучанию, но различными по смыслу терминами (например, "экосистема", "генофонд", "биом"), что приводит к размыванию понятийных границ и недопониманию сущности самого слова.</w:t>
      </w:r>
    </w:p>
    <w:bookmarkStart w:name="z416" w:id="386"/>
    <w:p>
      <w:pPr>
        <w:spacing w:after="0"/>
        <w:ind w:left="0"/>
        <w:jc w:val="both"/>
      </w:pPr>
      <w:r>
        <w:rPr>
          <w:rFonts w:ascii="Times New Roman"/>
          <w:b w:val="false"/>
          <w:i w:val="false"/>
          <w:color w:val="000000"/>
          <w:sz w:val="28"/>
        </w:rPr>
        <w:t>
      Также важно учитывать, что термин не обозначает конкретный объект или действие. Это абстрактная категория, включающая в себя все: от микроорганизмов до хвойных лесов, от генов до целых экосистем. В результате у широкого круга людей не формируется наглядный образ, с которым можно себя идентифицировать или ради которого можно действовать. Это снижает его мобилизационный потенциал в общественной и политической повестке: термины без эмоционального отклика не становятся лозунгами или брендами.</w:t>
      </w:r>
    </w:p>
    <w:bookmarkEnd w:id="386"/>
    <w:bookmarkStart w:name="z417" w:id="387"/>
    <w:p>
      <w:pPr>
        <w:spacing w:after="0"/>
        <w:ind w:left="0"/>
        <w:jc w:val="both"/>
      </w:pPr>
      <w:r>
        <w:rPr>
          <w:rFonts w:ascii="Times New Roman"/>
          <w:b w:val="false"/>
          <w:i w:val="false"/>
          <w:color w:val="000000"/>
          <w:sz w:val="28"/>
        </w:rPr>
        <w:t>
      Таким образом, само лингвистическое оформление понятия "биоразнообразие" играет против цели его популяризации. Для продвижения идей сохранения природы эффективнее использовать понятия с более яркой визуальной или чувственной нагрузкой с учетом культурных особенностей и традиций населения.</w:t>
      </w:r>
    </w:p>
    <w:bookmarkEnd w:id="387"/>
    <w:bookmarkStart w:name="z418" w:id="388"/>
    <w:p>
      <w:pPr>
        <w:spacing w:after="0"/>
        <w:ind w:left="0"/>
        <w:jc w:val="both"/>
      </w:pPr>
      <w:r>
        <w:rPr>
          <w:rFonts w:ascii="Times New Roman"/>
          <w:b w:val="false"/>
          <w:i w:val="false"/>
          <w:color w:val="000000"/>
          <w:sz w:val="28"/>
        </w:rPr>
        <w:t xml:space="preserve">
      Видится целесообразным сохранение в текстах нормативно-правовых актов термина "биоразнообразие" с одновременным формированием условного "бренда" "Жер-Ана" для активного применения в правоприменительной, просветительской и разъяснительной работе с постепенной имплементацией понятия "Жер-Ана" в отдельные документы системы государственного планирования, официальные отчеты государственных органов. </w:t>
      </w:r>
    </w:p>
    <w:bookmarkEnd w:id="388"/>
    <w:bookmarkStart w:name="z419" w:id="389"/>
    <w:p>
      <w:pPr>
        <w:spacing w:after="0"/>
        <w:ind w:left="0"/>
        <w:jc w:val="both"/>
      </w:pPr>
      <w:r>
        <w:rPr>
          <w:rFonts w:ascii="Times New Roman"/>
          <w:b w:val="false"/>
          <w:i w:val="false"/>
          <w:color w:val="000000"/>
          <w:sz w:val="28"/>
        </w:rPr>
        <w:t xml:space="preserve">
      Предлагаемые меры полностью корреспондируются с подходами, предложенными в одном из основных международных документов, посвященных проблемам обеспечения биоразнообразия – Куньминско-Монреальской глобальной рамочной программой в области биоразнообразия. Так, в указанном документе слова "Мать-Земля" используются по тексту документа пять раз. </w:t>
      </w:r>
    </w:p>
    <w:bookmarkEnd w:id="389"/>
    <w:bookmarkStart w:name="z420" w:id="390"/>
    <w:p>
      <w:pPr>
        <w:spacing w:after="0"/>
        <w:ind w:left="0"/>
        <w:jc w:val="both"/>
      </w:pPr>
      <w:r>
        <w:rPr>
          <w:rFonts w:ascii="Times New Roman"/>
          <w:b w:val="false"/>
          <w:i w:val="false"/>
          <w:color w:val="000000"/>
          <w:sz w:val="28"/>
        </w:rPr>
        <w:t>
      Более того, описание понятия "Мать-Земля", приведенное в сноске номер 13 к подпункту "f" Задачи 19, полностью идентично традиционному пониманию этого словосочетания в казахстанском обществе:</w:t>
      </w:r>
    </w:p>
    <w:bookmarkEnd w:id="390"/>
    <w:bookmarkStart w:name="z421" w:id="391"/>
    <w:p>
      <w:pPr>
        <w:spacing w:after="0"/>
        <w:ind w:left="0"/>
        <w:jc w:val="both"/>
      </w:pPr>
      <w:r>
        <w:rPr>
          <w:rFonts w:ascii="Times New Roman"/>
          <w:b w:val="false"/>
          <w:i w:val="false"/>
          <w:color w:val="000000"/>
          <w:sz w:val="28"/>
        </w:rPr>
        <w:t>
      "</w:t>
      </w:r>
      <w:r>
        <w:rPr>
          <w:rFonts w:ascii="Times New Roman"/>
          <w:b w:val="false"/>
          <w:i/>
          <w:color w:val="000000"/>
          <w:sz w:val="28"/>
        </w:rPr>
        <w:t xml:space="preserve">Мать-Земля как основа деятельности: </w:t>
      </w:r>
      <w:r>
        <w:rPr>
          <w:rFonts w:ascii="Times New Roman"/>
          <w:b w:val="false"/>
          <w:i/>
          <w:color w:val="000000"/>
          <w:sz w:val="28"/>
        </w:rPr>
        <w:t>экоцентричный</w:t>
      </w:r>
      <w:r>
        <w:rPr>
          <w:rFonts w:ascii="Times New Roman"/>
          <w:b w:val="false"/>
          <w:i/>
          <w:color w:val="000000"/>
          <w:sz w:val="28"/>
        </w:rPr>
        <w:t xml:space="preserve"> подход, основанный на правах человека, который создает условия для осуществления действий, направленных на обеспечение гармоничных и взаимодополняющих отношений между людьми и природой, способствует преемственности между всеми живыми существами и их сообществами, обеспечивает предотвращение коммерциализации экосистемных функций Матери-Земли</w:t>
      </w:r>
      <w:r>
        <w:rPr>
          <w:rFonts w:ascii="Times New Roman"/>
          <w:b w:val="false"/>
          <w:i w:val="false"/>
          <w:color w:val="000000"/>
          <w:sz w:val="28"/>
        </w:rPr>
        <w:t>".</w:t>
      </w:r>
    </w:p>
    <w:bookmarkEnd w:id="391"/>
    <w:bookmarkStart w:name="z422" w:id="392"/>
    <w:p>
      <w:pPr>
        <w:spacing w:after="0"/>
        <w:ind w:left="0"/>
        <w:jc w:val="both"/>
      </w:pPr>
      <w:r>
        <w:rPr>
          <w:rFonts w:ascii="Times New Roman"/>
          <w:b/>
          <w:i w:val="false"/>
          <w:color w:val="000000"/>
          <w:sz w:val="28"/>
        </w:rPr>
        <w:t>5.2. Комплексное развитие единой экологической сети</w:t>
      </w:r>
    </w:p>
    <w:bookmarkEnd w:id="392"/>
    <w:bookmarkStart w:name="z423" w:id="393"/>
    <w:p>
      <w:pPr>
        <w:spacing w:after="0"/>
        <w:ind w:left="0"/>
        <w:jc w:val="both"/>
      </w:pPr>
      <w:r>
        <w:rPr>
          <w:rFonts w:ascii="Times New Roman"/>
          <w:b w:val="false"/>
          <w:i w:val="false"/>
          <w:color w:val="000000"/>
          <w:sz w:val="28"/>
        </w:rPr>
        <w:t xml:space="preserve">
      Экологическая сеть – это комплекс ООПТ различных категорий и видов, связанных между собой экологическими коридорами, организованный с учетом природных, историко-культурных и социально-экономических особенностей региона. Комплексное развитие экологической сети Казахстана, как единого и взаимосвязанного конгломерата, является одной из приоритетных задач настоящей Концепции. </w:t>
      </w:r>
    </w:p>
    <w:bookmarkEnd w:id="393"/>
    <w:bookmarkStart w:name="z424" w:id="394"/>
    <w:p>
      <w:pPr>
        <w:spacing w:after="0"/>
        <w:ind w:left="0"/>
        <w:jc w:val="both"/>
      </w:pPr>
      <w:r>
        <w:rPr>
          <w:rFonts w:ascii="Times New Roman"/>
          <w:b w:val="false"/>
          <w:i w:val="false"/>
          <w:color w:val="000000"/>
          <w:sz w:val="28"/>
        </w:rPr>
        <w:t>
      В процессе реализации Концепции будет активно развиваться система ООПТ, включая расширение существующих ООПТ со статусом юридического лица. Казахстанская сеть природоохранных территорий будет преобразована для решения проблем, связанных с изменением климата, путем систематического расширения и адаптивного управления. Сеть будет защищать климатические убежища, обеспечивать миграцию видов и поддерживать целостность экосистем в изменяющихся условиях. Особое внимание будет уделено улучшению управления ООПТ через реализацию эффективных планов управления для всех территорий, совершенствованию законодательства по экокоридорам и повышению квалификации работников ООПТ. Для сохранения ключевых водно-болотных угодий будут разработаны специальные планы управления.</w:t>
      </w:r>
    </w:p>
    <w:bookmarkEnd w:id="394"/>
    <w:bookmarkStart w:name="z425" w:id="395"/>
    <w:p>
      <w:pPr>
        <w:spacing w:after="0"/>
        <w:ind w:left="0"/>
        <w:jc w:val="both"/>
      </w:pPr>
      <w:r>
        <w:rPr>
          <w:rFonts w:ascii="Times New Roman"/>
          <w:b w:val="false"/>
          <w:i w:val="false"/>
          <w:color w:val="000000"/>
          <w:sz w:val="28"/>
        </w:rPr>
        <w:t xml:space="preserve">
      До 2035 года планируются создание новых и расширение существующих ООПТ со статусом юридического лица, в частности, создание в целях сохранения экосистем поймы рек государственных природных резерватов "Жайық орманы" в Западно-Казахстанской области для дальнейшего продолжения работ по облесению осушенного дна Аральского моря, Аральского государственного лесного природного резервата в Кызылординской области в целях сохранения хвойных и лиственных лесов Кокшетауского мелкосопочника и развития экотуризма, расширение территории Устюртского ГПЗ в целях сохранения поголовья и мест обитания устюртского горного барана и ГПР "Итбалыгы" в Мангистауской области с учетом влияния изменения климата и антропогенных воздействий на Каспийское море. </w:t>
      </w:r>
    </w:p>
    <w:bookmarkEnd w:id="395"/>
    <w:bookmarkStart w:name="z426" w:id="396"/>
    <w:p>
      <w:pPr>
        <w:spacing w:after="0"/>
        <w:ind w:left="0"/>
        <w:jc w:val="both"/>
      </w:pPr>
      <w:r>
        <w:rPr>
          <w:rFonts w:ascii="Times New Roman"/>
          <w:b w:val="false"/>
          <w:i w:val="false"/>
          <w:color w:val="000000"/>
          <w:sz w:val="28"/>
        </w:rPr>
        <w:t>
      Одним из эффективных механизмов финансового обеспечения целей развития экологической сети является развитие экологического туризма.</w:t>
      </w:r>
    </w:p>
    <w:bookmarkEnd w:id="396"/>
    <w:bookmarkStart w:name="z427" w:id="397"/>
    <w:p>
      <w:pPr>
        <w:spacing w:after="0"/>
        <w:ind w:left="0"/>
        <w:jc w:val="both"/>
      </w:pPr>
      <w:r>
        <w:rPr>
          <w:rFonts w:ascii="Times New Roman"/>
          <w:b w:val="false"/>
          <w:i w:val="false"/>
          <w:color w:val="000000"/>
          <w:sz w:val="28"/>
        </w:rPr>
        <w:t>
      С целью стимулирования экологического туризма и охраны природы, будут внесены изменения в законодательство, регулирующее численность посетителей на ООПТ, реализован пилотный проект по регулированию рекреационных нагрузок, направленный на разработку механизма контроля потока посетителей. В рамках популяризации охраны и устойчивого использования биоразнообразия, а также развития экологического туризма, будут открыты информационные визит-центры. Также будет запущен единый информационный ресурс, охватывающий все аспекты экологического туризма, в том числе на территориях ООПТ, от вопросов экологического просвещения до организации регулирования численности посетителей ООПТ и мониторинга соблюдения требований законодательства.</w:t>
      </w:r>
    </w:p>
    <w:bookmarkEnd w:id="397"/>
    <w:bookmarkStart w:name="z428" w:id="398"/>
    <w:p>
      <w:pPr>
        <w:spacing w:after="0"/>
        <w:ind w:left="0"/>
        <w:jc w:val="both"/>
      </w:pPr>
      <w:r>
        <w:rPr>
          <w:rFonts w:ascii="Times New Roman"/>
          <w:b/>
          <w:i w:val="false"/>
          <w:color w:val="000000"/>
          <w:sz w:val="28"/>
        </w:rPr>
        <w:t>5.3. Повышение эффективности охраны и воспроизводства лесов с применением практик устойчивого лесопользования</w:t>
      </w:r>
    </w:p>
    <w:bookmarkEnd w:id="398"/>
    <w:bookmarkStart w:name="z429" w:id="399"/>
    <w:p>
      <w:pPr>
        <w:spacing w:after="0"/>
        <w:ind w:left="0"/>
        <w:jc w:val="both"/>
      </w:pPr>
      <w:r>
        <w:rPr>
          <w:rFonts w:ascii="Times New Roman"/>
          <w:b w:val="false"/>
          <w:i w:val="false"/>
          <w:color w:val="000000"/>
          <w:sz w:val="28"/>
        </w:rPr>
        <w:t>
      В области охраны лесов от пожаров и незаконных рубок внимание будет уделено расширению применения цифровых технологий (системы раннего обнаружения пожаров, географическо-информационные системы, дистанционное зондирование земли, маркировка лесоматериалов), применению беспилотных летательных аппаратов. Будут проводиться мероприятия, направленные на снижение горимости лесов за счет проведения рубок ухода в молодняках и прочих рубок по формированию пожароустойчивых насаждений вокруг населенных пунктов.</w:t>
      </w:r>
    </w:p>
    <w:bookmarkEnd w:id="399"/>
    <w:bookmarkStart w:name="z430" w:id="400"/>
    <w:p>
      <w:pPr>
        <w:spacing w:after="0"/>
        <w:ind w:left="0"/>
        <w:jc w:val="both"/>
      </w:pPr>
      <w:r>
        <w:rPr>
          <w:rFonts w:ascii="Times New Roman"/>
          <w:b w:val="false"/>
          <w:i w:val="false"/>
          <w:color w:val="000000"/>
          <w:sz w:val="28"/>
        </w:rPr>
        <w:t>
      Мероприятия по защите лесов от вредителей и болезней будут осуществляться биологическими методами, включая применение энтомофагов, выращенных в лабораторных условиях</w:t>
      </w:r>
    </w:p>
    <w:bookmarkEnd w:id="400"/>
    <w:bookmarkStart w:name="z431" w:id="401"/>
    <w:p>
      <w:pPr>
        <w:spacing w:after="0"/>
        <w:ind w:left="0"/>
        <w:jc w:val="both"/>
      </w:pPr>
      <w:r>
        <w:rPr>
          <w:rFonts w:ascii="Times New Roman"/>
          <w:b w:val="false"/>
          <w:i w:val="false"/>
          <w:color w:val="000000"/>
          <w:sz w:val="28"/>
        </w:rPr>
        <w:t>
      В области воспроизводства лесов и лесоразведения будут увеличиваться объемы лесопосадок, в том числе с применением посадочного материала с закрытой корневой системой, выращенного из семян с улучшенными наследственными качествами. Продолжится создание постоянной лесосеменной базы в соответствии с лесосеменным районированием основных лесообразующих пород. Очередность освоения лесокультурного фонда будет определяться с учетом экологической ценности лесов: вырубки и гари; зеленые зоны населенных пунктов; водосборные площади бассейнов рек и эрозионные участки. Для увеличения объемов финансирования будут реализовываться офсетные лесные проекты.</w:t>
      </w:r>
    </w:p>
    <w:bookmarkEnd w:id="401"/>
    <w:bookmarkStart w:name="z432" w:id="402"/>
    <w:p>
      <w:pPr>
        <w:spacing w:after="0"/>
        <w:ind w:left="0"/>
        <w:jc w:val="both"/>
      </w:pPr>
      <w:r>
        <w:rPr>
          <w:rFonts w:ascii="Times New Roman"/>
          <w:b w:val="false"/>
          <w:i w:val="false"/>
          <w:color w:val="000000"/>
          <w:sz w:val="28"/>
        </w:rPr>
        <w:t>
      Устойчивое лесопользование в части древесных ресурсов будет развиваться путем совершенствования рубок главного пользования, увеличения объемов заготовки и переработки низкосортной мягколиственной древесины посредством государственной поддержки лесозаготовителей и деревообработчиков.</w:t>
      </w:r>
    </w:p>
    <w:bookmarkEnd w:id="402"/>
    <w:bookmarkStart w:name="z433" w:id="403"/>
    <w:p>
      <w:pPr>
        <w:spacing w:after="0"/>
        <w:ind w:left="0"/>
        <w:jc w:val="both"/>
      </w:pPr>
      <w:r>
        <w:rPr>
          <w:rFonts w:ascii="Times New Roman"/>
          <w:b w:val="false"/>
          <w:i w:val="false"/>
          <w:color w:val="000000"/>
          <w:sz w:val="28"/>
        </w:rPr>
        <w:t>
      Совершенствование нормативных правовых актов в области таких видов лесопользования, как размещение ульев и пасек на территории государственного лесного фонда, создание частных плантационных лесных насаждений и лесных питомников позволит развивать эти направления, что положительно скажется на популяции пчел – основных опылителей цветковых растений, а также на расширении частного лесного фонда.</w:t>
      </w:r>
    </w:p>
    <w:bookmarkEnd w:id="403"/>
    <w:bookmarkStart w:name="z434" w:id="404"/>
    <w:p>
      <w:pPr>
        <w:spacing w:after="0"/>
        <w:ind w:left="0"/>
        <w:jc w:val="both"/>
      </w:pPr>
      <w:r>
        <w:rPr>
          <w:rFonts w:ascii="Times New Roman"/>
          <w:b w:val="false"/>
          <w:i w:val="false"/>
          <w:color w:val="000000"/>
          <w:sz w:val="28"/>
        </w:rPr>
        <w:t>
      Видится необходимым системный пересмотр подходов к подготовке, повышению квалификации и организации повседневной деятельности работников лесного хозяйства и ООПТ. В частности, рекомендуется применение подходов к обучению и инструктажу вновь прибывающих специалистов по опыту национальных парков США. Например, вновь прибывшему на службу работнику выдается памятка с указанием задач по дням, неделям и месяцам: что нужно сделать и изучить в первый рабочий день, в первую рабочую неделю и месяц, к кому и по каким вопросам можно обращаться, а также перечень обучающих видео-роликов по наиболее критичным аспектам деятельности. Необходимо тиражировать успешный опыт применения системы SMART, апробированной в ряде ООПТ, путем закрепления требований по применению такой системы на уровне правовых актов, регулирующих деятельность соответствующих служб.</w:t>
      </w:r>
    </w:p>
    <w:bookmarkEnd w:id="404"/>
    <w:bookmarkStart w:name="z435" w:id="405"/>
    <w:p>
      <w:pPr>
        <w:spacing w:after="0"/>
        <w:ind w:left="0"/>
        <w:jc w:val="both"/>
      </w:pPr>
      <w:r>
        <w:rPr>
          <w:rFonts w:ascii="Times New Roman"/>
          <w:b/>
          <w:i w:val="false"/>
          <w:color w:val="000000"/>
          <w:sz w:val="28"/>
        </w:rPr>
        <w:t>5.4. Усовершенствование системы мониторинга, охраны и устойчивого использования животного мира</w:t>
      </w:r>
    </w:p>
    <w:bookmarkEnd w:id="405"/>
    <w:bookmarkStart w:name="z436" w:id="406"/>
    <w:p>
      <w:pPr>
        <w:spacing w:after="0"/>
        <w:ind w:left="0"/>
        <w:jc w:val="both"/>
      </w:pPr>
      <w:r>
        <w:rPr>
          <w:rFonts w:ascii="Times New Roman"/>
          <w:b w:val="false"/>
          <w:i w:val="false"/>
          <w:color w:val="000000"/>
          <w:sz w:val="28"/>
        </w:rPr>
        <w:t xml:space="preserve">
      Животный мир рассматривается как ключевой элемент экосистем и ценный возобновляемый природный ресурс. Предлагаемые действия направлены на его сохранение на видовом, популяционном и генетическом уровне, восстановление находящихся под угрозой видов и обеспечение разумного устойчивого использования в интересах народа Казахстана с учетом развития сельского хозяйства и других секторов экономики. </w:t>
      </w:r>
    </w:p>
    <w:bookmarkEnd w:id="406"/>
    <w:bookmarkStart w:name="z437" w:id="407"/>
    <w:p>
      <w:pPr>
        <w:spacing w:after="0"/>
        <w:ind w:left="0"/>
        <w:jc w:val="both"/>
      </w:pPr>
      <w:r>
        <w:rPr>
          <w:rFonts w:ascii="Times New Roman"/>
          <w:b w:val="false"/>
          <w:i w:val="false"/>
          <w:color w:val="000000"/>
          <w:sz w:val="28"/>
        </w:rPr>
        <w:t xml:space="preserve">
      Будет продолжаться работа по сохранению и восстановлению популяций редких и находящихся под угрозой исчезновения видов диких животных: снежного барса, каспийского тюленя, джейрана, тугайного оленя, кулана, всех подвидов архара, устюртского уриала. Будут созданы новые устойчивые группировки кулана и тугайного оленя, созданы питомники для архара, проведены пилотные работы по реинтродукции снежного барса, продолжится работа по реинтродукция тигра. </w:t>
      </w:r>
    </w:p>
    <w:bookmarkEnd w:id="407"/>
    <w:bookmarkStart w:name="z438" w:id="408"/>
    <w:p>
      <w:pPr>
        <w:spacing w:after="0"/>
        <w:ind w:left="0"/>
        <w:jc w:val="both"/>
      </w:pPr>
      <w:r>
        <w:rPr>
          <w:rFonts w:ascii="Times New Roman"/>
          <w:b w:val="false"/>
          <w:i w:val="false"/>
          <w:color w:val="000000"/>
          <w:sz w:val="28"/>
        </w:rPr>
        <w:t xml:space="preserve">
      Будет обеспечено сохранение каспийского тюленя не ниже минимальной устойчивой численности в 260 тысяч особей с ведением регулярного мониторинга, использованием новых технологий, расширением международного сотрудничества. </w:t>
      </w:r>
    </w:p>
    <w:bookmarkEnd w:id="408"/>
    <w:bookmarkStart w:name="z439" w:id="409"/>
    <w:p>
      <w:pPr>
        <w:spacing w:after="0"/>
        <w:ind w:left="0"/>
        <w:jc w:val="both"/>
      </w:pPr>
      <w:r>
        <w:rPr>
          <w:rFonts w:ascii="Times New Roman"/>
          <w:b w:val="false"/>
          <w:i w:val="false"/>
          <w:color w:val="000000"/>
          <w:sz w:val="28"/>
        </w:rPr>
        <w:t xml:space="preserve">
      Будет повышена эффективность государственной системы охраны природы путем повышения квалификации сотрудников, улучшения материально-технического оснащения, цифровизации, проработки возможности выплаты премиальных как части взысканных исковых сумм за ущерб животному миру. </w:t>
      </w:r>
    </w:p>
    <w:bookmarkEnd w:id="409"/>
    <w:bookmarkStart w:name="z440" w:id="410"/>
    <w:p>
      <w:pPr>
        <w:spacing w:after="0"/>
        <w:ind w:left="0"/>
        <w:jc w:val="both"/>
      </w:pPr>
      <w:r>
        <w:rPr>
          <w:rFonts w:ascii="Times New Roman"/>
          <w:b w:val="false"/>
          <w:i w:val="false"/>
          <w:color w:val="000000"/>
          <w:sz w:val="28"/>
        </w:rPr>
        <w:t xml:space="preserve">
      Будет создана система мониторинга биоразнообразия. Информация будет накапливаться и анализироваться группой кадастра и мониторинга, созданной в подведомственной организации уполномоченного органа. Будут уточнены или разработаны и утверждены единые для страны методики учета для ключевых видов и групп животных. Будут оценены численность и заложена система мониторинга балобана, беркута, степного орла, медведя, волка, шакала, горных амфибий (семиреченского лягушкозуба, центральноазиатской лягушки), других ключевых видов для их включения в государственную систему статистической отчетности, в схемы мониторинга и управления популяциями, с регулярными научными исследованиями. </w:t>
      </w:r>
    </w:p>
    <w:bookmarkEnd w:id="410"/>
    <w:bookmarkStart w:name="z441" w:id="411"/>
    <w:p>
      <w:pPr>
        <w:spacing w:after="0"/>
        <w:ind w:left="0"/>
        <w:jc w:val="both"/>
      </w:pPr>
      <w:r>
        <w:rPr>
          <w:rFonts w:ascii="Times New Roman"/>
          <w:b w:val="false"/>
          <w:i w:val="false"/>
          <w:color w:val="000000"/>
          <w:sz w:val="28"/>
        </w:rPr>
        <w:t xml:space="preserve">
      Будут широко внедрены новые технологии мониторинга животного мира и местообитаний: дистанционное зондирование, телеметрия, фотоловушки, ГИС-моделирование, молекулярно-генетические анализы. </w:t>
      </w:r>
    </w:p>
    <w:bookmarkEnd w:id="411"/>
    <w:bookmarkStart w:name="z442" w:id="412"/>
    <w:p>
      <w:pPr>
        <w:spacing w:after="0"/>
        <w:ind w:left="0"/>
        <w:jc w:val="both"/>
      </w:pPr>
      <w:r>
        <w:rPr>
          <w:rFonts w:ascii="Times New Roman"/>
          <w:b w:val="false"/>
          <w:i w:val="false"/>
          <w:color w:val="000000"/>
          <w:sz w:val="28"/>
        </w:rPr>
        <w:t xml:space="preserve">
      Результаты мониторинга будут использоваться для регулярно обновляемого перечня редких и находящихся под угрозой исчезновения видов животных и Красной книги с началом ведения Красного списка фауны с использованием категорий и критериев МСОП. </w:t>
      </w:r>
    </w:p>
    <w:bookmarkEnd w:id="412"/>
    <w:bookmarkStart w:name="z443" w:id="413"/>
    <w:p>
      <w:pPr>
        <w:spacing w:after="0"/>
        <w:ind w:left="0"/>
        <w:jc w:val="both"/>
      </w:pPr>
      <w:r>
        <w:rPr>
          <w:rFonts w:ascii="Times New Roman"/>
          <w:b w:val="false"/>
          <w:i w:val="false"/>
          <w:color w:val="000000"/>
          <w:sz w:val="28"/>
        </w:rPr>
        <w:t xml:space="preserve">
      Управление популяциями ключевых видов наземных позвоночных и финансирование этих работ будут идти на основе планов действий по отдельным видам и группам видов. В систему управления будут включены не только отдельные редкие, но и хозяйственно особо значимые виды, такие как волк и сайгак. Управление популяциями сайгака будет вестись на научной основе с поддержанием их устойчиво высокой численности, учетом емкости угодий, интересов сельского хозяйства и получением максимально возможной продукции промысла. Для сохранения особо уязвимых хищных птиц будут создан центр их реабилитации, вестись реинтродукция балобана, отрабатываться возможности сохранения генофонда животных Казахстана in vitro с созданием биобанка гермоплазмы. Сохранение беспозвоночных животных будет обеспечено как путем сохранения различных типов ландшафтов, прежде всего в системе ООПТ и экологической сети, так и путем улучшения процедур экологической оценки в различных секторах экономики. </w:t>
      </w:r>
    </w:p>
    <w:bookmarkEnd w:id="413"/>
    <w:bookmarkStart w:name="z444" w:id="414"/>
    <w:p>
      <w:pPr>
        <w:spacing w:after="0"/>
        <w:ind w:left="0"/>
        <w:jc w:val="both"/>
      </w:pPr>
      <w:r>
        <w:rPr>
          <w:rFonts w:ascii="Times New Roman"/>
          <w:b w:val="false"/>
          <w:i w:val="false"/>
          <w:color w:val="000000"/>
          <w:sz w:val="28"/>
        </w:rPr>
        <w:t xml:space="preserve">
      Будет совершенствоваться механизм управления охотохозяйственной отраслью путем пересмотра прав местных исполнительных органов и охотпользователей, рассмотрения роли неправительственных организаций в части государственного регулирования вопросов управления животным миром, расширения мониторинга болезней диких животных, обязательности повышения квалификации егерской службы. Будут усилена правая защищенность субъектов охотничьего хозяйства, совершенствоваться механизм управления популяциями диких охотничьих животных с проработкой возможности выделения лимитируемых и не лимитируемых видов, поддержано развитие иностранного охотничьего туризма, а также разведение охотничьих, редких и находящихся под угрозой исчезновения видов диких животных. </w:t>
      </w:r>
    </w:p>
    <w:bookmarkEnd w:id="414"/>
    <w:bookmarkStart w:name="z445" w:id="415"/>
    <w:p>
      <w:pPr>
        <w:spacing w:after="0"/>
        <w:ind w:left="0"/>
        <w:jc w:val="both"/>
      </w:pPr>
      <w:r>
        <w:rPr>
          <w:rFonts w:ascii="Times New Roman"/>
          <w:b w:val="false"/>
          <w:i w:val="false"/>
          <w:color w:val="000000"/>
          <w:sz w:val="28"/>
        </w:rPr>
        <w:t xml:space="preserve">
      Будут приняты дополнительные меры по объектам СИТЕС, включающие в том числе разработку и внедрение механизмов контроля за оборотом дериватов сайгака, изменение порядка регистрации содержащихся в неволе хищных птиц с обеспечением возможности их легального получения для национальной охоты, специальные охранные мероприятия для сокола-балобана и повышение квалификации таможенных и пограничных служб в борьбе с нелегальным оборотом объектов животного и растительного мира. </w:t>
      </w:r>
    </w:p>
    <w:bookmarkEnd w:id="415"/>
    <w:bookmarkStart w:name="z446" w:id="416"/>
    <w:p>
      <w:pPr>
        <w:spacing w:after="0"/>
        <w:ind w:left="0"/>
        <w:jc w:val="both"/>
      </w:pPr>
      <w:r>
        <w:rPr>
          <w:rFonts w:ascii="Times New Roman"/>
          <w:b w:val="false"/>
          <w:i w:val="false"/>
          <w:color w:val="000000"/>
          <w:sz w:val="28"/>
        </w:rPr>
        <w:t xml:space="preserve">
      Будут выяснено влияние инвазивных видов различных групп животных и при необходимости осуществляться мероприятия по их контролю. </w:t>
      </w:r>
    </w:p>
    <w:bookmarkEnd w:id="416"/>
    <w:bookmarkStart w:name="z447" w:id="417"/>
    <w:p>
      <w:pPr>
        <w:spacing w:after="0"/>
        <w:ind w:left="0"/>
        <w:jc w:val="both"/>
      </w:pPr>
      <w:r>
        <w:rPr>
          <w:rFonts w:ascii="Times New Roman"/>
          <w:b w:val="false"/>
          <w:i w:val="false"/>
          <w:color w:val="000000"/>
          <w:sz w:val="28"/>
        </w:rPr>
        <w:t>
      Устойчивое управление животным миром требует перехода от фрагментарных и локальных действий к системной и превентивной модели, основанной на принципах пространственного планирования, оценки рисков и обязательной интеграции биоразнообразия в процессы принятия решений.</w:t>
      </w:r>
    </w:p>
    <w:bookmarkEnd w:id="417"/>
    <w:bookmarkStart w:name="z448" w:id="418"/>
    <w:p>
      <w:pPr>
        <w:spacing w:after="0"/>
        <w:ind w:left="0"/>
        <w:jc w:val="both"/>
      </w:pPr>
      <w:r>
        <w:rPr>
          <w:rFonts w:ascii="Times New Roman"/>
          <w:b w:val="false"/>
          <w:i w:val="false"/>
          <w:color w:val="000000"/>
          <w:sz w:val="28"/>
        </w:rPr>
        <w:t>
      Ключевым направлением станет развитие инструментов картографирования и зонирования территорий по уровням экологической чувствительности. Это позволит учитывать специфику миграционных путей, ключевых мест обитания и зон с высокой природной ценностью при планировании и реализации инфраструктурных и хозяйственных проектов. Пространственное планирование будет сопряжено с внедрением ландшафтно-ориентированных подходов к охране и использованию животного мира.</w:t>
      </w:r>
    </w:p>
    <w:bookmarkEnd w:id="418"/>
    <w:bookmarkStart w:name="z449" w:id="419"/>
    <w:p>
      <w:pPr>
        <w:spacing w:after="0"/>
        <w:ind w:left="0"/>
        <w:jc w:val="both"/>
      </w:pPr>
      <w:r>
        <w:rPr>
          <w:rFonts w:ascii="Times New Roman"/>
          <w:b w:val="false"/>
          <w:i w:val="false"/>
          <w:color w:val="000000"/>
          <w:sz w:val="28"/>
        </w:rPr>
        <w:t>
      Будет усовершенствована нормативно-методическая база оценки воздействия на фауну, включая разработку единых стандартов оценки, требований к минимизации и компенсации ущерба, а также практических рекомендаций по восстановлению среды обитания и снижению фрагментации ландшафтов. Указанные положения обеспечат правовую определенность в рамках процедур ОВОС и СЭО, а также будут способствовать транспарентности экологических решений.</w:t>
      </w:r>
    </w:p>
    <w:bookmarkEnd w:id="419"/>
    <w:bookmarkStart w:name="z450" w:id="420"/>
    <w:p>
      <w:pPr>
        <w:spacing w:after="0"/>
        <w:ind w:left="0"/>
        <w:jc w:val="both"/>
      </w:pPr>
      <w:r>
        <w:rPr>
          <w:rFonts w:ascii="Times New Roman"/>
          <w:b w:val="false"/>
          <w:i w:val="false"/>
          <w:color w:val="000000"/>
          <w:sz w:val="28"/>
        </w:rPr>
        <w:t>
      Особое внимание будет уделено формированию системы индикаторов состояния популяций диких животных, позволяющей фиксировать динамику изменений под влиянием хозяйственной деятельности и обосновывать корректирующие меры. Развитие цифровой платформы для хранения и анализа таких данных с возможностью автоматизированного и дистанционного мониторинга обеспечит доступность информации для планирующих и контролирующих органов.</w:t>
      </w:r>
    </w:p>
    <w:bookmarkEnd w:id="420"/>
    <w:bookmarkStart w:name="z451" w:id="421"/>
    <w:p>
      <w:pPr>
        <w:spacing w:after="0"/>
        <w:ind w:left="0"/>
        <w:jc w:val="both"/>
      </w:pPr>
      <w:r>
        <w:rPr>
          <w:rFonts w:ascii="Times New Roman"/>
          <w:b w:val="false"/>
          <w:i w:val="false"/>
          <w:color w:val="000000"/>
          <w:sz w:val="28"/>
        </w:rPr>
        <w:t>
      Законодательное закрепление обязательности учета биоразнообразия на ранних стадиях проектного и территориального планирования усилит институциональную роль охраны животного мира и повысит подотчетность государственных и частных субъектов. Такой подход создает основу для перехода к превентивному, научно обоснованному и межсекторально интегрированному управлению фауной, особенно в условиях растущего инфраструктурного и климатического давления.</w:t>
      </w:r>
    </w:p>
    <w:bookmarkEnd w:id="421"/>
    <w:bookmarkStart w:name="z452" w:id="422"/>
    <w:p>
      <w:pPr>
        <w:spacing w:after="0"/>
        <w:ind w:left="0"/>
        <w:jc w:val="both"/>
      </w:pPr>
      <w:r>
        <w:rPr>
          <w:rFonts w:ascii="Times New Roman"/>
          <w:b w:val="false"/>
          <w:i w:val="false"/>
          <w:color w:val="000000"/>
          <w:sz w:val="28"/>
        </w:rPr>
        <w:t>
      В рамках общей коммуникационной стратегии по просвещению по вопросам сохранения биоразнообразия, подлежащей разработке и реализации уполномоченным органом во взаимодействии с экспертным сообществом, представляются необходимыми заблаговременная подготовка и проведение информационной кампании по условно называемому "календарю биоразнообразия", в который могут быть включены все дни, отмечаемые международным сообществом по сохранению биоразнообразия: международный день биоразнообразия, дни птиц, сайгака, снежного барса, пчел и т.д.</w:t>
      </w:r>
    </w:p>
    <w:bookmarkEnd w:id="422"/>
    <w:bookmarkStart w:name="z453" w:id="423"/>
    <w:p>
      <w:pPr>
        <w:spacing w:after="0"/>
        <w:ind w:left="0"/>
        <w:jc w:val="both"/>
      </w:pPr>
      <w:r>
        <w:rPr>
          <w:rFonts w:ascii="Times New Roman"/>
          <w:b/>
          <w:i w:val="false"/>
          <w:color w:val="000000"/>
          <w:sz w:val="28"/>
        </w:rPr>
        <w:t>5.5. Сохранение биологического разнообразия ихтиофауны и увеличение природной популяции промысловых рыб за счет снижения нагрузки на естественные рыбные ресурсы</w:t>
      </w:r>
    </w:p>
    <w:bookmarkEnd w:id="423"/>
    <w:bookmarkStart w:name="z454" w:id="424"/>
    <w:p>
      <w:pPr>
        <w:spacing w:after="0"/>
        <w:ind w:left="0"/>
        <w:jc w:val="both"/>
      </w:pPr>
      <w:r>
        <w:rPr>
          <w:rFonts w:ascii="Times New Roman"/>
          <w:b w:val="false"/>
          <w:i w:val="false"/>
          <w:color w:val="000000"/>
          <w:sz w:val="28"/>
        </w:rPr>
        <w:t>
      Благодаря систематическим исследованиям состояния среды обитания, кормовой базы и структуры популяции промысловых видов рыб и других водных животных будут разработаны рекомендации по рациональному использованию, сохранению и увеличению рыбных ресурсов, включая оценку объемов и спектра зарыбляемых видов и реинтродукции. Будут проведена модернизация действующих государственных предприятий по искусственному воспроизводству рыб, разработаны и внедрены новые технологии для расширения спектра зарыбляемых видов рыб. Будут увеличена численность государственных инспекторов, соответствующего материально-технического оснащения и поддержана информационная система прослеживаемости рыбы и рыбной продукции, для обеспечения охраны и рационального использования рыбных ресурсов.</w:t>
      </w:r>
    </w:p>
    <w:bookmarkEnd w:id="424"/>
    <w:bookmarkStart w:name="z455" w:id="425"/>
    <w:p>
      <w:pPr>
        <w:spacing w:after="0"/>
        <w:ind w:left="0"/>
        <w:jc w:val="both"/>
      </w:pPr>
      <w:r>
        <w:rPr>
          <w:rFonts w:ascii="Times New Roman"/>
          <w:b w:val="false"/>
          <w:i w:val="false"/>
          <w:color w:val="000000"/>
          <w:sz w:val="28"/>
        </w:rPr>
        <w:t xml:space="preserve">
      Благодаря систематическим исследованиям биологического разнообразия гидробиоценозов и оценки динамики популяций редких и исчезающих видов рыб, а также проникновений чужеродных (инвазивных) видов гидробионтов будут разработаны соответствующие научно-обоснованные рекомендации и мероприятия по сохранению биологического разнообразия гидробионтов. Будут разработаны и внедрены меры государственной поддержки для стимулирования воспроизводства и товарного выращивания ценных, редких и находящихся под угрозой исчезновения видов рыб, создан криобанк для сохранения генетического материала ценных, редких и исчезающих видов гидробионтов. </w:t>
      </w:r>
    </w:p>
    <w:bookmarkEnd w:id="425"/>
    <w:bookmarkStart w:name="z456" w:id="426"/>
    <w:p>
      <w:pPr>
        <w:spacing w:after="0"/>
        <w:ind w:left="0"/>
        <w:jc w:val="both"/>
      </w:pPr>
      <w:r>
        <w:rPr>
          <w:rFonts w:ascii="Times New Roman"/>
          <w:b w:val="false"/>
          <w:i w:val="false"/>
          <w:color w:val="000000"/>
          <w:sz w:val="28"/>
        </w:rPr>
        <w:t>
      Будут создана обучающая программа для центра повышения квалификации для работников рыбного хозяйства, проведена системная работа по анализу цепочки сбыта рыбной продукции с целью фундаментального пресечения возможности реализации продукции, выловленной браконьерами. В частности, требует пересмотра порядок выдачи ветеринарных документов на рыбную продукцию в части обязательности наличия справки о происхождении такой продукции, а также исключения возможности получения ветеринарных документов на браконьерскую продукцию на основе справки о происхождении, выданной на другую партию продукции.</w:t>
      </w:r>
    </w:p>
    <w:bookmarkEnd w:id="426"/>
    <w:bookmarkStart w:name="z457" w:id="427"/>
    <w:p>
      <w:pPr>
        <w:spacing w:after="0"/>
        <w:ind w:left="0"/>
        <w:jc w:val="both"/>
      </w:pPr>
      <w:r>
        <w:rPr>
          <w:rFonts w:ascii="Times New Roman"/>
          <w:b w:val="false"/>
          <w:i w:val="false"/>
          <w:color w:val="000000"/>
          <w:sz w:val="28"/>
        </w:rPr>
        <w:t>
      Требуются создание единого цифрового журнала учета, формируемого на принципах блокчейн, не позволяющего задвоения учета либо выписки документов на основании фиктивного документа, организация оперативно-профилактических мероприятий по регулярному и внезапному контролю мест реализации рыбной продукции, а также выявление и контроль за пунктами хранения рыбной продукции в близлежащих к водоемам населенных пунктах (холодные склады, заготовительные пункты).</w:t>
      </w:r>
    </w:p>
    <w:bookmarkEnd w:id="427"/>
    <w:bookmarkStart w:name="z458" w:id="428"/>
    <w:p>
      <w:pPr>
        <w:spacing w:after="0"/>
        <w:ind w:left="0"/>
        <w:jc w:val="both"/>
      </w:pPr>
      <w:r>
        <w:rPr>
          <w:rFonts w:ascii="Times New Roman"/>
          <w:b w:val="false"/>
          <w:i w:val="false"/>
          <w:color w:val="000000"/>
          <w:sz w:val="28"/>
        </w:rPr>
        <w:t xml:space="preserve">
      Будет проработан механизм задействования потенциала законодательства о защите прав потребителей в целях мониторинга и выявления браконьерской продукции в цепочке сбыта рыбной продукции. </w:t>
      </w:r>
    </w:p>
    <w:bookmarkEnd w:id="428"/>
    <w:bookmarkStart w:name="z459" w:id="429"/>
    <w:p>
      <w:pPr>
        <w:spacing w:after="0"/>
        <w:ind w:left="0"/>
        <w:jc w:val="both"/>
      </w:pPr>
      <w:r>
        <w:rPr>
          <w:rFonts w:ascii="Times New Roman"/>
          <w:b w:val="false"/>
          <w:i w:val="false"/>
          <w:color w:val="000000"/>
          <w:sz w:val="28"/>
        </w:rPr>
        <w:t>
      Перечисленный выше комплекс мер направлен на экономическое дестимулирование браконьерства через ограничение возможностей для реализации больших объемов браконьерской продукции.</w:t>
      </w:r>
    </w:p>
    <w:bookmarkEnd w:id="429"/>
    <w:bookmarkStart w:name="z460" w:id="430"/>
    <w:p>
      <w:pPr>
        <w:spacing w:after="0"/>
        <w:ind w:left="0"/>
        <w:jc w:val="both"/>
      </w:pPr>
      <w:r>
        <w:rPr>
          <w:rFonts w:ascii="Times New Roman"/>
          <w:b/>
          <w:i w:val="false"/>
          <w:color w:val="000000"/>
          <w:sz w:val="28"/>
        </w:rPr>
        <w:t>5.6. Внедрение эффективных мер охраны, восстановления и использования растительного мира</w:t>
      </w:r>
    </w:p>
    <w:bookmarkEnd w:id="430"/>
    <w:bookmarkStart w:name="z461" w:id="431"/>
    <w:p>
      <w:pPr>
        <w:spacing w:after="0"/>
        <w:ind w:left="0"/>
        <w:jc w:val="both"/>
      </w:pPr>
      <w:r>
        <w:rPr>
          <w:rFonts w:ascii="Times New Roman"/>
          <w:b w:val="false"/>
          <w:i w:val="false"/>
          <w:color w:val="000000"/>
          <w:sz w:val="28"/>
        </w:rPr>
        <w:t xml:space="preserve">
      Для организации эффективной системы кадастровой оценки растительного мира Республики Казахстан будут проведены работы по следующим направлениям: </w:t>
      </w:r>
    </w:p>
    <w:bookmarkEnd w:id="431"/>
    <w:bookmarkStart w:name="z462" w:id="432"/>
    <w:p>
      <w:pPr>
        <w:spacing w:after="0"/>
        <w:ind w:left="0"/>
        <w:jc w:val="both"/>
      </w:pPr>
      <w:r>
        <w:rPr>
          <w:rFonts w:ascii="Times New Roman"/>
          <w:b w:val="false"/>
          <w:i w:val="false"/>
          <w:color w:val="000000"/>
          <w:sz w:val="28"/>
        </w:rPr>
        <w:t xml:space="preserve">
      – разработана и утверждена единая методика кадастровой оценки растительного мира Республики Казахстан; </w:t>
      </w:r>
    </w:p>
    <w:bookmarkEnd w:id="432"/>
    <w:bookmarkStart w:name="z463" w:id="433"/>
    <w:p>
      <w:pPr>
        <w:spacing w:after="0"/>
        <w:ind w:left="0"/>
        <w:jc w:val="both"/>
      </w:pPr>
      <w:r>
        <w:rPr>
          <w:rFonts w:ascii="Times New Roman"/>
          <w:b w:val="false"/>
          <w:i w:val="false"/>
          <w:color w:val="000000"/>
          <w:sz w:val="28"/>
        </w:rPr>
        <w:t>
      – разработаны методические рекомендации по современным подходам и критериям МСОП к обновлению национального перечня редких и находящихся под угрозой исчезновения видов;</w:t>
      </w:r>
    </w:p>
    <w:bookmarkEnd w:id="433"/>
    <w:bookmarkStart w:name="z464" w:id="434"/>
    <w:p>
      <w:pPr>
        <w:spacing w:after="0"/>
        <w:ind w:left="0"/>
        <w:jc w:val="both"/>
      </w:pPr>
      <w:r>
        <w:rPr>
          <w:rFonts w:ascii="Times New Roman"/>
          <w:b w:val="false"/>
          <w:i w:val="false"/>
          <w:color w:val="000000"/>
          <w:sz w:val="28"/>
        </w:rPr>
        <w:t>
      – созданы государственные кадастры объектов растительного мира для целей планирования и принятия управленческих решений;</w:t>
      </w:r>
    </w:p>
    <w:bookmarkEnd w:id="434"/>
    <w:bookmarkStart w:name="z465" w:id="435"/>
    <w:p>
      <w:pPr>
        <w:spacing w:after="0"/>
        <w:ind w:left="0"/>
        <w:jc w:val="both"/>
      </w:pPr>
      <w:r>
        <w:rPr>
          <w:rFonts w:ascii="Times New Roman"/>
          <w:b w:val="false"/>
          <w:i w:val="false"/>
          <w:color w:val="000000"/>
          <w:sz w:val="28"/>
        </w:rPr>
        <w:t xml:space="preserve">
      – проведена инвентаризация инвазивных чужеродных видов растений для разработки мер по снижению негативного влияния их на биоразнообразие; </w:t>
      </w:r>
    </w:p>
    <w:bookmarkEnd w:id="435"/>
    <w:bookmarkStart w:name="z466" w:id="436"/>
    <w:p>
      <w:pPr>
        <w:spacing w:after="0"/>
        <w:ind w:left="0"/>
        <w:jc w:val="both"/>
      </w:pPr>
      <w:r>
        <w:rPr>
          <w:rFonts w:ascii="Times New Roman"/>
          <w:b w:val="false"/>
          <w:i w:val="false"/>
          <w:color w:val="000000"/>
          <w:sz w:val="28"/>
        </w:rPr>
        <w:t>
      – будут продолжены дальнейшие исследования по селекционно-генетической оценке диких плодовых растений (яблоня Недзвецкого, абрикос обыкновенный, фисташка настоящая, миндаль обыкновенный, груша Регеля и другие), в том числе сорто-клонов яблони Сиверса и отбору перспективных форм; внедрению в производство новых иммунных и высокоустойчивых к парше сортов и форм дикой яблони для сокового производства, для реализации этой задачи будет инициирована и реализованы научно-техническая программа: "Оценка современного состояния и рационального использования генофонда дикорастущих плодовых и орехоплодных растений Казахстана для лесовосстановления и развития отечественного садоводства (молекулярно-генетическая паспортизация и отбор их форм для сохранения in situ, ex situ)";</w:t>
      </w:r>
    </w:p>
    <w:bookmarkEnd w:id="436"/>
    <w:bookmarkStart w:name="z467" w:id="437"/>
    <w:p>
      <w:pPr>
        <w:spacing w:after="0"/>
        <w:ind w:left="0"/>
        <w:jc w:val="both"/>
      </w:pPr>
      <w:r>
        <w:rPr>
          <w:rFonts w:ascii="Times New Roman"/>
          <w:b w:val="false"/>
          <w:i w:val="false"/>
          <w:color w:val="000000"/>
          <w:sz w:val="28"/>
        </w:rPr>
        <w:t xml:space="preserve">
      – будут продолжены работы по применению геоинформационных систем для эффективного управления растительными ресурсами; будут созданы базы данных по объектам растительного мира Республики Казахстан. </w:t>
      </w:r>
    </w:p>
    <w:bookmarkEnd w:id="437"/>
    <w:bookmarkStart w:name="z468" w:id="438"/>
    <w:p>
      <w:pPr>
        <w:spacing w:after="0"/>
        <w:ind w:left="0"/>
        <w:jc w:val="both"/>
      </w:pPr>
      <w:r>
        <w:rPr>
          <w:rFonts w:ascii="Times New Roman"/>
          <w:b w:val="false"/>
          <w:i w:val="false"/>
          <w:color w:val="000000"/>
          <w:sz w:val="28"/>
        </w:rPr>
        <w:t>
      Для периодической переоценки современного состояния и уточнения сырьевой базы экономически значимых ресурсных видов лекарственных растений будут проведены систематические ресурсные исследования. Современная оценка лекарственных растительных ресурсов как ключевого естественно-возобновляемого элемента экономики Казахстана в период усиливающихся воздействий антропогенных факторов и глобальных климатических изменений послужит созданию и ведению Государственного кадастра растительного мира Республики Казахстан и будет способствовать повышению биологической и продовольственной безопасности страны. Будет инициирована и реализована долгосрочная программа всестороннего изучения и освоения лекарственных растительных ресурсов как регионов, так и республики в целом (2028-2035 годы).</w:t>
      </w:r>
    </w:p>
    <w:bookmarkEnd w:id="438"/>
    <w:bookmarkStart w:name="z469" w:id="439"/>
    <w:p>
      <w:pPr>
        <w:spacing w:after="0"/>
        <w:ind w:left="0"/>
        <w:jc w:val="both"/>
      </w:pPr>
      <w:r>
        <w:rPr>
          <w:rFonts w:ascii="Times New Roman"/>
          <w:b w:val="false"/>
          <w:i w:val="false"/>
          <w:color w:val="000000"/>
          <w:sz w:val="28"/>
        </w:rPr>
        <w:t xml:space="preserve">
      В связи с угрозой исчезновения редких растений будет обеспечено научно-обоснованное сохранение этих видов, разработаны планы действий, которые создадут условия для защиты популяций наиболее уязвимых видов в долгосрочной перспективе. Будут применены современные подходы и критерии МСОП к обновлению перечня редких и находящихся под угрозой исчезновения видов, обновлен список видов Красной и Зеленой книги. </w:t>
      </w:r>
    </w:p>
    <w:bookmarkEnd w:id="439"/>
    <w:bookmarkStart w:name="z470" w:id="440"/>
    <w:p>
      <w:pPr>
        <w:spacing w:after="0"/>
        <w:ind w:left="0"/>
        <w:jc w:val="both"/>
      </w:pPr>
      <w:r>
        <w:rPr>
          <w:rFonts w:ascii="Times New Roman"/>
          <w:b w:val="false"/>
          <w:i w:val="false"/>
          <w:color w:val="000000"/>
          <w:sz w:val="28"/>
        </w:rPr>
        <w:t>
      Другим подходом, который будет применен к выявлению редких видов, должен стать регулярный мониторинг их местообитания. Будут усилены работы по развитию коллекций редких и исчезающих видов растений Казахстана ex-situ для их сохранения и последующей реинтродукции.</w:t>
      </w:r>
    </w:p>
    <w:bookmarkEnd w:id="440"/>
    <w:bookmarkStart w:name="z471" w:id="441"/>
    <w:p>
      <w:pPr>
        <w:spacing w:after="0"/>
        <w:ind w:left="0"/>
        <w:jc w:val="both"/>
      </w:pPr>
      <w:r>
        <w:rPr>
          <w:rFonts w:ascii="Times New Roman"/>
          <w:b w:val="false"/>
          <w:i w:val="false"/>
          <w:color w:val="000000"/>
          <w:sz w:val="28"/>
        </w:rPr>
        <w:t xml:space="preserve">
      Для сохранения генетических ресурсов в коллекционных фондах государственных ботанических садов (живые растения и банки семян) необходимо предусмотреть на государственном уровне расширение сети интродукционных пунктов. </w:t>
      </w:r>
    </w:p>
    <w:bookmarkEnd w:id="441"/>
    <w:bookmarkStart w:name="z472" w:id="442"/>
    <w:p>
      <w:pPr>
        <w:spacing w:after="0"/>
        <w:ind w:left="0"/>
        <w:jc w:val="both"/>
      </w:pPr>
      <w:r>
        <w:rPr>
          <w:rFonts w:ascii="Times New Roman"/>
          <w:b w:val="false"/>
          <w:i w:val="false"/>
          <w:color w:val="000000"/>
          <w:sz w:val="28"/>
        </w:rPr>
        <w:t xml:space="preserve">
      Также будет разработана и реализована научно-техническая программа в рамках программно-целевого финансирования на 2026 – 2027 годы: "Анализ, развитие и мониторинг коллекционных фондов государственных ботанических садов в условиях изменяющегося климата для решения научно-практических задач озеленения и садоводства Республики Казахстан". </w:t>
      </w:r>
    </w:p>
    <w:bookmarkEnd w:id="442"/>
    <w:bookmarkStart w:name="z473" w:id="443"/>
    <w:p>
      <w:pPr>
        <w:spacing w:after="0"/>
        <w:ind w:left="0"/>
        <w:jc w:val="both"/>
      </w:pPr>
      <w:r>
        <w:rPr>
          <w:rFonts w:ascii="Times New Roman"/>
          <w:b w:val="false"/>
          <w:i w:val="false"/>
          <w:color w:val="000000"/>
          <w:sz w:val="28"/>
        </w:rPr>
        <w:t xml:space="preserve">
      Для масштабирования работы по выявлению ключевых ботанических территорий будет создана экспертная группа по адаптации международных критериев к местному составу флоры и растительности. </w:t>
      </w:r>
    </w:p>
    <w:bookmarkEnd w:id="443"/>
    <w:bookmarkStart w:name="z474" w:id="444"/>
    <w:p>
      <w:pPr>
        <w:spacing w:after="0"/>
        <w:ind w:left="0"/>
        <w:jc w:val="both"/>
      </w:pPr>
      <w:r>
        <w:rPr>
          <w:rFonts w:ascii="Times New Roman"/>
          <w:b w:val="false"/>
          <w:i w:val="false"/>
          <w:color w:val="000000"/>
          <w:sz w:val="28"/>
        </w:rPr>
        <w:t xml:space="preserve">
      Для реализации научно-исследовательских работ, направленных на изучение и сохранение объектов растительного мира, должны быть внесены дополнения в законодательство, допускающее реализацию научно-технических программ вне конкурсных процедур. </w:t>
      </w:r>
    </w:p>
    <w:bookmarkEnd w:id="444"/>
    <w:bookmarkStart w:name="z475" w:id="445"/>
    <w:p>
      <w:pPr>
        <w:spacing w:after="0"/>
        <w:ind w:left="0"/>
        <w:jc w:val="both"/>
      </w:pPr>
      <w:r>
        <w:rPr>
          <w:rFonts w:ascii="Times New Roman"/>
          <w:b w:val="false"/>
          <w:i w:val="false"/>
          <w:color w:val="000000"/>
          <w:sz w:val="28"/>
        </w:rPr>
        <w:t>
      Подход к охране и устойчивому использованию растительного мира будет основываться на комплексной системе, сочетающей цифровые инструменты, унифицированное нормативное регулирование и использование научно обоснованных индикаторов. Центральными элементами станут создание и внедрение тематических цифровых карт, охватывающих экосистемные типы, структуру растительного покрова, ареалы редких видов, а также территории с различной степенью антропогенной нарушенности. Эти инструменты будут интегрированы в процедуры экологических оценок, государственную экологическую экспертизу и территориальное планирование, обеспечивая пространственную обоснованность принимаемых решений.</w:t>
      </w:r>
    </w:p>
    <w:bookmarkEnd w:id="445"/>
    <w:bookmarkStart w:name="z476" w:id="446"/>
    <w:p>
      <w:pPr>
        <w:spacing w:after="0"/>
        <w:ind w:left="0"/>
        <w:jc w:val="both"/>
      </w:pPr>
      <w:r>
        <w:rPr>
          <w:rFonts w:ascii="Times New Roman"/>
          <w:b w:val="false"/>
          <w:i w:val="false"/>
          <w:color w:val="000000"/>
          <w:sz w:val="28"/>
        </w:rPr>
        <w:t>
      Для повышения эффективности оценки воздействия на растительность будут разработаны нормативно-методические документы, устанавливающие структуру анализа, критерии расчета потерь и обязательные меры по предотвращению и компенсации ущерба. Это обеспечит устранение существующих пробелов в правовом регулировании и повысит прозрачность и воспроизводимость процедур экологической экспертизы.</w:t>
      </w:r>
    </w:p>
    <w:bookmarkEnd w:id="446"/>
    <w:bookmarkStart w:name="z477" w:id="447"/>
    <w:p>
      <w:pPr>
        <w:spacing w:after="0"/>
        <w:ind w:left="0"/>
        <w:jc w:val="both"/>
      </w:pPr>
      <w:r>
        <w:rPr>
          <w:rFonts w:ascii="Times New Roman"/>
          <w:b w:val="false"/>
          <w:i w:val="false"/>
          <w:color w:val="000000"/>
          <w:sz w:val="28"/>
        </w:rPr>
        <w:t>
      Будет внедрена система индикаторов, отражающая состояние растительного покрова и предельные экологические нагрузки на экосистемы. Эти показатели будут использоваться как для мониторинга, так и для оценки устойчивости территорий, обоснования восстановительных мероприятий и установления приоритетов природоохранной политики.</w:t>
      </w:r>
    </w:p>
    <w:bookmarkEnd w:id="447"/>
    <w:p>
      <w:pPr>
        <w:spacing w:after="0"/>
        <w:ind w:left="0"/>
        <w:jc w:val="both"/>
      </w:pPr>
      <w:bookmarkStart w:name="z478" w:id="448"/>
      <w:r>
        <w:rPr>
          <w:rFonts w:ascii="Times New Roman"/>
          <w:b w:val="false"/>
          <w:i w:val="false"/>
          <w:color w:val="000000"/>
          <w:sz w:val="28"/>
        </w:rPr>
        <w:t>
      В целях усиления ответственности бизнеса и повышения качества данных о биоразнообразии в систему экологической отчетности предприятий будут включены показатели, касающиеся воздействия на растительный мир.</w:t>
      </w:r>
    </w:p>
    <w:bookmarkEnd w:id="448"/>
    <w:p>
      <w:pPr>
        <w:spacing w:after="0"/>
        <w:ind w:left="0"/>
        <w:jc w:val="both"/>
      </w:pPr>
      <w:r>
        <w:rPr>
          <w:rFonts w:ascii="Times New Roman"/>
          <w:b w:val="false"/>
          <w:i w:val="false"/>
          <w:color w:val="000000"/>
          <w:sz w:val="28"/>
        </w:rPr>
        <w:t>Это обеспечит интеграцию вопросов биоразнообразия в корпоративные стратегии и процессы управления природными ресурсами.</w:t>
      </w:r>
    </w:p>
    <w:bookmarkStart w:name="z479" w:id="449"/>
    <w:p>
      <w:pPr>
        <w:spacing w:after="0"/>
        <w:ind w:left="0"/>
        <w:jc w:val="both"/>
      </w:pPr>
      <w:r>
        <w:rPr>
          <w:rFonts w:ascii="Times New Roman"/>
          <w:b w:val="false"/>
          <w:i w:val="false"/>
          <w:color w:val="000000"/>
          <w:sz w:val="28"/>
        </w:rPr>
        <w:t>
      Реализация данного подхода создаст основу для эффективного и адаптивного управления растительными ресурсами в условиях нарастающего климатического и антропогенного давления, а также обеспечит воспроизводимость и долгосрочную устойчивость экосистемных функций.</w:t>
      </w:r>
    </w:p>
    <w:bookmarkEnd w:id="449"/>
    <w:bookmarkStart w:name="z480" w:id="450"/>
    <w:p>
      <w:pPr>
        <w:spacing w:after="0"/>
        <w:ind w:left="0"/>
        <w:jc w:val="both"/>
      </w:pPr>
      <w:r>
        <w:rPr>
          <w:rFonts w:ascii="Times New Roman"/>
          <w:b/>
          <w:i w:val="false"/>
          <w:color w:val="000000"/>
          <w:sz w:val="28"/>
        </w:rPr>
        <w:t xml:space="preserve">5.7. Восстановление деградированных пастбищ путем внедрения методов устойчивого управления и использования </w:t>
      </w:r>
    </w:p>
    <w:bookmarkEnd w:id="450"/>
    <w:bookmarkStart w:name="z481" w:id="451"/>
    <w:p>
      <w:pPr>
        <w:spacing w:after="0"/>
        <w:ind w:left="0"/>
        <w:jc w:val="both"/>
      </w:pPr>
      <w:r>
        <w:rPr>
          <w:rFonts w:ascii="Times New Roman"/>
          <w:b w:val="false"/>
          <w:i w:val="false"/>
          <w:color w:val="000000"/>
          <w:sz w:val="28"/>
        </w:rPr>
        <w:t>
      Концепцией предусматривается до 2035 года восстановление продуктивности деградированных (сбитых) пастбищ. Для достижения этой цели будут:</w:t>
      </w:r>
    </w:p>
    <w:bookmarkEnd w:id="451"/>
    <w:bookmarkStart w:name="z482" w:id="452"/>
    <w:p>
      <w:pPr>
        <w:spacing w:after="0"/>
        <w:ind w:left="0"/>
        <w:jc w:val="both"/>
      </w:pPr>
      <w:r>
        <w:rPr>
          <w:rFonts w:ascii="Times New Roman"/>
          <w:b w:val="false"/>
          <w:i w:val="false"/>
          <w:color w:val="000000"/>
          <w:sz w:val="28"/>
        </w:rPr>
        <w:t>
      – созданы электронные платформы с показателями культуро-технического состояния пастбищ во всех категориях землепользователей, в соответствии с ним будут разработаны и реализованы планы по управлению пастбищами, нацеленные на ускоренную реабилитацию деградированных кормовых угодий, повышение биосеквестрации углерода и сохранение биоразнообразия;</w:t>
      </w:r>
    </w:p>
    <w:bookmarkEnd w:id="452"/>
    <w:bookmarkStart w:name="z483" w:id="453"/>
    <w:p>
      <w:pPr>
        <w:spacing w:after="0"/>
        <w:ind w:left="0"/>
        <w:jc w:val="both"/>
      </w:pPr>
      <w:r>
        <w:rPr>
          <w:rFonts w:ascii="Times New Roman"/>
          <w:b w:val="false"/>
          <w:i w:val="false"/>
          <w:color w:val="000000"/>
          <w:sz w:val="28"/>
        </w:rPr>
        <w:t>
      – реабилитированы продуктивность сбитых пастбищ с применением агролесомелиорации, методов прямого посева (No-Till) и минмальной обработки (minimum tillage), посева/посадок засухоустойчивых аридных и других культур, противоэррозионного пастбищеоборота, регламентированного выпаса животных;</w:t>
      </w:r>
    </w:p>
    <w:bookmarkEnd w:id="453"/>
    <w:bookmarkStart w:name="z484" w:id="454"/>
    <w:p>
      <w:pPr>
        <w:spacing w:after="0"/>
        <w:ind w:left="0"/>
        <w:jc w:val="both"/>
      </w:pPr>
      <w:r>
        <w:rPr>
          <w:rFonts w:ascii="Times New Roman"/>
          <w:b w:val="false"/>
          <w:i w:val="false"/>
          <w:color w:val="000000"/>
          <w:sz w:val="28"/>
        </w:rPr>
        <w:t>
      – оценка международных методологий механизмов углеродных офсетов и кредитов к пастбищам в Казахстане для внедрения механизмов "зеленого", финансирования сохранения биоразнообразия;</w:t>
      </w:r>
    </w:p>
    <w:bookmarkEnd w:id="454"/>
    <w:bookmarkStart w:name="z485" w:id="455"/>
    <w:p>
      <w:pPr>
        <w:spacing w:after="0"/>
        <w:ind w:left="0"/>
        <w:jc w:val="both"/>
      </w:pPr>
      <w:r>
        <w:rPr>
          <w:rFonts w:ascii="Times New Roman"/>
          <w:b w:val="false"/>
          <w:i w:val="false"/>
          <w:color w:val="000000"/>
          <w:sz w:val="28"/>
        </w:rPr>
        <w:t>
      – определение потенциала подземных вод и разработка мер по обводнению пастбищ для сохранения биоразнообразия на засушливых территориях;</w:t>
      </w:r>
    </w:p>
    <w:bookmarkEnd w:id="455"/>
    <w:bookmarkStart w:name="z486" w:id="456"/>
    <w:p>
      <w:pPr>
        <w:spacing w:after="0"/>
        <w:ind w:left="0"/>
        <w:jc w:val="both"/>
      </w:pPr>
      <w:r>
        <w:rPr>
          <w:rFonts w:ascii="Times New Roman"/>
          <w:b w:val="false"/>
          <w:i w:val="false"/>
          <w:color w:val="000000"/>
          <w:sz w:val="28"/>
        </w:rPr>
        <w:t>
      – создание пастбищно-полевых школ в различных регионах Казахстана для повышения потенциала и практических навыков пастбищепользователей в разработке и реализации планов по управлению пастбищами и их использованию, нацеленных на ускоренную реабилитацию деградированных кормовых угодий, повышение объемов накопленного углерода и сохранение биоразнообразия.</w:t>
      </w:r>
    </w:p>
    <w:bookmarkEnd w:id="456"/>
    <w:bookmarkStart w:name="z487" w:id="457"/>
    <w:p>
      <w:pPr>
        <w:spacing w:after="0"/>
        <w:ind w:left="0"/>
        <w:jc w:val="both"/>
      </w:pPr>
      <w:r>
        <w:rPr>
          <w:rFonts w:ascii="Times New Roman"/>
          <w:b w:val="false"/>
          <w:i w:val="false"/>
          <w:color w:val="000000"/>
          <w:sz w:val="28"/>
        </w:rPr>
        <w:t>
      Наряду с этим предлагаются рассмотрение указанных задач в более широком контексте, а именно восстановление степных экосистем путем внедрения методов устойчивого управления и использования.</w:t>
      </w:r>
    </w:p>
    <w:bookmarkEnd w:id="457"/>
    <w:bookmarkStart w:name="z488" w:id="458"/>
    <w:p>
      <w:pPr>
        <w:spacing w:after="0"/>
        <w:ind w:left="0"/>
        <w:jc w:val="both"/>
      </w:pPr>
      <w:r>
        <w:rPr>
          <w:rFonts w:ascii="Times New Roman"/>
          <w:b/>
          <w:i w:val="false"/>
          <w:color w:val="000000"/>
          <w:sz w:val="28"/>
        </w:rPr>
        <w:t>5.8. Реализация подхода "Единое здоровье"</w:t>
      </w:r>
    </w:p>
    <w:bookmarkEnd w:id="458"/>
    <w:bookmarkStart w:name="z489" w:id="459"/>
    <w:p>
      <w:pPr>
        <w:spacing w:after="0"/>
        <w:ind w:left="0"/>
        <w:jc w:val="both"/>
      </w:pPr>
      <w:r>
        <w:rPr>
          <w:rFonts w:ascii="Times New Roman"/>
          <w:b w:val="false"/>
          <w:i w:val="false"/>
          <w:color w:val="000000"/>
          <w:sz w:val="28"/>
        </w:rPr>
        <w:t>
      В целях обеспечения устойчивого взаимодействия между сохранением биоразнообразия здравоохранением и сельским хозяйством рекомендуются внедрение и развитие интегрированного подхода "Единое здоровье" (One Health), отраженного в Куньминско-Монреальской глобальной рамочной программе. Такой подход предполагает системную координацию между секторами охраны окружающей среды, здравоохранения, сельского хозяйства и ветеринарии для предупреждения, выявления и реагирования на зоонозные заболевания, возникающие в результате утраты или деградации природных экосистем.</w:t>
      </w:r>
    </w:p>
    <w:bookmarkEnd w:id="459"/>
    <w:bookmarkStart w:name="z490" w:id="460"/>
    <w:p>
      <w:pPr>
        <w:spacing w:after="0"/>
        <w:ind w:left="0"/>
        <w:jc w:val="both"/>
      </w:pPr>
      <w:r>
        <w:rPr>
          <w:rFonts w:ascii="Times New Roman"/>
          <w:b w:val="false"/>
          <w:i w:val="false"/>
          <w:color w:val="000000"/>
          <w:sz w:val="28"/>
        </w:rPr>
        <w:t>
      Целесообразно включить оценку рисков для здоровья, связанных с утратой биоразнообразия, в национальные стратегии устойчивого развития и программы по адаптации к изменениям климата. Подобная интеграция позволит Казахстану укрепить устойчивость экосистем и снизить уязвимость населения перед угрозами, возникающими на стыке здоровья, природы и хозяйственной деятельности. При этом особое внимание должно быть уделено охране экосистем.</w:t>
      </w:r>
    </w:p>
    <w:bookmarkEnd w:id="460"/>
    <w:bookmarkStart w:name="z491" w:id="461"/>
    <w:p>
      <w:pPr>
        <w:spacing w:after="0"/>
        <w:ind w:left="0"/>
        <w:jc w:val="both"/>
      </w:pPr>
      <w:r>
        <w:rPr>
          <w:rFonts w:ascii="Times New Roman"/>
          <w:b w:val="false"/>
          <w:i w:val="false"/>
          <w:color w:val="000000"/>
          <w:sz w:val="28"/>
        </w:rPr>
        <w:t>
      В целях соответствия международным обязательствам, принятым в рамках Конвенции о биологическом разнообразии, рекомендуется поэтапно внедрять национальные целевые индикаторы по профилактике пандемий и иных угроз здоровью, связанных с разрушением природной среды. Важно также учитывать принцип "Единое здоровье" при осуществлении оценки воздействия на окружающую среду и разработке нормативно-правовых актов в области природопользования.</w:t>
      </w:r>
    </w:p>
    <w:bookmarkEnd w:id="461"/>
    <w:bookmarkStart w:name="z492" w:id="462"/>
    <w:p>
      <w:pPr>
        <w:spacing w:after="0"/>
        <w:ind w:left="0"/>
        <w:jc w:val="both"/>
      </w:pPr>
      <w:r>
        <w:rPr>
          <w:rFonts w:ascii="Times New Roman"/>
          <w:b w:val="false"/>
          <w:i w:val="false"/>
          <w:color w:val="000000"/>
          <w:sz w:val="28"/>
        </w:rPr>
        <w:t>
      Следует отметить, что данный вопрос также основывается на Будапештской декларации по единому здоровью, которая была принята в июне 2023 года на Третьей международной конференции высокого уровня по "Единому здоровью", организованной Всемирной организацией здравоохранения (ВОЗ).</w:t>
      </w:r>
    </w:p>
    <w:bookmarkEnd w:id="462"/>
    <w:bookmarkStart w:name="z493" w:id="463"/>
    <w:p>
      <w:pPr>
        <w:spacing w:after="0"/>
        <w:ind w:left="0"/>
        <w:jc w:val="both"/>
      </w:pPr>
      <w:r>
        <w:rPr>
          <w:rFonts w:ascii="Times New Roman"/>
          <w:b w:val="false"/>
          <w:i w:val="false"/>
          <w:color w:val="000000"/>
          <w:sz w:val="28"/>
        </w:rPr>
        <w:t>
      Декларация утверждает, что здоровье человека, животных, растений и окружающей среды неразрывно связано и требует комплексного, межсекторального подхода. В документе подчеркивается необходимость укрепления сотрудничества между секторами здравоохранения, сельского хозяйства, охраны окружающей среды и других смежных областей для предотвращения и устранения угроз, таких как зоонозные заболевания, устойчивость к противомикробным препаратам, деградация экосистем и изменение климата.</w:t>
      </w:r>
    </w:p>
    <w:bookmarkEnd w:id="463"/>
    <w:bookmarkStart w:name="z494" w:id="464"/>
    <w:p>
      <w:pPr>
        <w:spacing w:after="0"/>
        <w:ind w:left="0"/>
        <w:jc w:val="both"/>
      </w:pPr>
      <w:r>
        <w:rPr>
          <w:rFonts w:ascii="Times New Roman"/>
          <w:b w:val="false"/>
          <w:i w:val="false"/>
          <w:color w:val="000000"/>
          <w:sz w:val="28"/>
        </w:rPr>
        <w:t>
      Будапештская декларация призывает государства-члены к интеграции принципа "Единое здоровье" в национальные политики, законодательство и стратегии устойчивого развития, а также инвестированию в науку, просвещение и подготовку кадров, способствующих предупреждению биологических угроз на стыке здоровья и окружающей среды.</w:t>
      </w:r>
    </w:p>
    <w:bookmarkEnd w:id="464"/>
    <w:bookmarkStart w:name="z495" w:id="465"/>
    <w:p>
      <w:pPr>
        <w:spacing w:after="0"/>
        <w:ind w:left="0"/>
        <w:jc w:val="left"/>
      </w:pPr>
      <w:r>
        <w:rPr>
          <w:rFonts w:ascii="Times New Roman"/>
          <w:b/>
          <w:i w:val="false"/>
          <w:color w:val="000000"/>
        </w:rPr>
        <w:t xml:space="preserve"> РАЗДЕЛ 6. ЦЕЛЕВЫЕ ИНДИКАТОРЫ И ОЖИДАЕМЫЕ РЕЗУЛЬТАТЫ ДО 2035 ГОДА</w:t>
      </w:r>
    </w:p>
    <w:bookmarkEnd w:id="465"/>
    <w:bookmarkStart w:name="z496" w:id="466"/>
    <w:p>
      <w:pPr>
        <w:spacing w:after="0"/>
        <w:ind w:left="0"/>
        <w:jc w:val="both"/>
      </w:pPr>
      <w:r>
        <w:rPr>
          <w:rFonts w:ascii="Times New Roman"/>
          <w:b w:val="false"/>
          <w:i w:val="false"/>
          <w:color w:val="000000"/>
          <w:sz w:val="28"/>
        </w:rPr>
        <w:t>
      Реализация определенных Концепцией принципов, видения и подходов сохранения и устойчивого использования биоразнообразия за 2026 – 2035 годы позволит достичь следующих целевых индикаторов:</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единой экологической сети, системы особо охраняемых природных территорий и экологического туризма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Повышение эффективности охраны и воспроизводства лесов, развитие практик устойчивого лесопользования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продукции деревообрабатывающей отрасли (за исключением мебельного производства)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Совершенствование системы мониторинга, охраны и устойчивого использования животного мира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ценных, редких и находящихся под угрозой исчезновения видов животных (сохранение и восстановление)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снежный барс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каспийский тюлень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тугайный олень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 (каратауский, тянь-шаньский, казахстанский)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устюртский уриал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особей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видов животных, включенных в систему показателей экологической статистики для мониторинга и оценки окружающей среды, сохранения и управления популяциями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Сохранение биоразнообразия ихтиофауны и увеличение природной популяции промысловых рыб за счет снижения нагрузки на естественные рыбные ресурсы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популяции промысловых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5. Внедрение эффективных мер охраны, восстановления и использования растительного мира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кадастровой оценки компонентов растительного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ресурсы в коллекционных фондах государственных ботанических садов (живые растения и банки семян) для сохранения видов растений вне их естественной среды обитания (ex situ)</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таксонов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ресурсы в коллекционных фондах государственных ботанических садов (живые растения и банки семян) для сохранения видов растений вне их естественной среды обитания (ex situ)</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образцов семян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Восстановление деградированных пастбищ путем внедрения методов устойчивого управления и использования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деградированных (сбитых) пастбищ</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7"/>
          <w:p>
            <w:pPr>
              <w:spacing w:after="20"/>
              <w:ind w:left="20"/>
              <w:jc w:val="both"/>
            </w:pPr>
            <w:r>
              <w:rPr>
                <w:rFonts w:ascii="Times New Roman"/>
                <w:b w:val="false"/>
                <w:i w:val="false"/>
                <w:color w:val="000000"/>
                <w:sz w:val="20"/>
              </w:rPr>
              <w:t>
0,8</w:t>
            </w:r>
          </w:p>
          <w:bookmarkEnd w:id="467"/>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8"/>
          <w:p>
            <w:pPr>
              <w:spacing w:after="20"/>
              <w:ind w:left="20"/>
              <w:jc w:val="both"/>
            </w:pPr>
            <w:r>
              <w:rPr>
                <w:rFonts w:ascii="Times New Roman"/>
                <w:b w:val="false"/>
                <w:i w:val="false"/>
                <w:color w:val="000000"/>
                <w:sz w:val="20"/>
              </w:rPr>
              <w:t>
0,9</w:t>
            </w:r>
          </w:p>
          <w:bookmarkEnd w:id="468"/>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9"/>
          <w:p>
            <w:pPr>
              <w:spacing w:after="20"/>
              <w:ind w:left="20"/>
              <w:jc w:val="both"/>
            </w:pPr>
            <w:r>
              <w:rPr>
                <w:rFonts w:ascii="Times New Roman"/>
                <w:b w:val="false"/>
                <w:i w:val="false"/>
                <w:color w:val="000000"/>
                <w:sz w:val="20"/>
              </w:rPr>
              <w:t>
1,0</w:t>
            </w:r>
          </w:p>
          <w:bookmarkEnd w:id="469"/>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0"/>
          <w:p>
            <w:pPr>
              <w:spacing w:after="20"/>
              <w:ind w:left="20"/>
              <w:jc w:val="both"/>
            </w:pPr>
            <w:r>
              <w:rPr>
                <w:rFonts w:ascii="Times New Roman"/>
                <w:b w:val="false"/>
                <w:i w:val="false"/>
                <w:color w:val="000000"/>
                <w:sz w:val="20"/>
              </w:rPr>
              <w:t>
1,0</w:t>
            </w:r>
          </w:p>
          <w:bookmarkEnd w:id="470"/>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1,0</w:t>
            </w:r>
          </w:p>
          <w:bookmarkEnd w:id="471"/>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2"/>
          <w:p>
            <w:pPr>
              <w:spacing w:after="20"/>
              <w:ind w:left="20"/>
              <w:jc w:val="both"/>
            </w:pPr>
            <w:r>
              <w:rPr>
                <w:rFonts w:ascii="Times New Roman"/>
                <w:b w:val="false"/>
                <w:i w:val="false"/>
                <w:color w:val="000000"/>
                <w:sz w:val="20"/>
              </w:rPr>
              <w:t>
1,2</w:t>
            </w:r>
          </w:p>
          <w:bookmarkEnd w:id="472"/>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3"/>
          <w:p>
            <w:pPr>
              <w:spacing w:after="20"/>
              <w:ind w:left="20"/>
              <w:jc w:val="both"/>
            </w:pPr>
            <w:r>
              <w:rPr>
                <w:rFonts w:ascii="Times New Roman"/>
                <w:b w:val="false"/>
                <w:i w:val="false"/>
                <w:color w:val="000000"/>
                <w:sz w:val="20"/>
              </w:rPr>
              <w:t>
1,3</w:t>
            </w:r>
          </w:p>
          <w:bookmarkEnd w:id="473"/>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Создание национальной системы сбора и мониторинга данных о финансировании мероприятий по сохранению биоразнообразия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прямых и косвенных индикаторов состояния биоразнообразия в государственном фонде экологической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государственного фонда экологической информации пространственными данными по прямым и косвенным индикаторам состояния биоразнообразия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8. Институционализация подходов к сохранению и устойчивому использованию биоразнообразия*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информированности граждан Казахстана о проблемах сохранения биоразнообразия, включая фактор изменения климата, и угрожающих последствиях как для человечества в целом, так и для Казахстана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504" w:id="474"/>
    <w:p>
      <w:pPr>
        <w:spacing w:after="0"/>
        <w:ind w:left="0"/>
        <w:jc w:val="both"/>
      </w:pPr>
      <w:r>
        <w:rPr>
          <w:rFonts w:ascii="Times New Roman"/>
          <w:b w:val="false"/>
          <w:i w:val="false"/>
          <w:color w:val="000000"/>
          <w:sz w:val="28"/>
        </w:rPr>
        <w:t>
      * базовый показатель охвата подлежит уточнению по состоянию на 2026 год с последующей корректировкой целевых показателей. Конечная цель заключается в доведении охвата 90 % к 2035 году.</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Концепции</w:t>
            </w:r>
            <w:r>
              <w:br/>
            </w:r>
            <w:r>
              <w:rPr>
                <w:rFonts w:ascii="Times New Roman"/>
                <w:b w:val="false"/>
                <w:i w:val="false"/>
                <w:color w:val="000000"/>
                <w:sz w:val="20"/>
              </w:rPr>
              <w:t>по сохранению и устойчивому</w:t>
            </w:r>
            <w:r>
              <w:br/>
            </w:r>
            <w:r>
              <w:rPr>
                <w:rFonts w:ascii="Times New Roman"/>
                <w:b w:val="false"/>
                <w:i w:val="false"/>
                <w:color w:val="000000"/>
                <w:sz w:val="20"/>
              </w:rPr>
              <w:t>использованию биоразнообразия</w:t>
            </w:r>
            <w:r>
              <w:br/>
            </w:r>
            <w:r>
              <w:rPr>
                <w:rFonts w:ascii="Times New Roman"/>
                <w:b w:val="false"/>
                <w:i w:val="false"/>
                <w:color w:val="000000"/>
                <w:sz w:val="20"/>
              </w:rPr>
              <w:t>в Республике Казахстан</w:t>
            </w:r>
            <w:r>
              <w:br/>
            </w:r>
            <w:r>
              <w:rPr>
                <w:rFonts w:ascii="Times New Roman"/>
                <w:b w:val="false"/>
                <w:i w:val="false"/>
                <w:color w:val="000000"/>
                <w:sz w:val="20"/>
              </w:rPr>
              <w:t>на 2026 – 2035 годы</w:t>
            </w:r>
          </w:p>
        </w:tc>
      </w:tr>
    </w:tbl>
    <w:bookmarkStart w:name="z506" w:id="475"/>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по сохранению и устойчивому использованию биоразнообразия в Республике Казахстан на 2026 – 2035 годы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6"/>
          <w:p>
            <w:pPr>
              <w:spacing w:after="20"/>
              <w:ind w:left="20"/>
              <w:jc w:val="both"/>
            </w:pPr>
            <w:r>
              <w:rPr>
                <w:rFonts w:ascii="Times New Roman"/>
                <w:b w:val="false"/>
                <w:i w:val="false"/>
                <w:color w:val="000000"/>
                <w:sz w:val="20"/>
              </w:rPr>
              <w:t>
Направление 1. Развитие единой экологической сети, системы особо охраняемых природных территорий и экологического туризма</w:t>
            </w:r>
          </w:p>
          <w:bookmarkEnd w:id="476"/>
          <w:p>
            <w:pPr>
              <w:spacing w:after="20"/>
              <w:ind w:left="20"/>
              <w:jc w:val="both"/>
            </w:pPr>
            <w:r>
              <w:rPr>
                <w:rFonts w:ascii="Times New Roman"/>
                <w:b w:val="false"/>
                <w:i w:val="false"/>
                <w:color w:val="000000"/>
                <w:sz w:val="20"/>
              </w:rPr>
              <w:t>
Целевой индикатор 1. Площадь особо охраняемых природных территорий (млн га): 2026 год – 31.0; 2027 год – 31.6; 2028 год – 33.0; 2029 – 2035 годы –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существующих государственных природных заказников с целью анализа целесообразности их создания и деятельности, а также последующего перевода некоторых территорий в категории ООПТ со статусом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7"/>
          <w:p>
            <w:pPr>
              <w:spacing w:after="20"/>
              <w:ind w:left="20"/>
              <w:jc w:val="both"/>
            </w:pPr>
            <w:r>
              <w:rPr>
                <w:rFonts w:ascii="Times New Roman"/>
                <w:b w:val="false"/>
                <w:i w:val="false"/>
                <w:color w:val="000000"/>
                <w:sz w:val="20"/>
              </w:rPr>
              <w:t>
декабрь 2027 года</w:t>
            </w:r>
          </w:p>
          <w:bookmarkEnd w:id="4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ТЭО расширения территории государственного природного резервата "Ақжайық" с учетом влияния изменения климата и антропогенных воздействий на Каспийское море,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КЛХЖМ, постановление акимата Атырауской области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территории государственного природного резервата "Ақжайық"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территории государственного природного резервата "Иле-Балхаш"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ТЭО создания государственного природного резервата "Жайык орманы" в Западно-Казахстанской области,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КЛХЖМ, постановление акимата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государственного природного резервата "Жайык орманы" в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средств, предусмотренных республиканским бюджетом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ТЭО создания государственного национального природного парка "Түкті" на базе двух лесоохранных учреждений Больше-Тюктинское и Мало-Тюктинское в Акмолинской области,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КЛХЖМ, постановление акимата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государственного национального природного парка "Түкті"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средств, предусмотренных республиканским бюджетом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ТЭО расширения территории государственного природного резервата "Каспий итбалығы" для сохранения популяции каспийского тюленя с учетом влияния изменения климата и антропогенных воздействий на Каспийское море,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КЛХЖМ, постановления акиматов Атырауской и Мангистауской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Атырауской и Мангистауской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территории государственного природного резервата "Каспий итбалығы"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ТЭО расширения территории государственного природного резервата "Алтын Дала" в рамках проекта по реинтродукции лошадей Пржевальского,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КЛХЖМ, постановление акимата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8"/>
          <w:p>
            <w:pPr>
              <w:spacing w:after="20"/>
              <w:ind w:left="20"/>
              <w:jc w:val="both"/>
            </w:pPr>
            <w:r>
              <w:rPr>
                <w:rFonts w:ascii="Times New Roman"/>
                <w:b w:val="false"/>
                <w:i w:val="false"/>
                <w:color w:val="000000"/>
                <w:sz w:val="20"/>
              </w:rPr>
              <w:t>
декабрь 2026 года</w:t>
            </w:r>
          </w:p>
          <w:bookmarkEnd w:id="4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территории государственного природного резервата "Алтын 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ТЭО расширения территории Каратауского государственного природного заповедника для сохранения популяции эндемика – каратауского архара,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КЛХЖМ, постановление акимата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территории Каратауского государственного природного заповедника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ТЭО создания государственного природного парка "Жаркент" для сохранения горных экосистем, ареала снежного барса и семиреченского лягушкозуба, а также резервирование соответствующих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КЛХЖМ, постановление акимата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местным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государственного природного парка "Жаркент"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9"/>
          <w:p>
            <w:pPr>
              <w:spacing w:after="20"/>
              <w:ind w:left="20"/>
              <w:jc w:val="both"/>
            </w:pPr>
            <w:r>
              <w:rPr>
                <w:rFonts w:ascii="Times New Roman"/>
                <w:b w:val="false"/>
                <w:i w:val="false"/>
                <w:color w:val="000000"/>
                <w:sz w:val="20"/>
              </w:rPr>
              <w:t>
акимат области Жетісу,</w:t>
            </w:r>
          </w:p>
          <w:bookmarkEnd w:id="479"/>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местным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правовых основ создания и управления экологическими коридорами и наделению МЭПР компетенцией по утверждению типового положения по управлению экологическими коридорами, а также наделение местных исполнительных органов компетенцией по утверждению региональных положений по управлению экологическими коридорами на основании типового положения с учетом региональной специфики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ЕНО создания экологического коридора "Көлсай көлдері – Алтын Эмель" для обеспечения миграции снежного барса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КЛХЖМ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экологического коридора "Көлсай көлдері – Алтын Эмель" для обеспечения миграции снежного барса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системы озер Аксуат Наурзумского заповедника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Имплементация в экологическое законодательство Республики Казахстан международного подхода развития других эффективно охраняемых территорий, не являющихся ООПТ (OECM’s)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вопроса разработки и утверждения методологии по определению норм рекреационной нагрузки на землях рекреационного назначения, а также в национальных парках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создания системы предварительного бронирования посещения национальных парков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0"/>
          <w:p>
            <w:pPr>
              <w:spacing w:after="20"/>
              <w:ind w:left="20"/>
              <w:jc w:val="both"/>
            </w:pPr>
            <w:r>
              <w:rPr>
                <w:rFonts w:ascii="Times New Roman"/>
                <w:b w:val="false"/>
                <w:i w:val="false"/>
                <w:color w:val="000000"/>
                <w:sz w:val="20"/>
              </w:rPr>
              <w:t>
Направление 2. Повышение эффективности охраны и воспроизводства лесов, развитие практик устойчивого лесопользования</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Площадь покрытым лесом территорий (млн га): 2026 год – 14038,6; 2027 год – 14140,5, 2028 год – 14277,7; 2029 год – 14395,3; 2030 год – 14483,2; 2031 год – 14531,6; 2032 год – 14580,0; 2033 год – 14628,4; 2034 год – 14676,8; 2035 год – 14700,2</w:t>
            </w:r>
          </w:p>
          <w:p>
            <w:pPr>
              <w:spacing w:after="20"/>
              <w:ind w:left="20"/>
              <w:jc w:val="both"/>
            </w:pPr>
            <w:r>
              <w:rPr>
                <w:rFonts w:ascii="Times New Roman"/>
                <w:b w:val="false"/>
                <w:i w:val="false"/>
                <w:color w:val="000000"/>
                <w:sz w:val="20"/>
              </w:rPr>
              <w:t>
Целевой индикатор 3. Рост объема продукции деревообрабатывающей отрасли (за исключением мебельного производства), млн тг: 2026 год – 64,8; 2027 год – 77,7; 2028 год – 93,3; 2029 год – 111,9; 2030 год – 134,3; 2031 год – 161,2; 2032 год – 193,5; 2033 год – 232,2; 2034 год – 278,6; 2035 год – 334,3.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Доведение материально-технического оснащения природоохранных организаций и учреждений лесного хозяйства до норм положенности, определенных приказом Министра сельского хозяйства Республики Казахстан от 20 июля 2015 года № 18-02/664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местным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государственной лесной охраны форменным обмундированием, средствами защиты и противопожарной одеждой до норм положенности, определенных приказом Министра сельского хозяйства Республики Казахстан от 20 июля 2015 года № 18-02/664 и приказом Министра сельского хозяйства Республики Казахстан от 31 марта 2015 года № 18-02/292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и местными бюджетами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обеспечение (100%) территории государственного лесного фонда авиационным патрулированием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технологий, включая системы раннего обнаружения лесных пожаров в наиболее подверженных лесным пожарам регионах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МИИЦР,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местным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1"/>
          <w:p>
            <w:pPr>
              <w:spacing w:after="20"/>
              <w:ind w:left="20"/>
              <w:jc w:val="both"/>
            </w:pPr>
            <w:r>
              <w:rPr>
                <w:rFonts w:ascii="Times New Roman"/>
                <w:b w:val="false"/>
                <w:i w:val="false"/>
                <w:color w:val="000000"/>
                <w:sz w:val="20"/>
              </w:rPr>
              <w:t>
МБ</w:t>
            </w:r>
          </w:p>
          <w:bookmarkEnd w:id="48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новых технологий тушения лесных пожаров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МЧС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проекта в государственном лесном природном резервате "Семей орманы" по борьбе с вредителями леса с применением энтомофагов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центра защиты лесов на базе действующего республиканского лесного селекционно-семеноводческого центра (без увеличения штатной численности)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адаптации подходов к лесовосстановлению и озеленению с учетом изменения климата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лесных насаждений на водосборных площадях в поймах рек Ертыс, Жайык, Сырдарья, Иле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МВРИ,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и местным бюджетами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лесных насаждений вокруг населенных пунктов, вдоль автомобильных дорог республиканского, областного и районного значения, а также железных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МТ, АО "НК "КТЖ" (по согласованию), АО "НК "КазАвтожол" (по согласованию),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и местным бюджетами,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2"/>
          <w:p>
            <w:pPr>
              <w:spacing w:after="20"/>
              <w:ind w:left="20"/>
              <w:jc w:val="both"/>
            </w:pPr>
            <w:r>
              <w:rPr>
                <w:rFonts w:ascii="Times New Roman"/>
                <w:b w:val="false"/>
                <w:i w:val="false"/>
                <w:color w:val="000000"/>
                <w:sz w:val="20"/>
              </w:rPr>
              <w:t>
РБ, МБ, иные источники</w:t>
            </w:r>
          </w:p>
          <w:bookmarkEnd w:id="48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Масштабирование опыта по выращиванию посадочного материала с закрытой корневой системой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Акмолинской, Алматинской, Костанайской, Восточно-Казахстанской областей и области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и местным бюджетами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постоянной лесосеменной базы с учетом ежегодной потребности семян для воспроизводства лесов на площади 80 тысяч га и посева на осушенном дне Аральского моря на площади 20 тысяч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предусмотренным республиканским и местным бюджетами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существующих и создание новых лесных питомников с применением передовых технологий с учҰтом ежегодного создания лесных культур на площади 80 тысяч га и посева на осушенном дне Аральского моря на площади 20 тысяч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3"/>
          <w:p>
            <w:pPr>
              <w:spacing w:after="20"/>
              <w:ind w:left="20"/>
              <w:jc w:val="both"/>
            </w:pPr>
            <w:r>
              <w:rPr>
                <w:rFonts w:ascii="Times New Roman"/>
                <w:b w:val="false"/>
                <w:i w:val="false"/>
                <w:color w:val="000000"/>
                <w:sz w:val="20"/>
              </w:rPr>
              <w:t>
акиматы областей,</w:t>
            </w:r>
          </w:p>
          <w:bookmarkEnd w:id="483"/>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средств, предусмотренных республиканским и местным бюджетами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площади зеленой зоны города Астаны с доведением до 150 тысяч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новых технологий по переработке и хранению лесных семян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развитию пчеловодства на территории государственного лесного фонда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и утверждения методологии подсчета поглощения углекислого газа различными древесными породами и почвами в рамках глобальной программы БИОФИН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механизма обеспечения целевого использования средств в рамках реализации проектов по поглощению парниковых газов на территории государственного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комплекса мер по адаптации к изменению климата в лесном секторе (лесовосстановление и озеленение)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пилотных проектов по поглощению парниковых газов на территории государственного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для определения лесопригодных площадей для лесоразведения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и местным бюджетами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 предусмотренное законодательством оформление площадей неучтенных лесов с включением их в состав государственного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инвентаризации в МЭПР, постановления акиматов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и поддержка частного лесоразведения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подходов к подготовке специалистов для лесного хозяйства в высших учебных заведениях с учетом академического уровня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вопроса создания центра повышения квалификации работников лесного хозяйства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вопроса создания республиканского музея леса и лесоразведения в городе Алматы в здании "Дом Баума"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маслихат города Алматы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мер поддержки молодых специалистов в области лесного хозяйства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вопроса внедрения электронной маркировки и учета движения древесной продукции, произведенной на территории Республики Казахстан, с реализацией пилотного проекта в государственном лесном природном резервате "Семей орманы"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МЭПР, МТИ, МИИЦР,</w:t>
            </w:r>
          </w:p>
          <w:bookmarkEnd w:id="484"/>
          <w:p>
            <w:pPr>
              <w:spacing w:after="20"/>
              <w:ind w:left="20"/>
              <w:jc w:val="both"/>
            </w:pPr>
            <w:r>
              <w:rPr>
                <w:rFonts w:ascii="Times New Roman"/>
                <w:b w:val="false"/>
                <w:i w:val="false"/>
                <w:color w:val="000000"/>
                <w:sz w:val="20"/>
              </w:rPr>
              <w:t>
АО "Казахтелеком"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комплексному развитию деревообрабатывающей отрасли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5"/>
          <w:p>
            <w:pPr>
              <w:spacing w:after="20"/>
              <w:ind w:left="20"/>
              <w:jc w:val="both"/>
            </w:pPr>
            <w:r>
              <w:rPr>
                <w:rFonts w:ascii="Times New Roman"/>
                <w:b w:val="false"/>
                <w:i w:val="false"/>
                <w:color w:val="000000"/>
                <w:sz w:val="20"/>
              </w:rPr>
              <w:t>
МНЭ, МЭПР,</w:t>
            </w:r>
          </w:p>
          <w:bookmarkEnd w:id="485"/>
          <w:p>
            <w:pPr>
              <w:spacing w:after="20"/>
              <w:ind w:left="20"/>
              <w:jc w:val="both"/>
            </w:pPr>
            <w:r>
              <w:rPr>
                <w:rFonts w:ascii="Times New Roman"/>
                <w:b w:val="false"/>
                <w:i w:val="false"/>
                <w:color w:val="000000"/>
                <w:sz w:val="20"/>
              </w:rPr>
              <w:t xml:space="preserve">
МПС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6"/>
          <w:p>
            <w:pPr>
              <w:spacing w:after="20"/>
              <w:ind w:left="20"/>
              <w:jc w:val="both"/>
            </w:pPr>
            <w:r>
              <w:rPr>
                <w:rFonts w:ascii="Times New Roman"/>
                <w:b w:val="false"/>
                <w:i w:val="false"/>
                <w:color w:val="000000"/>
                <w:sz w:val="20"/>
              </w:rPr>
              <w:t>
Направление 3. Совершенствование системы мониторинга, охраны и устойчивого использования животного мира</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4. Численность ценных, редких и находящихся под угрозой исчезновения видов животных (сохранение и восстановление) (количество)</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Снежный барс (особей): 2026 год – 192; 2027 год – 194; 2028 год – 196; 2029 год – 198; 2030 год – 200; 2031 год – 202; 2032 год – 204; 2033 год – 206; 2034 год – 208; 2035 год – 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Каспийский тюлень (тысяч особей): 2026 год – 260; 2027 год – 260; 2028 год – 260; 2029 год – 260; 2030 год – 260; 2031 год – 260; 2032 год – 260; 2033 год – 260; 2034 год – 260; 2035 год – 260</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Джейран (тысяч особей): 2026 год – 15,9; 2027 год – 16,0; 2028 год – 16,3; 2029 год – 16,5; 2030 год – 16,8; 2031 год – 17,1; 2032 год – 17,4; 2033 год – 17,6; 2034 год – 17,9; 2035 год – 18,2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Тугайный олень (тысяч особей): 2026 год – 1,32; 2027 год –1,37; 2028 год – 1,40; 2029 год – 1,46; 2030 год – 1,50; 2031 год – 1,55; 2032 год – 1,63; 2033 год – 1,70; 2034 год – 1,77; 2035 год – 1,80</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Кулан (тысяч особей): 2026 год – 4,80; 2027 год – 4,90; 2028 год – 4,99; 2029 год – 5,09; 2030 год – 5,19; 2031 год – 5,29; 2032 год – 5,39; 2033 год – 5,50; 2034 год – 5,61; 2035 год – 5,71</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Архар (каратауский, тянь-шаньский, казахстанский) (тысяч особей): 2026 год – 18,0; 2027 год – 18,4; 2028 год – 18,8; 2029 год – 19,1; 2030 год – 19,5; 2031 год – 19 ,9; 2032 год – 20,3; 2033 год – 20,7; 2034 год – 1,1; 2035 год – 21,5</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Устюртский уриал (тысяч особей): 2026 год – 4,1; 2027 год – 4,2; 2028 год – 4,28; 2029 год – 4,36; 2030 год – 4,45; 2031 год – 4,54; 2032 год – 4,63; 2033 год – 4,72; 2034 год – 4,81; 2035 год – 4,90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Целевой индикатор 5. Количество видов животных, включенных в систему показателей экологической статистики для мониторинга и оценки окружающей среды, сохранения и управления популяциями.</w:t>
            </w:r>
          </w:p>
          <w:p>
            <w:pPr>
              <w:spacing w:after="20"/>
              <w:ind w:left="20"/>
              <w:jc w:val="both"/>
            </w:pPr>
            <w:r>
              <w:rPr>
                <w:rFonts w:ascii="Times New Roman"/>
                <w:b w:val="false"/>
                <w:i w:val="false"/>
                <w:color w:val="000000"/>
                <w:sz w:val="20"/>
              </w:rPr>
              <w:t xml:space="preserve"> 2026 год – 12; 2027 год – 14; 2028 год – 16; 2029 год – 17; 2030 год – 18; 2031 год – 19; 2032 год – 20; 2033 год – 21; 2034 год – 22; 2035 год –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устойчивой кормовой базы для реинтродукции туранского тигра в государственном природном резервате "Иле Балхаш"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дикую природу пяти особей тигра в государственном природном резервате "Иле-Балхаш"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Реинтродукция тугайного оленя в среднем течении реки Сырдарья с потенциальной возможностью создания трансграничной популяции с Узбекистаном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7"/>
          <w:p>
            <w:pPr>
              <w:spacing w:after="20"/>
              <w:ind w:left="20"/>
              <w:jc w:val="both"/>
            </w:pPr>
            <w:r>
              <w:rPr>
                <w:rFonts w:ascii="Times New Roman"/>
                <w:b w:val="false"/>
                <w:i w:val="false"/>
                <w:color w:val="000000"/>
                <w:sz w:val="20"/>
              </w:rPr>
              <w:t>
МЭПР,</w:t>
            </w:r>
          </w:p>
          <w:bookmarkEnd w:id="487"/>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r>
              <w:rPr>
                <w:rFonts w:ascii="Times New Roman"/>
                <w:b w:val="false"/>
                <w:i w:val="false"/>
                <w:strik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устойчивых группировок кулана и лошади Пржевальского в государственном природном резервате "Алтын 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создания маточного поголовья архара в ГНПП "Улытау" в полувольных условиях для последующей реинтродукции в дикую природу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популяцией снежного барса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8"/>
          <w:p>
            <w:pPr>
              <w:spacing w:after="20"/>
              <w:ind w:left="20"/>
              <w:jc w:val="both"/>
            </w:pPr>
            <w:r>
              <w:rPr>
                <w:rFonts w:ascii="Times New Roman"/>
                <w:b w:val="false"/>
                <w:i w:val="false"/>
                <w:color w:val="000000"/>
                <w:sz w:val="20"/>
              </w:rPr>
              <w:t>
МЭПР,</w:t>
            </w:r>
          </w:p>
          <w:bookmarkEnd w:id="488"/>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учет и мониторинг популяций джейрана, кулана, бухарского оленя, видов и подвидов горных баранов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цифровизации (SMART и другие) в работу инспекторов природоохранных организаций и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9"/>
          <w:p>
            <w:pPr>
              <w:spacing w:after="20"/>
              <w:ind w:left="20"/>
              <w:jc w:val="both"/>
            </w:pPr>
            <w:r>
              <w:rPr>
                <w:rFonts w:ascii="Times New Roman"/>
                <w:b w:val="false"/>
                <w:i w:val="false"/>
                <w:color w:val="000000"/>
                <w:sz w:val="20"/>
              </w:rPr>
              <w:t>
МЭПР,</w:t>
            </w:r>
          </w:p>
          <w:bookmarkEnd w:id="489"/>
          <w:p>
            <w:pPr>
              <w:spacing w:after="20"/>
              <w:ind w:left="20"/>
              <w:jc w:val="both"/>
            </w:pPr>
            <w:r>
              <w:rPr>
                <w:rFonts w:ascii="Times New Roman"/>
                <w:b w:val="false"/>
                <w:i w:val="false"/>
                <w:color w:val="000000"/>
                <w:sz w:val="20"/>
              </w:rPr>
              <w:t>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научные исследования среды обитания, кормовой базы, структуры популяции, распределения и миграции каспийского тюленя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 практическими рекомендациями, размещенные на информационном ресурсе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численности популяции каспийского тюленя методом мультиспектральной авиасъемки в ледовый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 практическими рекомендациями, размещенные на информационном ресурсе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0"/>
          <w:p>
            <w:pPr>
              <w:spacing w:after="20"/>
              <w:ind w:left="20"/>
              <w:jc w:val="both"/>
            </w:pPr>
            <w:r>
              <w:rPr>
                <w:rFonts w:ascii="Times New Roman"/>
                <w:b w:val="false"/>
                <w:i w:val="false"/>
                <w:color w:val="000000"/>
                <w:sz w:val="20"/>
              </w:rPr>
              <w:t>
МСХ, МНВО,</w:t>
            </w:r>
          </w:p>
          <w:bookmarkEnd w:id="490"/>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международного и регионального сотрудничества для исследований численности, распространения и разработки совместных планов действий по сохранению трансграничной популяции каспийского тюленя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сотрудничестве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МИД, МЭПР, акиматы Атырауской, Мангистауской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численности и разработка системы ежегодного мониторинга бурого медведя, беркута, степного орла, балобана, горных видов амфибий (лягушкозуб, центральноазиатская лягушка)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 практическими рекомендациями,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методологии учета для ключевых видов и групп видов животных, а также по ведению централизованного учета таких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1"/>
          <w:p>
            <w:pPr>
              <w:spacing w:after="20"/>
              <w:ind w:left="20"/>
              <w:jc w:val="both"/>
            </w:pPr>
            <w:r>
              <w:rPr>
                <w:rFonts w:ascii="Times New Roman"/>
                <w:b w:val="false"/>
                <w:i w:val="false"/>
                <w:color w:val="000000"/>
                <w:sz w:val="20"/>
              </w:rPr>
              <w:t>
предложение в Аппарат Правительства</w:t>
            </w:r>
          </w:p>
          <w:bookmarkEnd w:id="491"/>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 утвержденной периодичностью научных исследований по изучению среды обитания, кормовой базы, структуры популяции, распределения и миграции видов, включенных в систему мониторинга и управления популяциями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 практическими рекомендациями,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Адаптация перечня редких и находящихся под угрозой исчезновения видов животных и Красной книги Республики Казахстан в соответствии с критериями и категориями МСОП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использованию инновационных технологий и решений, в том числе космического мониторинга и мониторинга с применением беспилотных авиационных систем с использованием искусственного интеллекта, в оценке численности диких животных и состояния среды их обитания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2"/>
          <w:p>
            <w:pPr>
              <w:spacing w:after="20"/>
              <w:ind w:left="20"/>
              <w:jc w:val="both"/>
            </w:pPr>
            <w:r>
              <w:rPr>
                <w:rFonts w:ascii="Times New Roman"/>
                <w:b w:val="false"/>
                <w:i w:val="false"/>
                <w:color w:val="000000"/>
                <w:sz w:val="20"/>
              </w:rPr>
              <w:t>
рекомендации, размещенные на информационном ресурсе МЭПР</w:t>
            </w:r>
          </w:p>
          <w:bookmarkEnd w:id="49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3"/>
          <w:p>
            <w:pPr>
              <w:spacing w:after="20"/>
              <w:ind w:left="20"/>
              <w:jc w:val="both"/>
            </w:pPr>
            <w:r>
              <w:rPr>
                <w:rFonts w:ascii="Times New Roman"/>
                <w:b w:val="false"/>
                <w:i w:val="false"/>
                <w:color w:val="000000"/>
                <w:sz w:val="20"/>
              </w:rPr>
              <w:t>
МЭПР, МНВО, МИИЦР</w:t>
            </w:r>
          </w:p>
          <w:bookmarkEnd w:id="49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данных мониторинга и учета диких животных, осуществляемого природоохранными учреждениями и охотничьими хозяйствами в Интерактивную карту природных ресурсов tabigat.gov.kz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программы дистанционного мониторинга сайгака, снежного барса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совершенствования законодательства в области охраны, воспроизводства и использования животного мира в части внедрения подхода по разработке и реализации планов действий по отдельным видам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4"/>
          <w:p>
            <w:pPr>
              <w:spacing w:after="20"/>
              <w:ind w:left="20"/>
              <w:jc w:val="both"/>
            </w:pPr>
            <w:r>
              <w:rPr>
                <w:rFonts w:ascii="Times New Roman"/>
                <w:b w:val="false"/>
                <w:i w:val="false"/>
                <w:color w:val="000000"/>
                <w:sz w:val="20"/>
              </w:rPr>
              <w:t>
предложение в Аппарат Правительства</w:t>
            </w:r>
          </w:p>
          <w:bookmarkEnd w:id="49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вопроса разработки и утверждения планов действий по отдельным видам животных, с учетом международных планов действий и программ по определенным видам животных, обитающих в Казахстане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5"/>
          <w:p>
            <w:pPr>
              <w:spacing w:after="20"/>
              <w:ind w:left="20"/>
              <w:jc w:val="both"/>
            </w:pPr>
            <w:r>
              <w:rPr>
                <w:rFonts w:ascii="Times New Roman"/>
                <w:b w:val="false"/>
                <w:i w:val="false"/>
                <w:color w:val="000000"/>
                <w:sz w:val="20"/>
              </w:rPr>
              <w:t>
предложение в Аппарат Правительства</w:t>
            </w:r>
          </w:p>
          <w:bookmarkEnd w:id="49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планов действий по не менее чем 9 отдельным видам животных, с учетом наличия международных планов действий и программ по определенным видам животных, обитающих в Казахстане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по разведению балобана в неволе и выпуску в природу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реабилитационного центра для хищных птиц на базе Алматинского зоопарка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Пополнение криобанка в целях сохранения биоразнообразия диких животных Казахстана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с научно-методическим обеспечением такой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нормативно-правовой базы управления охотхозяйственной отраслью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Рассмотрение вопроса разработки научно-методических и организационных подходов к выявлению и мониторингу распространения болезней диких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6"/>
          <w:p>
            <w:pPr>
              <w:spacing w:after="20"/>
              <w:ind w:left="20"/>
              <w:jc w:val="both"/>
            </w:pPr>
            <w:r>
              <w:rPr>
                <w:rFonts w:ascii="Times New Roman"/>
                <w:b w:val="false"/>
                <w:i w:val="false"/>
                <w:color w:val="000000"/>
                <w:sz w:val="20"/>
              </w:rPr>
              <w:t>
декабрь 2027 года</w:t>
            </w:r>
          </w:p>
          <w:bookmarkEnd w:id="49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Осуществление мероприятий по выявлению и мониторингу распространения болезней диких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мерам государственной поддержки охотничьих хозяйств в целях развития природоохранных инициатив, сохранения редких и находящихся под угрозой исчезновения видов фауны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целях обеспечения системного мониторинга ключевых редких видов животных с привлечением охотничьих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рекомендаций по обеспечению мониторинга содержания, разведения в неволе и полувольных условиях редких ловчих хищных птиц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межведомственного комплексного плана противодействия нелегальному отлову и контрабанде соколов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7"/>
          <w:p>
            <w:pPr>
              <w:spacing w:after="20"/>
              <w:ind w:left="20"/>
              <w:jc w:val="both"/>
            </w:pPr>
            <w:r>
              <w:rPr>
                <w:rFonts w:ascii="Times New Roman"/>
                <w:b w:val="false"/>
                <w:i w:val="false"/>
                <w:color w:val="000000"/>
                <w:sz w:val="20"/>
              </w:rPr>
              <w:t>
МЭПР,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p>
            <w:pPr>
              <w:spacing w:after="20"/>
              <w:ind w:left="20"/>
              <w:jc w:val="both"/>
            </w:pPr>
            <w:r>
              <w:rPr>
                <w:rFonts w:ascii="Times New Roman"/>
                <w:b w:val="false"/>
                <w:i w:val="false"/>
                <w:color w:val="000000"/>
                <w:sz w:val="20"/>
              </w:rPr>
              <w:t>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оперативно-профилактических мероприятий по борьбе с нелегальным отловом соколов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8"/>
          <w:p>
            <w:pPr>
              <w:spacing w:after="20"/>
              <w:ind w:left="20"/>
              <w:jc w:val="both"/>
            </w:pPr>
            <w:r>
              <w:rPr>
                <w:rFonts w:ascii="Times New Roman"/>
                <w:b w:val="false"/>
                <w:i w:val="false"/>
                <w:color w:val="000000"/>
                <w:sz w:val="20"/>
              </w:rPr>
              <w:t>
МЭПР,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p>
            <w:pPr>
              <w:spacing w:after="20"/>
              <w:ind w:left="20"/>
              <w:jc w:val="both"/>
            </w:pPr>
            <w:r>
              <w:rPr>
                <w:rFonts w:ascii="Times New Roman"/>
                <w:b w:val="false"/>
                <w:i w:val="false"/>
                <w:color w:val="000000"/>
                <w:sz w:val="20"/>
              </w:rPr>
              <w:t>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таможенных, пограничных служб и полиции по вопросам нелегальной торговли объектами животного и растительного мира с учетом положений Конвенции о международной торговле видами дикой фауны и флоры, находящимися под угрозой исчезновения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результатах,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9"/>
          <w:p>
            <w:pPr>
              <w:spacing w:after="20"/>
              <w:ind w:left="20"/>
              <w:jc w:val="both"/>
            </w:pPr>
            <w:r>
              <w:rPr>
                <w:rFonts w:ascii="Times New Roman"/>
                <w:b w:val="false"/>
                <w:i w:val="false"/>
                <w:color w:val="000000"/>
                <w:sz w:val="20"/>
              </w:rPr>
              <w:t>
МЭПР, МВД,</w:t>
            </w:r>
          </w:p>
          <w:bookmarkEnd w:id="499"/>
          <w:p>
            <w:pPr>
              <w:spacing w:after="20"/>
              <w:ind w:left="20"/>
              <w:jc w:val="both"/>
            </w:pPr>
            <w:r>
              <w:rPr>
                <w:rFonts w:ascii="Times New Roman"/>
                <w:b w:val="false"/>
                <w:i w:val="false"/>
                <w:color w:val="000000"/>
                <w:sz w:val="20"/>
              </w:rPr>
              <w:t>
ПС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области охраны животного мира по вопросам управления инвазивными видами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нормативно-технических документов по защите птиц на линиях электропередачи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создания переходов для копытных на элементах линейной инфраструктуры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методологии оценки воздействия на животный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методологии по компенсации потерь биоразнообразия для использования при проведении СЭО и ОВОС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требований к экологической отчетности предприятий в части биоразнообразия (животный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гармонизации развития агропромышленного сектора с учетом необходимости сохранения животного и растительного 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созданию условий для биоразнообразия городской фауны при разработке генеральных планов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акиматы областей, городов республиканского значения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0"/>
          <w:p>
            <w:pPr>
              <w:spacing w:after="20"/>
              <w:ind w:left="20"/>
              <w:jc w:val="both"/>
            </w:pPr>
            <w:r>
              <w:rPr>
                <w:rFonts w:ascii="Times New Roman"/>
                <w:b w:val="false"/>
                <w:i w:val="false"/>
                <w:color w:val="000000"/>
                <w:sz w:val="20"/>
              </w:rPr>
              <w:t>
Направление 4. Сохранение биологического разнообразия ихтиофауны и увеличение природной популяции промысловых рыб за счет снижения нагрузки на естественные рыбные ресурсы</w:t>
            </w:r>
          </w:p>
          <w:bookmarkEnd w:id="500"/>
          <w:p>
            <w:pPr>
              <w:spacing w:after="20"/>
              <w:ind w:left="20"/>
              <w:jc w:val="both"/>
            </w:pPr>
            <w:r>
              <w:rPr>
                <w:rFonts w:ascii="Times New Roman"/>
                <w:b w:val="false"/>
                <w:i w:val="false"/>
                <w:color w:val="000000"/>
                <w:sz w:val="20"/>
              </w:rPr>
              <w:t>
Целевой индикатор 6. Естественные популяции промысловых видов рыб (тысяч тонн): 2031 год – 239,5; 2032 год – 241,1; 2033 год – 242,8; 2034 год – 244,5; 2035 год –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исследования состояния среды обитания, кормовой базы и структуры популяций промысловых видов рыб и других водных животных, разработка рекомендаций по рациональному использованию, сохранению и увеличению рыбных ресурсов, включая оценку объемов и спектр зарыбляемых видов и реинтродукции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действующих государственных предприятий по искусственному воспроизводству рыб с разработкой и внедрением новых технологий для расширения спектра зарыбляемых видов рыб с целью поддержания биологического разнообразия и продуктивности рыбохозяйственных водоемов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 2027 по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r>
              <w:rPr>
                <w:rFonts w:ascii="Times New Roman"/>
                <w:b w:val="false"/>
                <w:i w:val="false"/>
                <w:strik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материально-технического оснащения межобластных бассейновых инспекций рыбного хозяйства до 95 % от положенного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1"/>
          <w:p>
            <w:pPr>
              <w:spacing w:after="20"/>
              <w:ind w:left="20"/>
              <w:jc w:val="both"/>
            </w:pPr>
            <w:r>
              <w:rPr>
                <w:rFonts w:ascii="Times New Roman"/>
                <w:b w:val="false"/>
                <w:i w:val="false"/>
                <w:color w:val="000000"/>
                <w:sz w:val="20"/>
              </w:rPr>
              <w:t xml:space="preserve">
МСХ, </w:t>
            </w:r>
          </w:p>
          <w:bookmarkEnd w:id="501"/>
          <w:p>
            <w:pPr>
              <w:spacing w:after="20"/>
              <w:ind w:left="20"/>
              <w:jc w:val="both"/>
            </w:pPr>
            <w:r>
              <w:rPr>
                <w:rFonts w:ascii="Times New Roman"/>
                <w:b w:val="false"/>
                <w:i w:val="false"/>
                <w:color w:val="000000"/>
                <w:sz w:val="20"/>
              </w:rPr>
              <w:t xml:space="preserve">
акиматы областей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финансового лизинга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информационной системы E-Fish по прослеживаемости рыб и других водных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экологических нормативов качества для биологических показателей водных экосистем в 8 рыбохозяйственных бассейнах на основе оценки состояния индикаторных видов рыб, беспозвоночных и водной растительности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исследования биологического разнообразия гидробиоценозов и оценка динамики популяций редких и исчезающих видов рыб, а также проникновения чужеродных (инвазивных) видов гидробионтов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исследований, размещенные на информационном ресурсе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2"/>
          <w:p>
            <w:pPr>
              <w:spacing w:after="20"/>
              <w:ind w:left="20"/>
              <w:jc w:val="both"/>
            </w:pPr>
            <w:r>
              <w:rPr>
                <w:rFonts w:ascii="Times New Roman"/>
                <w:b w:val="false"/>
                <w:i w:val="false"/>
                <w:color w:val="000000"/>
                <w:sz w:val="20"/>
              </w:rPr>
              <w:t>
МСХ</w:t>
            </w:r>
          </w:p>
          <w:bookmarkEnd w:id="50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мерам стимулирования воспроизводства и товарного выращивания ценных, редких и находящихся под угрозой исчезновения видов рыб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пополнение криобанка для сохранения генетического материала ценных, редких и исчезающих видов гидробионтов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обучающей программы для центра повышения квалификации МСХ для работников рыбного хозяйства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(ежегодный охват до 20%) от общей штатной численности государственных инспекторов и работников государственных предприятий и учреждений рыбного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результатах, размещенные на информационном ресурсе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3"/>
          <w:p>
            <w:pPr>
              <w:spacing w:after="20"/>
              <w:ind w:left="20"/>
              <w:jc w:val="both"/>
            </w:pPr>
            <w:r>
              <w:rPr>
                <w:rFonts w:ascii="Times New Roman"/>
                <w:b w:val="false"/>
                <w:i w:val="false"/>
                <w:color w:val="000000"/>
                <w:sz w:val="20"/>
              </w:rPr>
              <w:t>
МСХ</w:t>
            </w:r>
          </w:p>
          <w:bookmarkEnd w:id="50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4"/>
          <w:p>
            <w:pPr>
              <w:spacing w:after="20"/>
              <w:ind w:left="20"/>
              <w:jc w:val="both"/>
            </w:pPr>
            <w:r>
              <w:rPr>
                <w:rFonts w:ascii="Times New Roman"/>
                <w:b w:val="false"/>
                <w:i w:val="false"/>
                <w:color w:val="000000"/>
                <w:sz w:val="20"/>
              </w:rPr>
              <w:t>
Направление 5. Внедрение эффективных мер охраны, восстановления и использования растительного мира</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 Площадь годовой кадастровой оценки компонентов растительного мира (км</w:t>
            </w:r>
            <w:r>
              <w:rPr>
                <w:rFonts w:ascii="Times New Roman"/>
                <w:b w:val="false"/>
                <w:i w:val="false"/>
                <w:color w:val="000000"/>
                <w:vertAlign w:val="superscript"/>
              </w:rPr>
              <w:t>2</w:t>
            </w:r>
            <w:r>
              <w:rPr>
                <w:rFonts w:ascii="Times New Roman"/>
                <w:b w:val="false"/>
                <w:i w:val="false"/>
                <w:color w:val="000000"/>
                <w:sz w:val="20"/>
              </w:rPr>
              <w:t>): 2026 год – 188 936; 2027 год – 200 629; 2028 год – 88 936; 2029 год – 100 000; 2030 год – 85 601; 2031 год – 80 000; 2032 год – 151 339; 2033 год – 100 001; 2034 год – 96 000; 2035 год – 97 993</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Целевой индикатор 8. Генетические ресурсы в коллекционных фондах государственных ботанических садов (живые растения и банки семян) для сохранения видов растений </w:t>
            </w:r>
            <w:r>
              <w:rPr>
                <w:rFonts w:ascii="Times New Roman"/>
                <w:b w:val="false"/>
                <w:i/>
                <w:color w:val="000000"/>
                <w:sz w:val="20"/>
              </w:rPr>
              <w:t>ex-situ</w:t>
            </w:r>
            <w:r>
              <w:rPr>
                <w:rFonts w:ascii="Times New Roman"/>
                <w:b w:val="false"/>
                <w:i w:val="false"/>
                <w:color w:val="000000"/>
                <w:sz w:val="20"/>
              </w:rPr>
              <w:t>: Количество таксонов: 2026 год – 10200; 2027 год – 10450; 2028 год – 10750; 2029 год – 11000; 2030 год – 11250; 2031 год – 11500; 2032 год – 11750;</w:t>
            </w:r>
          </w:p>
          <w:p>
            <w:pPr>
              <w:spacing w:after="20"/>
              <w:ind w:left="20"/>
              <w:jc w:val="both"/>
            </w:pPr>
            <w:r>
              <w:rPr>
                <w:rFonts w:ascii="Times New Roman"/>
                <w:b w:val="false"/>
                <w:i w:val="false"/>
                <w:color w:val="000000"/>
                <w:sz w:val="20"/>
              </w:rPr>
              <w:t>2033 год – 12000; 2034 год – 12250; 2035 год – 12500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Целевой индикатор 9. Генетические ресурсы в коллекционных фондах государственных ботанических садов (живые растения и банки семян) для сохранения видов растений вне их естественной среды обитания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Количество образцов семян: 2026 год – 5450; 2027 год – 5900; 2028 год – 6350; 2029 год – 6800; 2030 год – 7250; 2031 год – 7700; 2032 год – 8150; 2033 год – 8600; 2034 год – 9050; 2035 год –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терминологии Закона Республики Казахстан "О растительном мире" в соответствии с международными конвенциями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и мониторинг ключевых ботанических территорий для сохранения видов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итогам мониторинга,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угроз, влияющих на состояние растительного покрова и экосистем в целом, разработка рекомендаций по ликвидации причин и недопущению последствий этих угроз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5"/>
          <w:p>
            <w:pPr>
              <w:spacing w:after="20"/>
              <w:ind w:left="20"/>
              <w:jc w:val="both"/>
            </w:pPr>
            <w:r>
              <w:rPr>
                <w:rFonts w:ascii="Times New Roman"/>
                <w:b w:val="false"/>
                <w:i w:val="false"/>
                <w:color w:val="000000"/>
                <w:sz w:val="20"/>
              </w:rPr>
              <w:t>
МНВО, МЭПР</w:t>
            </w:r>
          </w:p>
          <w:bookmarkEnd w:id="50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наполнение цифровой базы данных по объектам растительного мира Казахстана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6"/>
          <w:p>
            <w:pPr>
              <w:spacing w:after="20"/>
              <w:ind w:left="20"/>
              <w:jc w:val="both"/>
            </w:pPr>
            <w:r>
              <w:rPr>
                <w:rFonts w:ascii="Times New Roman"/>
                <w:b w:val="false"/>
                <w:i w:val="false"/>
                <w:color w:val="000000"/>
                <w:sz w:val="20"/>
              </w:rPr>
              <w:t>
МЭПР</w:t>
            </w:r>
          </w:p>
          <w:bookmarkEnd w:id="50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методических документов по проведению инвентаризации растительного 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генофонда ценных видов растений на участках их естественного произрастания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принятых мерах, опубликованные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генофонда дикорастущих плодовых и орехоплодных растений Казахстана (яблоня Сиверса, яблоня Недзвецкого, абрикос обыкновенный, фисташка настоящая, миндаль обыкновенный, груша Регеля). Молекулярно-генетическая паспортизация форм яблони Сиверса и других. Отбор форм для сохранения in situ, ex situ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отчеты, публикации, рекомендации по охране,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по оценке риска исчезновения растений Казахстана по критериям Красного списка МСОП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красный список МСОП с не менее 30 эндемичных, охраняемых, экономически и культурно значимых видов растений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7"/>
          <w:p>
            <w:pPr>
              <w:spacing w:after="20"/>
              <w:ind w:left="20"/>
              <w:jc w:val="both"/>
            </w:pPr>
            <w:r>
              <w:rPr>
                <w:rFonts w:ascii="Times New Roman"/>
                <w:b w:val="false"/>
                <w:i w:val="false"/>
                <w:color w:val="000000"/>
                <w:sz w:val="20"/>
              </w:rPr>
              <w:t>
МЭПР,</w:t>
            </w:r>
          </w:p>
          <w:bookmarkEnd w:id="507"/>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перечня редких и находящихся под угрозой исчезновения видов растений и переиздание национальной Красной книги растений Казахстана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переизданная Красная книга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 периодически по мере фактического расширения перечня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контроль инвазивных видов. Подготовка и издание монографии "Черная книга"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"Черная книга" для 3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и мониторинг коллекционных фондов государственных ботанических садов Республики Казахстан для решения научно-практических задач озеленения и садоводства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и реализация научно- технических программ по сохранению и развитию коллекционных фондов государственных ботанических садов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на информационном ресурсе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коллекций главного ботанического сада Казахстана в список научных природных объектов со статусом Национального достояния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рекомендаций по концептуальному пересмотру управления ботаническими садами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8"/>
          <w:p>
            <w:pPr>
              <w:spacing w:after="20"/>
              <w:ind w:left="20"/>
              <w:jc w:val="both"/>
            </w:pPr>
            <w:r>
              <w:rPr>
                <w:rFonts w:ascii="Times New Roman"/>
                <w:b w:val="false"/>
                <w:i w:val="false"/>
                <w:color w:val="000000"/>
                <w:sz w:val="20"/>
              </w:rPr>
              <w:t>
Направление 6. Восстановление деградированных пастбищ путем внедрения методов устойчивого управления и использования</w:t>
            </w:r>
          </w:p>
          <w:bookmarkEnd w:id="508"/>
          <w:p>
            <w:pPr>
              <w:spacing w:after="20"/>
              <w:ind w:left="20"/>
              <w:jc w:val="both"/>
            </w:pPr>
            <w:r>
              <w:rPr>
                <w:rFonts w:ascii="Times New Roman"/>
                <w:b w:val="false"/>
                <w:i w:val="false"/>
                <w:color w:val="000000"/>
                <w:sz w:val="20"/>
              </w:rPr>
              <w:t>
Целевой индикатор 10. Восстановление к 2035 году не менее 35% деградированных (сбитых) пастбищ, млн га: 2026 год – 0.6; 2027 год – 0.7; 2028 год – 0.8; 2029 год – 0.9; 2030 год – 1.0; 2031 год – 1.0; 2032 год – 1.0; 2033 год – 1.0; 2034 год – 1.2; 2035 год – 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Проведение исследования по подбору культур в зависимости от технического состояния пастбищ по природным зонам, областям и категориям пастбищепользователей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9"/>
          <w:p>
            <w:pPr>
              <w:spacing w:after="20"/>
              <w:ind w:left="20"/>
              <w:jc w:val="both"/>
            </w:pPr>
            <w:r>
              <w:rPr>
                <w:rFonts w:ascii="Times New Roman"/>
                <w:b w:val="false"/>
                <w:i w:val="false"/>
                <w:color w:val="000000"/>
                <w:sz w:val="20"/>
              </w:rPr>
              <w:t>
научные отчеты, размещенные на информационном ресурсе МСХ</w:t>
            </w:r>
          </w:p>
          <w:bookmarkEnd w:id="5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МИИЦР,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Рассмотрение вопроса создания электронной платформы с показателями культур технического состояния пастбищ на землях сельскохозяйственного назначения, ООПТ, лесного и водного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0"/>
          <w:p>
            <w:pPr>
              <w:spacing w:after="20"/>
              <w:ind w:left="20"/>
              <w:jc w:val="both"/>
            </w:pPr>
            <w:r>
              <w:rPr>
                <w:rFonts w:ascii="Times New Roman"/>
                <w:b w:val="false"/>
                <w:i w:val="false"/>
                <w:color w:val="000000"/>
                <w:sz w:val="20"/>
              </w:rPr>
              <w:t>
ежегодно</w:t>
            </w:r>
          </w:p>
          <w:bookmarkEnd w:id="5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 МВРИ, МИИЦР,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Адаптация международных методологий углеродных офсетов к пастбищам в Казахстане для внедрения механизмов "зеленого" финансирования мероприятий по борьбе с деградацией пастбищ и сохранения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1"/>
          <w:p>
            <w:pPr>
              <w:spacing w:after="20"/>
              <w:ind w:left="20"/>
              <w:jc w:val="both"/>
            </w:pPr>
            <w:r>
              <w:rPr>
                <w:rFonts w:ascii="Times New Roman"/>
                <w:b w:val="false"/>
                <w:i w:val="false"/>
                <w:color w:val="000000"/>
                <w:sz w:val="20"/>
              </w:rPr>
              <w:t xml:space="preserve">
информация в Аппарат Правительства </w:t>
            </w:r>
          </w:p>
          <w:bookmarkEnd w:id="5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2"/>
          <w:p>
            <w:pPr>
              <w:spacing w:after="20"/>
              <w:ind w:left="20"/>
              <w:jc w:val="both"/>
            </w:pPr>
            <w:r>
              <w:rPr>
                <w:rFonts w:ascii="Times New Roman"/>
                <w:b w:val="false"/>
                <w:i w:val="false"/>
                <w:color w:val="000000"/>
                <w:sz w:val="20"/>
              </w:rPr>
              <w:t>
МЭПР, МСХ,</w:t>
            </w:r>
          </w:p>
          <w:bookmarkEnd w:id="512"/>
          <w:p>
            <w:pPr>
              <w:spacing w:after="20"/>
              <w:ind w:left="20"/>
              <w:jc w:val="both"/>
            </w:pPr>
            <w:r>
              <w:rPr>
                <w:rFonts w:ascii="Times New Roman"/>
                <w:b w:val="false"/>
                <w:i w:val="false"/>
                <w:color w:val="000000"/>
                <w:sz w:val="20"/>
              </w:rPr>
              <w:t>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Реабилитация продуктивности сбитых пастбищ с применением экологически-безопасных агротехнологий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 менее 6 пастбищно-полевых школ в целях усиления потенциала (знаний) и практических навыков пастбищепользователей в разработке и реализации Плана по управлению пастбищами и их использованию для повышения биосеквестрации углерода и сохранения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пилотных проектов, основанных на природных процессах, по восстановлению свойств почвы на сельскохозяйственных угодьях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МСХ, МВРИ, МЭПР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местным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закрепленных в законодательстве допустимых норм нагрузки на общую площадь пастбищ для сохранения биоразнообразия и предоставления экосистемных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Типового плана по управлению пастбищами и их использованию с учетом подходов по адаптации по изменению климата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комплексному развитию агролесоводства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Апробирование механизма разработки схем функционального зонирования земель на примере Северо-Казахстанской области и Улытауского района области Ұлытау, интеграция ландшафтного планирования в региональные программы развития пилотных регионов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3"/>
          <w:p>
            <w:pPr>
              <w:spacing w:after="20"/>
              <w:ind w:left="20"/>
              <w:jc w:val="both"/>
            </w:pPr>
            <w:r>
              <w:rPr>
                <w:rFonts w:ascii="Times New Roman"/>
                <w:b w:val="false"/>
                <w:i w:val="false"/>
                <w:color w:val="000000"/>
                <w:sz w:val="20"/>
              </w:rPr>
              <w:t>
информация в Аппарат Правительства</w:t>
            </w:r>
          </w:p>
          <w:bookmarkEnd w:id="51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Северо-Казахстанской области, </w:t>
            </w:r>
          </w:p>
          <w:p>
            <w:pPr>
              <w:spacing w:after="20"/>
              <w:ind w:left="20"/>
              <w:jc w:val="both"/>
            </w:pPr>
            <w:r>
              <w:rPr>
                <w:rFonts w:ascii="Times New Roman"/>
                <w:b w:val="false"/>
                <w:i w:val="false"/>
                <w:color w:val="000000"/>
                <w:sz w:val="20"/>
              </w:rPr>
              <w:t xml:space="preserve">области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совершенствования земельного законодательства в части функционального зонирования земель, основанного на ландшафтном планировании, включая наделение соответствующего уполномоченного органа новой компетенцией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4"/>
          <w:p>
            <w:pPr>
              <w:spacing w:after="20"/>
              <w:ind w:left="20"/>
              <w:jc w:val="both"/>
            </w:pPr>
            <w:r>
              <w:rPr>
                <w:rFonts w:ascii="Times New Roman"/>
                <w:b w:val="false"/>
                <w:i w:val="false"/>
                <w:color w:val="000000"/>
                <w:sz w:val="20"/>
              </w:rPr>
              <w:t>
Направление 7. Создание национальной системы сбора и мониторинга данных о финансировании мероприятий по сохранению биоразнообразия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11. Охват прямых и косвенных индикаторов состояния биоразнообразия в Государственном фонде экологической информации: 2026 год – 35 %; 2027 год – 40 %; 2028 год – 45 %; 2029 год – 50 %; 2030 год –</w:t>
            </w:r>
          </w:p>
          <w:p>
            <w:pPr>
              <w:spacing w:after="20"/>
              <w:ind w:left="20"/>
              <w:jc w:val="both"/>
            </w:pPr>
            <w:r>
              <w:rPr>
                <w:rFonts w:ascii="Times New Roman"/>
                <w:b w:val="false"/>
                <w:i w:val="false"/>
                <w:color w:val="000000"/>
                <w:sz w:val="20"/>
              </w:rPr>
              <w:t>55 %; 2031 год – 60%; 2032 год – 65 %; 2033 год – 75 %; 2034 год – 90 %; 2035 год – 100 %</w:t>
            </w:r>
          </w:p>
          <w:p>
            <w:pPr>
              <w:spacing w:after="20"/>
              <w:ind w:left="20"/>
              <w:jc w:val="both"/>
            </w:pPr>
            <w:r>
              <w:rPr>
                <w:rFonts w:ascii="Times New Roman"/>
                <w:b w:val="false"/>
                <w:i w:val="false"/>
                <w:color w:val="000000"/>
                <w:sz w:val="20"/>
              </w:rPr>
              <w:t>
Целевой индикатор 12. Уровень обеспеченности государственного фонда экологической информации пространственными данными по прямым и косвенным индикаторам состояния биоразнообразия: 2026 год – 35 %; 2027 год – 40 %; 2028 год – 45 %; 2029 год – 50 %; 2030 год – 55 %; 2031 год – 60%; 2032 год – 65%; 2033 год – 75%; 2034 год – 90%; 2035 год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создания единых регламентов и стандартов в предоставлении данных, касающихся сохранения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информации по расходованию средств на сохранение биоразнообразия в официальных источниках, на сайте МЭПР и представление их на международных форумах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обзору расходов на биоразнообразие по методологии БИОФИН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2029 года, I квартал 2032 года, I квартал 2035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рекомендаций по имплементации индикаторов по биоразнообразию в государственный фонд экологической информации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по биоразнообразию в рамках Конвенции по биологическому разнообразию (далее – КБР) в соответствии со статьей 26 КБР и представление в секретариат КБР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5"/>
          <w:p>
            <w:pPr>
              <w:spacing w:after="20"/>
              <w:ind w:left="20"/>
              <w:jc w:val="both"/>
            </w:pPr>
            <w:r>
              <w:rPr>
                <w:rFonts w:ascii="Times New Roman"/>
                <w:b w:val="false"/>
                <w:i w:val="false"/>
                <w:color w:val="000000"/>
                <w:sz w:val="20"/>
              </w:rPr>
              <w:t>
7-ой Национальный доклад</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8-ой Национальный доклад</w:t>
            </w:r>
          </w:p>
          <w:p>
            <w:pPr>
              <w:spacing w:after="20"/>
              <w:ind w:left="20"/>
              <w:jc w:val="both"/>
            </w:pPr>
            <w:r>
              <w:rPr>
                <w:rFonts w:ascii="Times New Roman"/>
                <w:b w:val="false"/>
                <w:i w:val="false"/>
                <w:color w:val="000000"/>
                <w:sz w:val="20"/>
              </w:rPr>
              <w:t>
9-й Национальный доклад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6"/>
          <w:p>
            <w:pPr>
              <w:spacing w:after="20"/>
              <w:ind w:left="20"/>
              <w:jc w:val="both"/>
            </w:pPr>
            <w:r>
              <w:rPr>
                <w:rFonts w:ascii="Times New Roman"/>
                <w:b w:val="false"/>
                <w:i w:val="false"/>
                <w:color w:val="000000"/>
                <w:sz w:val="20"/>
              </w:rPr>
              <w:t xml:space="preserve">
I квартал 2026 года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IV квартал 2029 года </w:t>
            </w:r>
          </w:p>
          <w:p>
            <w:pPr>
              <w:spacing w:after="20"/>
              <w:ind w:left="20"/>
              <w:jc w:val="both"/>
            </w:pPr>
            <w:r>
              <w:rPr>
                <w:rFonts w:ascii="Times New Roman"/>
                <w:b w:val="false"/>
                <w:i w:val="false"/>
                <w:color w:val="000000"/>
                <w:sz w:val="20"/>
              </w:rPr>
              <w:t>
IV квартал 2032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7"/>
          <w:p>
            <w:pPr>
              <w:spacing w:after="20"/>
              <w:ind w:left="20"/>
              <w:jc w:val="both"/>
            </w:pPr>
            <w:r>
              <w:rPr>
                <w:rFonts w:ascii="Times New Roman"/>
                <w:b w:val="false"/>
                <w:i w:val="false"/>
                <w:color w:val="000000"/>
                <w:sz w:val="20"/>
              </w:rPr>
              <w:t>
Направление 8. Институционализация подходов к сохранению и устойчивому использованию биоразнообразия</w:t>
            </w:r>
          </w:p>
          <w:bookmarkEnd w:id="517"/>
          <w:p>
            <w:pPr>
              <w:spacing w:after="20"/>
              <w:ind w:left="20"/>
              <w:jc w:val="both"/>
            </w:pPr>
            <w:r>
              <w:rPr>
                <w:rFonts w:ascii="Times New Roman"/>
                <w:b w:val="false"/>
                <w:i w:val="false"/>
                <w:color w:val="000000"/>
                <w:sz w:val="20"/>
              </w:rPr>
              <w:t>
Целевой индикатор 13. Уровень информированности граждан Казахстана о проблемах сохранения биоразнообразия, включая фактор изменения климата, и угрожающих последствиях как для человечества в целом, так и для Казахстана (%): 2026 год – 52,5; 2027 год – 55; 2028 год – 57,5; 2029 год – 60; 2030 год – 65; 2031 год – 70; 2032 год – 75; 2033 год – 80; 2034 год – 85; 2035 год –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рекомендаций по созданию Координационного совета по биоразнообразию с участием международных организаций и финансовых институтов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АСПР (по согласованию), МСХ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медиа-плана по повышению информированности граждан Казахстана о вопросах сохранения и устойчивого использования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8"/>
          <w:p>
            <w:pPr>
              <w:spacing w:after="20"/>
              <w:ind w:left="20"/>
              <w:jc w:val="both"/>
            </w:pPr>
            <w:r>
              <w:rPr>
                <w:rFonts w:ascii="Times New Roman"/>
                <w:b w:val="false"/>
                <w:i w:val="false"/>
                <w:color w:val="000000"/>
                <w:sz w:val="20"/>
              </w:rPr>
              <w:t>
медиа-план на 2026-2028 годы</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медиа-план на 2029-2031 годы</w:t>
            </w:r>
          </w:p>
          <w:p>
            <w:pPr>
              <w:spacing w:after="20"/>
              <w:ind w:left="20"/>
              <w:jc w:val="both"/>
            </w:pPr>
            <w:r>
              <w:rPr>
                <w:rFonts w:ascii="Times New Roman"/>
                <w:b w:val="false"/>
                <w:i w:val="false"/>
                <w:color w:val="000000"/>
                <w:sz w:val="20"/>
              </w:rPr>
              <w:t>
медиа-план на 2031-2035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9"/>
          <w:p>
            <w:pPr>
              <w:spacing w:after="20"/>
              <w:ind w:left="20"/>
              <w:jc w:val="both"/>
            </w:pPr>
            <w:r>
              <w:rPr>
                <w:rFonts w:ascii="Times New Roman"/>
                <w:b w:val="false"/>
                <w:i w:val="false"/>
                <w:color w:val="000000"/>
                <w:sz w:val="20"/>
              </w:rPr>
              <w:t>
II квартал 2026 года</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IV квартал 2028 года</w:t>
            </w:r>
          </w:p>
          <w:p>
            <w:pPr>
              <w:spacing w:after="20"/>
              <w:ind w:left="20"/>
              <w:jc w:val="both"/>
            </w:pPr>
            <w:r>
              <w:rPr>
                <w:rFonts w:ascii="Times New Roman"/>
                <w:b w:val="false"/>
                <w:i w:val="false"/>
                <w:color w:val="000000"/>
                <w:sz w:val="20"/>
              </w:rPr>
              <w:t>
IV квартал 2031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МКИ, МП, МНВО, МИИЦР, МЮ,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раздела "Жер-Ана" на информационных ресурсах акиматов областей, посвященного вопросам сохранения и устойчивого использования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Аппарат Правительства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акиматы областей,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наполнение раздела "Жер-Ана" на информационных ресурсах акиматов областей сведениями о биоразнообразии региона, ключевых проблемах сохранения и устойчивого использования биоразнообразия, статистическими данными по биоразнообразию региона и иной информацией необходимой для повышения информированности граждан Казахстана о вопросах сохранения и устойчивого использования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вебинара о биоразнообразии Казахстана, о ключевых мерах по его сохранению и подходах к устойчивому использованию, ориентированного на широкий круг аудитории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0"/>
          <w:p>
            <w:pPr>
              <w:spacing w:after="20"/>
              <w:ind w:left="20"/>
              <w:jc w:val="both"/>
            </w:pPr>
            <w:r>
              <w:rPr>
                <w:rFonts w:ascii="Times New Roman"/>
                <w:b w:val="false"/>
                <w:i w:val="false"/>
                <w:color w:val="000000"/>
                <w:sz w:val="20"/>
              </w:rPr>
              <w:t>
запись вебинара, размещенная на информационном ресурсе МЭПР</w:t>
            </w:r>
          </w:p>
          <w:bookmarkEnd w:id="520"/>
          <w:p>
            <w:pPr>
              <w:spacing w:after="20"/>
              <w:ind w:left="20"/>
              <w:jc w:val="both"/>
            </w:pPr>
            <w:r>
              <w:rPr>
                <w:rFonts w:ascii="Times New Roman"/>
                <w:b w:val="false"/>
                <w:i w:val="false"/>
                <w:color w:val="000000"/>
                <w:sz w:val="20"/>
              </w:rPr>
              <w:t>
ссылки на вебинар на государственных информационных ресурсах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МКИ,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онлайн-вебинара по повышению квалификации журналистов Казахстана по вопросам сохранения и устойчивого использования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1"/>
          <w:p>
            <w:pPr>
              <w:spacing w:after="20"/>
              <w:ind w:left="20"/>
              <w:jc w:val="both"/>
            </w:pPr>
            <w:r>
              <w:rPr>
                <w:rFonts w:ascii="Times New Roman"/>
                <w:b w:val="false"/>
                <w:i w:val="false"/>
                <w:color w:val="000000"/>
                <w:sz w:val="20"/>
              </w:rPr>
              <w:t>
запись вебинара, размещенная на информационном ресурсе МЭПР</w:t>
            </w:r>
          </w:p>
          <w:bookmarkEnd w:id="521"/>
          <w:p>
            <w:pPr>
              <w:spacing w:after="20"/>
              <w:ind w:left="20"/>
              <w:jc w:val="both"/>
            </w:pPr>
            <w:r>
              <w:rPr>
                <w:rFonts w:ascii="Times New Roman"/>
                <w:b w:val="false"/>
                <w:i w:val="false"/>
                <w:color w:val="000000"/>
                <w:sz w:val="20"/>
              </w:rPr>
              <w:t>
ссылки на вебинар на государственных информационных ресурсах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Мониторинг публикаций профессиональных журналистов Казахстана на тему сохранения и устойчивого использования биоразнообразия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результатам мониторинга,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мероприятия "Жер-Ана тілшісі" – награждение профессиональных журналистов-авторов лучших публикаций на тему сохранения и устойчивого использования биоразнообразия грамотой Министра экологии и природных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церемония 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совершенствованию экологического законодательства на основе принципа и подхода "чистый прирост биоразнообразия" (BNG)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МНЭ, МЮ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мобилизации ресурсов для сохранения биоразнообразия по методологии глобальной программы БИОФИН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мобилизации ресурсов для сохранения биоразнообразия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учета гендерных вопросов в сфере сохранения и устойчивого использования биоразнообразия, выработка рекомендаций по итогам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об итогах мониторинга с рекомендациями, опубликованные на информационном ресурсе МЭПР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 сферы ООПТ, лесных ресурсов и животного мира, разработка программ обучения, обеспечение ежегодного охвата мерами по повышению квалификации не менее 20% от общей штатной численности.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результатах, размещенные на информационном ресурсе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республиканским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разработки каталога измеримых индикаторов изменения экосистем и ресурсов животного, растительного мира и предельных нагрузок, позволяющих фиксировать динамику изменения под влиянием промышленных нагрузок для учета в подготовке ОВОС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2"/>
          <w:p>
            <w:pPr>
              <w:spacing w:after="20"/>
              <w:ind w:left="20"/>
              <w:jc w:val="both"/>
            </w:pPr>
            <w:r>
              <w:rPr>
                <w:rFonts w:ascii="Times New Roman"/>
                <w:b w:val="false"/>
                <w:i w:val="false"/>
                <w:color w:val="000000"/>
                <w:sz w:val="20"/>
              </w:rPr>
              <w:t>
МЭПР,</w:t>
            </w:r>
          </w:p>
          <w:bookmarkEnd w:id="522"/>
          <w:p>
            <w:pPr>
              <w:spacing w:after="20"/>
              <w:ind w:left="20"/>
              <w:jc w:val="both"/>
            </w:pPr>
            <w:r>
              <w:rPr>
                <w:rFonts w:ascii="Times New Roman"/>
                <w:b w:val="false"/>
                <w:i w:val="false"/>
                <w:color w:val="000000"/>
                <w:sz w:val="20"/>
              </w:rPr>
              <w:t xml:space="preserve">
БНС АСПР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проектов международных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r>
    </w:tbl>
    <w:bookmarkStart w:name="z572" w:id="523"/>
    <w:p>
      <w:pPr>
        <w:spacing w:after="0"/>
        <w:ind w:left="0"/>
        <w:jc w:val="both"/>
      </w:pPr>
      <w:r>
        <w:rPr>
          <w:rFonts w:ascii="Times New Roman"/>
          <w:b w:val="false"/>
          <w:i w:val="false"/>
          <w:color w:val="000000"/>
          <w:sz w:val="28"/>
        </w:rPr>
        <w:t>
      Примечание: расшифровка аббревиатур:</w:t>
      </w:r>
    </w:p>
    <w:bookmarkEnd w:id="523"/>
    <w:bookmarkStart w:name="z573" w:id="524"/>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524"/>
    <w:bookmarkStart w:name="z574" w:id="525"/>
    <w:p>
      <w:pPr>
        <w:spacing w:after="0"/>
        <w:ind w:left="0"/>
        <w:jc w:val="both"/>
      </w:pPr>
      <w:r>
        <w:rPr>
          <w:rFonts w:ascii="Times New Roman"/>
          <w:b w:val="false"/>
          <w:i w:val="false"/>
          <w:color w:val="000000"/>
          <w:sz w:val="28"/>
        </w:rPr>
        <w:t>
      МЮ – Министерство юстиций Республики Казахстан;</w:t>
      </w:r>
    </w:p>
    <w:bookmarkEnd w:id="525"/>
    <w:bookmarkStart w:name="z575" w:id="526"/>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526"/>
    <w:bookmarkStart w:name="z576" w:id="527"/>
    <w:p>
      <w:pPr>
        <w:spacing w:after="0"/>
        <w:ind w:left="0"/>
        <w:jc w:val="both"/>
      </w:pPr>
      <w:r>
        <w:rPr>
          <w:rFonts w:ascii="Times New Roman"/>
          <w:b w:val="false"/>
          <w:i w:val="false"/>
          <w:color w:val="000000"/>
          <w:sz w:val="28"/>
        </w:rPr>
        <w:t>
      МБ – местный бюджет;</w:t>
      </w:r>
    </w:p>
    <w:bookmarkEnd w:id="527"/>
    <w:bookmarkStart w:name="z577" w:id="528"/>
    <w:p>
      <w:pPr>
        <w:spacing w:after="0"/>
        <w:ind w:left="0"/>
        <w:jc w:val="both"/>
      </w:pPr>
      <w:r>
        <w:rPr>
          <w:rFonts w:ascii="Times New Roman"/>
          <w:b w:val="false"/>
          <w:i w:val="false"/>
          <w:color w:val="000000"/>
          <w:sz w:val="28"/>
        </w:rPr>
        <w:t>
      ЕНО – естественно-научное обоснование;</w:t>
      </w:r>
    </w:p>
    <w:bookmarkEnd w:id="528"/>
    <w:bookmarkStart w:name="z578" w:id="529"/>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529"/>
    <w:bookmarkStart w:name="z579" w:id="530"/>
    <w:p>
      <w:pPr>
        <w:spacing w:after="0"/>
        <w:ind w:left="0"/>
        <w:jc w:val="both"/>
      </w:pPr>
      <w:r>
        <w:rPr>
          <w:rFonts w:ascii="Times New Roman"/>
          <w:b w:val="false"/>
          <w:i w:val="false"/>
          <w:color w:val="000000"/>
          <w:sz w:val="28"/>
        </w:rPr>
        <w:t>
      МТ – Министерство транспорта Республики Казахстан;</w:t>
      </w:r>
    </w:p>
    <w:bookmarkEnd w:id="530"/>
    <w:bookmarkStart w:name="z580" w:id="531"/>
    <w:p>
      <w:pPr>
        <w:spacing w:after="0"/>
        <w:ind w:left="0"/>
        <w:jc w:val="both"/>
      </w:pPr>
      <w:r>
        <w:rPr>
          <w:rFonts w:ascii="Times New Roman"/>
          <w:b w:val="false"/>
          <w:i w:val="false"/>
          <w:color w:val="000000"/>
          <w:sz w:val="28"/>
        </w:rPr>
        <w:t>
      АО "НК "КазАвтоЖол" – акционерное общество "Национальная компания "КазАвтоЖол";</w:t>
      </w:r>
    </w:p>
    <w:bookmarkEnd w:id="531"/>
    <w:bookmarkStart w:name="z581" w:id="532"/>
    <w:p>
      <w:pPr>
        <w:spacing w:after="0"/>
        <w:ind w:left="0"/>
        <w:jc w:val="both"/>
      </w:pPr>
      <w:r>
        <w:rPr>
          <w:rFonts w:ascii="Times New Roman"/>
          <w:b w:val="false"/>
          <w:i w:val="false"/>
          <w:color w:val="000000"/>
          <w:sz w:val="28"/>
        </w:rPr>
        <w:t>
      АО "НК "КТЖ" – акционерное общество "Национальная компания "Қазақстан темір жолы";</w:t>
      </w:r>
    </w:p>
    <w:bookmarkEnd w:id="532"/>
    <w:bookmarkStart w:name="z582" w:id="533"/>
    <w:p>
      <w:pPr>
        <w:spacing w:after="0"/>
        <w:ind w:left="0"/>
        <w:jc w:val="both"/>
      </w:pPr>
      <w:r>
        <w:rPr>
          <w:rFonts w:ascii="Times New Roman"/>
          <w:b w:val="false"/>
          <w:i w:val="false"/>
          <w:color w:val="000000"/>
          <w:sz w:val="28"/>
        </w:rPr>
        <w:t>
      АО "Казахтелеком" – акционерное общество "Казахтелеком";</w:t>
      </w:r>
    </w:p>
    <w:bookmarkEnd w:id="533"/>
    <w:bookmarkStart w:name="z583" w:id="534"/>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534"/>
    <w:bookmarkStart w:name="z584" w:id="535"/>
    <w:p>
      <w:pPr>
        <w:spacing w:after="0"/>
        <w:ind w:left="0"/>
        <w:jc w:val="both"/>
      </w:pPr>
      <w:r>
        <w:rPr>
          <w:rFonts w:ascii="Times New Roman"/>
          <w:b w:val="false"/>
          <w:i w:val="false"/>
          <w:color w:val="000000"/>
          <w:sz w:val="28"/>
        </w:rPr>
        <w:t>
      НПА – нормативно-правовые акты;</w:t>
      </w:r>
    </w:p>
    <w:bookmarkEnd w:id="535"/>
    <w:bookmarkStart w:name="z585" w:id="536"/>
    <w:p>
      <w:pPr>
        <w:spacing w:after="0"/>
        <w:ind w:left="0"/>
        <w:jc w:val="both"/>
      </w:pPr>
      <w:r>
        <w:rPr>
          <w:rFonts w:ascii="Times New Roman"/>
          <w:b w:val="false"/>
          <w:i w:val="false"/>
          <w:color w:val="000000"/>
          <w:sz w:val="28"/>
        </w:rPr>
        <w:t>
      МП – Министерство просвещения Республики Казахстан;</w:t>
      </w:r>
    </w:p>
    <w:bookmarkEnd w:id="536"/>
    <w:bookmarkStart w:name="z586" w:id="537"/>
    <w:p>
      <w:pPr>
        <w:spacing w:after="0"/>
        <w:ind w:left="0"/>
        <w:jc w:val="both"/>
      </w:pPr>
      <w:r>
        <w:rPr>
          <w:rFonts w:ascii="Times New Roman"/>
          <w:b w:val="false"/>
          <w:i w:val="false"/>
          <w:color w:val="000000"/>
          <w:sz w:val="28"/>
        </w:rPr>
        <w:t>
      КЛХЖМ – Комитет лесного хозяйства и животного мира Министерства экологии и природных ресурсов Республики Казахстан;</w:t>
      </w:r>
    </w:p>
    <w:bookmarkEnd w:id="537"/>
    <w:bookmarkStart w:name="z587" w:id="538"/>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538"/>
    <w:bookmarkStart w:name="z588" w:id="539"/>
    <w:p>
      <w:pPr>
        <w:spacing w:after="0"/>
        <w:ind w:left="0"/>
        <w:jc w:val="both"/>
      </w:pPr>
      <w:r>
        <w:rPr>
          <w:rFonts w:ascii="Times New Roman"/>
          <w:b w:val="false"/>
          <w:i w:val="false"/>
          <w:color w:val="000000"/>
          <w:sz w:val="28"/>
        </w:rPr>
        <w:t>
      РБ – республиканский бюджет;</w:t>
      </w:r>
    </w:p>
    <w:bookmarkEnd w:id="539"/>
    <w:bookmarkStart w:name="z589" w:id="540"/>
    <w:p>
      <w:pPr>
        <w:spacing w:after="0"/>
        <w:ind w:left="0"/>
        <w:jc w:val="both"/>
      </w:pPr>
      <w:r>
        <w:rPr>
          <w:rFonts w:ascii="Times New Roman"/>
          <w:b w:val="false"/>
          <w:i w:val="false"/>
          <w:color w:val="000000"/>
          <w:sz w:val="28"/>
        </w:rPr>
        <w:t>
      МСОП – Международный союз охраны природы и природных ресурсов;</w:t>
      </w:r>
    </w:p>
    <w:bookmarkEnd w:id="540"/>
    <w:bookmarkStart w:name="z590" w:id="541"/>
    <w:p>
      <w:pPr>
        <w:spacing w:after="0"/>
        <w:ind w:left="0"/>
        <w:jc w:val="both"/>
      </w:pPr>
      <w:r>
        <w:rPr>
          <w:rFonts w:ascii="Times New Roman"/>
          <w:b w:val="false"/>
          <w:i w:val="false"/>
          <w:color w:val="000000"/>
          <w:sz w:val="28"/>
        </w:rPr>
        <w:t>
      АСПР – Агентство Республики Казахстан по стратегическому планированию и реформам;</w:t>
      </w:r>
    </w:p>
    <w:bookmarkEnd w:id="541"/>
    <w:bookmarkStart w:name="z591" w:id="542"/>
    <w:p>
      <w:pPr>
        <w:spacing w:after="0"/>
        <w:ind w:left="0"/>
        <w:jc w:val="both"/>
      </w:pPr>
      <w:r>
        <w:rPr>
          <w:rFonts w:ascii="Times New Roman"/>
          <w:b w:val="false"/>
          <w:i w:val="false"/>
          <w:color w:val="000000"/>
          <w:sz w:val="28"/>
        </w:rPr>
        <w:t>
      БНС АСПР – Бюро национальной статистики Агентства Республики Казахстан по стратегическому планированию и реформам;</w:t>
      </w:r>
    </w:p>
    <w:bookmarkEnd w:id="542"/>
    <w:bookmarkStart w:name="z592" w:id="543"/>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543"/>
    <w:bookmarkStart w:name="z593" w:id="544"/>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544"/>
    <w:bookmarkStart w:name="z594" w:id="545"/>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545"/>
    <w:bookmarkStart w:name="z595" w:id="546"/>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546"/>
    <w:bookmarkStart w:name="z596" w:id="547"/>
    <w:p>
      <w:pPr>
        <w:spacing w:after="0"/>
        <w:ind w:left="0"/>
        <w:jc w:val="both"/>
      </w:pPr>
      <w:r>
        <w:rPr>
          <w:rFonts w:ascii="Times New Roman"/>
          <w:b w:val="false"/>
          <w:i w:val="false"/>
          <w:color w:val="000000"/>
          <w:sz w:val="28"/>
        </w:rPr>
        <w:t>
      ТЭО – технико-экономическое обоснование;</w:t>
      </w:r>
    </w:p>
    <w:bookmarkEnd w:id="547"/>
    <w:bookmarkStart w:name="z597" w:id="548"/>
    <w:p>
      <w:pPr>
        <w:spacing w:after="0"/>
        <w:ind w:left="0"/>
        <w:jc w:val="both"/>
      </w:pPr>
      <w:r>
        <w:rPr>
          <w:rFonts w:ascii="Times New Roman"/>
          <w:b w:val="false"/>
          <w:i w:val="false"/>
          <w:color w:val="000000"/>
          <w:sz w:val="28"/>
        </w:rPr>
        <w:t>
      ПС КНБ – Пограничная служба Комитета национальной безопасности Республики Казахстан;</w:t>
      </w:r>
    </w:p>
    <w:bookmarkEnd w:id="548"/>
    <w:bookmarkStart w:name="z598" w:id="549"/>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549"/>
    <w:bookmarkStart w:name="z599" w:id="550"/>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550"/>
    <w:bookmarkStart w:name="z600" w:id="551"/>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551"/>
    <w:bookmarkStart w:name="z601" w:id="552"/>
    <w:p>
      <w:pPr>
        <w:spacing w:after="0"/>
        <w:ind w:left="0"/>
        <w:jc w:val="both"/>
      </w:pPr>
      <w:r>
        <w:rPr>
          <w:rFonts w:ascii="Times New Roman"/>
          <w:b w:val="false"/>
          <w:i w:val="false"/>
          <w:color w:val="000000"/>
          <w:sz w:val="28"/>
        </w:rPr>
        <w:t>
      _____________________________________</w:t>
      </w:r>
    </w:p>
    <w:bookmarkEnd w:id="5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