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b8ed" w14:textId="5e7b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1197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7)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республики (среди молодежи и юношей) за первое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республиканских центров олимпийской подготовки, колледжей спорта и школ высшего спортивного мастерства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подпункт 7)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республики (среди молодежи и юношей) за первое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республиканских центров олимпийской подготовки, колледжей спорта и школ высшего спортивного мастерства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Тренерам-преподавателям детско-юношеских спортивных школ, специализированных детско-юношеских школ олимпийского резерва, специализированных детско-юношеских спортивных школ, прошедшим квалификационный тест и реализующим учебно-тренировочный процесс по национальным стандартам спортивной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 тренерского-преподавательского мастерства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физической культуры и спорта. Данная доплата устанавливается к должностному окладу с учетом фактической нагрузки, но не более нормативной учебной нагрузки.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