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518a" w14:textId="d9f5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2025 года № 1073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действующих составов административных правонарушений на предмет возможности перевода составов административных правонарушений, предусматривающих санкцию в виде лишения специального права, лишения разрешения либо приостановления его действия, а также исключения из реестра приостановления или запрещения деятельности, в отраслевые нормативные правовые акты, поскольку указанные санкции связаны с осуществлением административной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введения градации административных правонарушений на категории незначительных, значительных и грубых правонарушений, каждая из которых содержала бы предельные размеры штрафа в зависимости от характера и степени общественной опасности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исключения составов административных правонарушений, содержащих санкции за неконкретизированные требования нормативных правовых актов, корректировки диспозиций с учетом позиций уполномоченных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формирования единого подхода при определении размера штрафа в зависимости от категории субъектов предпринимательства (а также установления ответственности должностных лиц организаций, финансируемых из государственного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 итогам проведенного анализа нового понятия административного правонарушения, содержащего ясные критерии, позволяющие разграничить административную ответственность от других видов юридической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