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34f" w14:textId="23b4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2025 года № 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"153) разработка и утверждение правил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167) вносятся изменения в текст на казахском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167-1)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осуществление дактилоскопической регистрации в соответствии с законодательством Республики Казахстан;".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