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5bf3" w14:textId="8285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2025 года № 627.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"141-1) разработка и утверждение правил компенсации имущественных потерь, причиненных субъектам малого и среднего предпринимательства в результате чрезвычайной ситуации природного характера;".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