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d633" w14:textId="ba2d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сентября 2012 года № 1147 "О Генеральном плане города Актау Мангистауской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2025 года № 609.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w:t>
      </w:r>
      <w:r>
        <w:rPr>
          <w:rFonts w:ascii="Times New Roman"/>
          <w:b w:val="false"/>
          <w:i w:val="false"/>
          <w:color w:val="000000"/>
          <w:sz w:val="28"/>
        </w:rPr>
        <w:t>е Правительства Республики Казахстан от 5 сентября 2012 года № 1147 "О Генеральном плане города Актау Мангистауской области" следующие изменения:</w:t>
      </w:r>
    </w:p>
    <w:bookmarkEnd w:id="1"/>
    <w:bookmarkStart w:name="z6" w:id="2"/>
    <w:p>
      <w:pPr>
        <w:spacing w:after="0"/>
        <w:ind w:left="0"/>
        <w:jc w:val="both"/>
      </w:pPr>
      <w:r>
        <w:rPr>
          <w:rFonts w:ascii="Times New Roman"/>
          <w:b w:val="false"/>
          <w:i w:val="false"/>
          <w:color w:val="000000"/>
          <w:sz w:val="28"/>
        </w:rPr>
        <w:t>
      1)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 Генеральном плане города Актау Мангистауской области (включая основные положения)";</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End w:id="4"/>
    <w:bookmarkStart w:name="z9" w:id="5"/>
    <w:p>
      <w:pPr>
        <w:spacing w:after="0"/>
        <w:ind w:left="0"/>
        <w:jc w:val="both"/>
      </w:pPr>
      <w:r>
        <w:rPr>
          <w:rFonts w:ascii="Times New Roman"/>
          <w:b w:val="false"/>
          <w:i w:val="false"/>
          <w:color w:val="000000"/>
          <w:sz w:val="28"/>
        </w:rPr>
        <w:t>
      "1. Утвердить прилагаемый проект Генерального плана города Актау Мангистауской области (включая основные положения), одобренный Мангистауским областным и Актауским городским маслихатами.";</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Генеральный план</w:t>
      </w:r>
      <w:r>
        <w:rPr>
          <w:rFonts w:ascii="Times New Roman"/>
          <w:b w:val="false"/>
          <w:i w:val="false"/>
          <w:color w:val="000000"/>
          <w:sz w:val="28"/>
        </w:rPr>
        <w:t xml:space="preserve"> города Актау Мангистауской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2025 года № 609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2012 года № 1147</w:t>
            </w:r>
          </w:p>
        </w:tc>
      </w:tr>
    </w:tbl>
    <w:bookmarkStart w:name="z15" w:id="8"/>
    <w:p>
      <w:pPr>
        <w:spacing w:after="0"/>
        <w:ind w:left="0"/>
        <w:jc w:val="left"/>
      </w:pPr>
      <w:r>
        <w:rPr>
          <w:rFonts w:ascii="Times New Roman"/>
          <w:b/>
          <w:i w:val="false"/>
          <w:color w:val="000000"/>
        </w:rPr>
        <w:t xml:space="preserve"> Генеральный план города Актау Мангистауской области (включая основные положения)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Генеральный план города Актау Мангистауской области (далее – Генеральный план) является основным градостроительным документом, разрабатываемым в соответствии с утвержденной Генеральной схемой организации территории Республики Казахстан, определяющим направления перспективного комплексного развития, планировочной организации территории, системы социальной и инженерно-транспортной инфраструктуры города.</w:t>
      </w:r>
    </w:p>
    <w:bookmarkEnd w:id="10"/>
    <w:bookmarkStart w:name="z18" w:id="11"/>
    <w:p>
      <w:pPr>
        <w:spacing w:after="0"/>
        <w:ind w:left="0"/>
        <w:jc w:val="both"/>
      </w:pPr>
      <w:r>
        <w:rPr>
          <w:rFonts w:ascii="Times New Roman"/>
          <w:b w:val="false"/>
          <w:i w:val="false"/>
          <w:color w:val="000000"/>
          <w:sz w:val="28"/>
        </w:rPr>
        <w:t xml:space="preserve">
      Генеральный план разработан в соответствии с требованиями </w:t>
      </w:r>
      <w:r>
        <w:rPr>
          <w:rFonts w:ascii="Times New Roman"/>
          <w:b w:val="false"/>
          <w:i w:val="false"/>
          <w:color w:val="000000"/>
          <w:sz w:val="28"/>
        </w:rPr>
        <w:t>Земельного</w:t>
      </w:r>
      <w:r>
        <w:rPr>
          <w:rFonts w:ascii="Times New Roman"/>
          <w:b w:val="false"/>
          <w:i w:val="false"/>
          <w:color w:val="000000"/>
          <w:sz w:val="28"/>
        </w:rPr>
        <w:t xml:space="preserve">, </w:t>
      </w:r>
      <w:r>
        <w:rPr>
          <w:rFonts w:ascii="Times New Roman"/>
          <w:b w:val="false"/>
          <w:i w:val="false"/>
          <w:color w:val="000000"/>
          <w:sz w:val="28"/>
        </w:rPr>
        <w:t>Экологического</w:t>
      </w:r>
      <w:r>
        <w:rPr>
          <w:rFonts w:ascii="Times New Roman"/>
          <w:b w:val="false"/>
          <w:i w:val="false"/>
          <w:color w:val="000000"/>
          <w:sz w:val="28"/>
        </w:rPr>
        <w:t xml:space="preserve"> кодексов Республики Казахстан, законов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других законодательных актов и нормативных документов Республики Казахстан, относящихся к сфере градостроительства.</w:t>
      </w:r>
    </w:p>
    <w:bookmarkEnd w:id="11"/>
    <w:bookmarkStart w:name="z19" w:id="12"/>
    <w:p>
      <w:pPr>
        <w:spacing w:after="0"/>
        <w:ind w:left="0"/>
        <w:jc w:val="both"/>
      </w:pPr>
      <w:r>
        <w:rPr>
          <w:rFonts w:ascii="Times New Roman"/>
          <w:b w:val="false"/>
          <w:i w:val="false"/>
          <w:color w:val="000000"/>
          <w:sz w:val="28"/>
        </w:rPr>
        <w:t>
      В Генеральном плане приняты следующие проектные периоды:</w:t>
      </w:r>
    </w:p>
    <w:bookmarkEnd w:id="12"/>
    <w:bookmarkStart w:name="z20" w:id="13"/>
    <w:p>
      <w:pPr>
        <w:spacing w:after="0"/>
        <w:ind w:left="0"/>
        <w:jc w:val="both"/>
      </w:pPr>
      <w:r>
        <w:rPr>
          <w:rFonts w:ascii="Times New Roman"/>
          <w:b w:val="false"/>
          <w:i w:val="false"/>
          <w:color w:val="000000"/>
          <w:sz w:val="28"/>
        </w:rPr>
        <w:t>
      исходный год – 1 января 2023 года;</w:t>
      </w:r>
    </w:p>
    <w:bookmarkEnd w:id="13"/>
    <w:bookmarkStart w:name="z21" w:id="14"/>
    <w:p>
      <w:pPr>
        <w:spacing w:after="0"/>
        <w:ind w:left="0"/>
        <w:jc w:val="both"/>
      </w:pPr>
      <w:r>
        <w:rPr>
          <w:rFonts w:ascii="Times New Roman"/>
          <w:b w:val="false"/>
          <w:i w:val="false"/>
          <w:color w:val="000000"/>
          <w:sz w:val="28"/>
        </w:rPr>
        <w:t>
      первая очередь – 2028 год;</w:t>
      </w:r>
    </w:p>
    <w:bookmarkEnd w:id="14"/>
    <w:bookmarkStart w:name="z22" w:id="15"/>
    <w:p>
      <w:pPr>
        <w:spacing w:after="0"/>
        <w:ind w:left="0"/>
        <w:jc w:val="both"/>
      </w:pPr>
      <w:r>
        <w:rPr>
          <w:rFonts w:ascii="Times New Roman"/>
          <w:b w:val="false"/>
          <w:i w:val="false"/>
          <w:color w:val="000000"/>
          <w:sz w:val="28"/>
        </w:rPr>
        <w:t>
      расчетный срок – 2040 год.</w:t>
      </w:r>
    </w:p>
    <w:bookmarkEnd w:id="15"/>
    <w:bookmarkStart w:name="z23" w:id="16"/>
    <w:p>
      <w:pPr>
        <w:spacing w:after="0"/>
        <w:ind w:left="0"/>
        <w:jc w:val="left"/>
      </w:pPr>
      <w:r>
        <w:rPr>
          <w:rFonts w:ascii="Times New Roman"/>
          <w:b/>
          <w:i w:val="false"/>
          <w:color w:val="000000"/>
        </w:rPr>
        <w:t xml:space="preserve"> Глава 2. Назначение Генерального плана</w:t>
      </w:r>
    </w:p>
    <w:bookmarkEnd w:id="16"/>
    <w:bookmarkStart w:name="z24" w:id="17"/>
    <w:p>
      <w:pPr>
        <w:spacing w:after="0"/>
        <w:ind w:left="0"/>
        <w:jc w:val="both"/>
      </w:pPr>
      <w:r>
        <w:rPr>
          <w:rFonts w:ascii="Times New Roman"/>
          <w:b w:val="false"/>
          <w:i w:val="false"/>
          <w:color w:val="000000"/>
          <w:sz w:val="28"/>
        </w:rPr>
        <w:t>
      Генеральный план, утвержденный в установленном порядке, является базой для разработки: черты населенного пункта, проектов размещения объектов первоочередного строительства, проектов планировки жилых и промышленных районов, проектов застройки, отраслевых схем и проектов инженерного обеспечения, комплексной транспортной схемы, озеленения, схемы охраны окружающей среды, зонирования территории и рационального использования земель.</w:t>
      </w:r>
    </w:p>
    <w:bookmarkEnd w:id="17"/>
    <w:bookmarkStart w:name="z25" w:id="18"/>
    <w:p>
      <w:pPr>
        <w:spacing w:after="0"/>
        <w:ind w:left="0"/>
        <w:jc w:val="both"/>
      </w:pPr>
      <w:r>
        <w:rPr>
          <w:rFonts w:ascii="Times New Roman"/>
          <w:b w:val="false"/>
          <w:i w:val="false"/>
          <w:color w:val="000000"/>
          <w:sz w:val="28"/>
        </w:rPr>
        <w:t>
      Генеральным планом определяются:</w:t>
      </w:r>
    </w:p>
    <w:bookmarkEnd w:id="18"/>
    <w:bookmarkStart w:name="z26" w:id="19"/>
    <w:p>
      <w:pPr>
        <w:spacing w:after="0"/>
        <w:ind w:left="0"/>
        <w:jc w:val="both"/>
      </w:pPr>
      <w:r>
        <w:rPr>
          <w:rFonts w:ascii="Times New Roman"/>
          <w:b w:val="false"/>
          <w:i w:val="false"/>
          <w:color w:val="000000"/>
          <w:sz w:val="28"/>
        </w:rPr>
        <w:t>
      1) основные направления развития территории населенного пункта, включая социальную, рекреационную, производственную, транспортную, инженерную инфраструктуру и размещение сети связи, с учетом природно-климатических, сложившихся и прогнозируемых демографических и социально-экономических условий;</w:t>
      </w:r>
    </w:p>
    <w:bookmarkEnd w:id="19"/>
    <w:bookmarkStart w:name="z27" w:id="20"/>
    <w:p>
      <w:pPr>
        <w:spacing w:after="0"/>
        <w:ind w:left="0"/>
        <w:jc w:val="both"/>
      </w:pPr>
      <w:r>
        <w:rPr>
          <w:rFonts w:ascii="Times New Roman"/>
          <w:b w:val="false"/>
          <w:i w:val="false"/>
          <w:color w:val="000000"/>
          <w:sz w:val="28"/>
        </w:rPr>
        <w:t>
      2) функциональное зонирование и ограничение на использование территорий этих зон;</w:t>
      </w:r>
    </w:p>
    <w:bookmarkEnd w:id="20"/>
    <w:bookmarkStart w:name="z28" w:id="21"/>
    <w:p>
      <w:pPr>
        <w:spacing w:after="0"/>
        <w:ind w:left="0"/>
        <w:jc w:val="both"/>
      </w:pPr>
      <w:r>
        <w:rPr>
          <w:rFonts w:ascii="Times New Roman"/>
          <w:b w:val="false"/>
          <w:i w:val="false"/>
          <w:color w:val="000000"/>
          <w:sz w:val="28"/>
        </w:rPr>
        <w:t>
      3) соотношение застроенной и незастроенной территорий населенного пункта;</w:t>
      </w:r>
    </w:p>
    <w:bookmarkEnd w:id="21"/>
    <w:bookmarkStart w:name="z29" w:id="22"/>
    <w:p>
      <w:pPr>
        <w:spacing w:after="0"/>
        <w:ind w:left="0"/>
        <w:jc w:val="both"/>
      </w:pPr>
      <w:r>
        <w:rPr>
          <w:rFonts w:ascii="Times New Roman"/>
          <w:b w:val="false"/>
          <w:i w:val="false"/>
          <w:color w:val="000000"/>
          <w:sz w:val="28"/>
        </w:rPr>
        <w:t>
      4) зоны преимущественного отчуждения и приобретения земель, резервные территории;</w:t>
      </w:r>
    </w:p>
    <w:bookmarkEnd w:id="22"/>
    <w:bookmarkStart w:name="z30" w:id="23"/>
    <w:p>
      <w:pPr>
        <w:spacing w:after="0"/>
        <w:ind w:left="0"/>
        <w:jc w:val="both"/>
      </w:pPr>
      <w:r>
        <w:rPr>
          <w:rFonts w:ascii="Times New Roman"/>
          <w:b w:val="false"/>
          <w:i w:val="false"/>
          <w:color w:val="000000"/>
          <w:sz w:val="28"/>
        </w:rPr>
        <w:t>
      5) меры по защите территории от опасных (вредных) воздействий природных и техногенных явлений и процессов, улучшению экологической обстановки;</w:t>
      </w:r>
    </w:p>
    <w:bookmarkEnd w:id="23"/>
    <w:bookmarkStart w:name="z31" w:id="24"/>
    <w:p>
      <w:pPr>
        <w:spacing w:after="0"/>
        <w:ind w:left="0"/>
        <w:jc w:val="both"/>
      </w:pPr>
      <w:r>
        <w:rPr>
          <w:rFonts w:ascii="Times New Roman"/>
          <w:b w:val="false"/>
          <w:i w:val="false"/>
          <w:color w:val="000000"/>
          <w:sz w:val="28"/>
        </w:rPr>
        <w:t>
      6) основные направления по разработке транспортного раздела генерального плана, включающего комплексную транспортную схему, генеральную схему улично-дорожной сети и комплексную схему организации дорожного движения;</w:t>
      </w:r>
    </w:p>
    <w:bookmarkEnd w:id="24"/>
    <w:bookmarkStart w:name="z32" w:id="25"/>
    <w:p>
      <w:pPr>
        <w:spacing w:after="0"/>
        <w:ind w:left="0"/>
        <w:jc w:val="both"/>
      </w:pPr>
      <w:r>
        <w:rPr>
          <w:rFonts w:ascii="Times New Roman"/>
          <w:b w:val="false"/>
          <w:i w:val="false"/>
          <w:color w:val="000000"/>
          <w:sz w:val="28"/>
        </w:rPr>
        <w:t>
      7) меры по охране водных объектов от загрязнения, засорения, истощения;</w:t>
      </w:r>
    </w:p>
    <w:bookmarkEnd w:id="25"/>
    <w:bookmarkStart w:name="z33" w:id="26"/>
    <w:p>
      <w:pPr>
        <w:spacing w:after="0"/>
        <w:ind w:left="0"/>
        <w:jc w:val="both"/>
      </w:pPr>
      <w:r>
        <w:rPr>
          <w:rFonts w:ascii="Times New Roman"/>
          <w:b w:val="false"/>
          <w:i w:val="false"/>
          <w:color w:val="000000"/>
          <w:sz w:val="28"/>
        </w:rPr>
        <w:t>
      8) иные меры по обеспечению устойчивого развития населенного пункта.</w:t>
      </w:r>
    </w:p>
    <w:bookmarkEnd w:id="26"/>
    <w:bookmarkStart w:name="z34" w:id="27"/>
    <w:p>
      <w:pPr>
        <w:spacing w:after="0"/>
        <w:ind w:left="0"/>
        <w:jc w:val="both"/>
      </w:pPr>
      <w:r>
        <w:rPr>
          <w:rFonts w:ascii="Times New Roman"/>
          <w:b w:val="false"/>
          <w:i w:val="false"/>
          <w:color w:val="000000"/>
          <w:sz w:val="28"/>
        </w:rPr>
        <w:t>
      Настоящий Генеральный план разработан на территорию 124,5 тыс. га в пределах города Актау с учетом новых административных границ, включающих акваторию Каспийского моря. Рассматриваемая территория принята в соответствии с перспективным территориальным развитием города.</w:t>
      </w:r>
    </w:p>
    <w:bookmarkEnd w:id="27"/>
    <w:bookmarkStart w:name="z35" w:id="28"/>
    <w:p>
      <w:pPr>
        <w:spacing w:after="0"/>
        <w:ind w:left="0"/>
        <w:jc w:val="both"/>
      </w:pPr>
      <w:r>
        <w:rPr>
          <w:rFonts w:ascii="Times New Roman"/>
          <w:b w:val="false"/>
          <w:i w:val="false"/>
          <w:color w:val="000000"/>
          <w:sz w:val="28"/>
        </w:rPr>
        <w:t>
      При разработке Генерального плана на основе анализа современного состояния застройки и ее инженерно-технического обеспечения, с учетом новых современных решений урбанистики определены перспективная планировочная организация территории города, формирования социально-экономического комплекса, жилищного строительства и культурно-бытового обслуживания, развития общественного транспорта и дорожной инфраструктуры.</w:t>
      </w:r>
    </w:p>
    <w:bookmarkEnd w:id="28"/>
    <w:bookmarkStart w:name="z36" w:id="29"/>
    <w:p>
      <w:pPr>
        <w:spacing w:after="0"/>
        <w:ind w:left="0"/>
        <w:jc w:val="both"/>
      </w:pPr>
      <w:r>
        <w:rPr>
          <w:rFonts w:ascii="Times New Roman"/>
          <w:b w:val="false"/>
          <w:i w:val="false"/>
          <w:color w:val="000000"/>
          <w:sz w:val="28"/>
        </w:rPr>
        <w:t>
      Одной из главных целей Генерального плана является устойчивое развитие города, как центра туризма и отдыха международного значения, с созданием высоко комфортной сервисной базы и круглогодичного обслуживания.</w:t>
      </w:r>
    </w:p>
    <w:bookmarkEnd w:id="29"/>
    <w:bookmarkStart w:name="z37" w:id="30"/>
    <w:p>
      <w:pPr>
        <w:spacing w:after="0"/>
        <w:ind w:left="0"/>
        <w:jc w:val="left"/>
      </w:pPr>
      <w:r>
        <w:rPr>
          <w:rFonts w:ascii="Times New Roman"/>
          <w:b/>
          <w:i w:val="false"/>
          <w:color w:val="000000"/>
        </w:rPr>
        <w:t xml:space="preserve"> Глава 3. Общие сведения</w:t>
      </w:r>
    </w:p>
    <w:bookmarkEnd w:id="30"/>
    <w:bookmarkStart w:name="z38" w:id="31"/>
    <w:p>
      <w:pPr>
        <w:spacing w:after="0"/>
        <w:ind w:left="0"/>
        <w:jc w:val="both"/>
      </w:pPr>
      <w:r>
        <w:rPr>
          <w:rFonts w:ascii="Times New Roman"/>
          <w:b w:val="false"/>
          <w:i w:val="false"/>
          <w:color w:val="000000"/>
          <w:sz w:val="28"/>
        </w:rPr>
        <w:t>
      Город Актау – административный центр Мангистауской области расположен в западной части области на берегу Каспийского моря, находится на пересечении автомобильных магистралей, имеет железнодорожное сообщение, международный аэропорт, международный морской порт и обладает потенциалом для становления международного мультимодального транспортного узла (хаба) Республики Казахстан на пересечении международных транспортных коридоров TRASECA и Север (Северная Европа) – Юг (страны Персидского залива).</w:t>
      </w:r>
    </w:p>
    <w:bookmarkEnd w:id="31"/>
    <w:bookmarkStart w:name="z39" w:id="32"/>
    <w:p>
      <w:pPr>
        <w:spacing w:after="0"/>
        <w:ind w:left="0"/>
        <w:jc w:val="both"/>
      </w:pPr>
      <w:r>
        <w:rPr>
          <w:rFonts w:ascii="Times New Roman"/>
          <w:b w:val="false"/>
          <w:i w:val="false"/>
          <w:color w:val="000000"/>
          <w:sz w:val="28"/>
        </w:rPr>
        <w:t>
      Общая численность населения города Актау на начало 2023 года составляла 262,5 тыс. человек.</w:t>
      </w:r>
    </w:p>
    <w:bookmarkEnd w:id="32"/>
    <w:bookmarkStart w:name="z40" w:id="33"/>
    <w:p>
      <w:pPr>
        <w:spacing w:after="0"/>
        <w:ind w:left="0"/>
        <w:jc w:val="left"/>
      </w:pPr>
      <w:r>
        <w:rPr>
          <w:rFonts w:ascii="Times New Roman"/>
          <w:b/>
          <w:i w:val="false"/>
          <w:color w:val="000000"/>
        </w:rPr>
        <w:t xml:space="preserve"> Глава 4. Природно-климатические условия</w:t>
      </w:r>
    </w:p>
    <w:bookmarkEnd w:id="33"/>
    <w:bookmarkStart w:name="z41" w:id="34"/>
    <w:p>
      <w:pPr>
        <w:spacing w:after="0"/>
        <w:ind w:left="0"/>
        <w:jc w:val="both"/>
      </w:pPr>
      <w:r>
        <w:rPr>
          <w:rFonts w:ascii="Times New Roman"/>
          <w:b w:val="false"/>
          <w:i w:val="false"/>
          <w:color w:val="000000"/>
          <w:sz w:val="28"/>
        </w:rPr>
        <w:t>
      Климат. Территория города относится к климатическому подрайону, к IV-Г строительно-климатическому подрайону, для которого характерны продолжительное жаркое, засушливое лето и умеренно холодная зима с повышенной относительной влажностью воздуха, дефицит атмосферных осадков и активная ветровая деятельность.</w:t>
      </w:r>
    </w:p>
    <w:bookmarkEnd w:id="34"/>
    <w:bookmarkStart w:name="z42" w:id="35"/>
    <w:p>
      <w:pPr>
        <w:spacing w:after="0"/>
        <w:ind w:left="0"/>
        <w:jc w:val="both"/>
      </w:pPr>
      <w:r>
        <w:rPr>
          <w:rFonts w:ascii="Times New Roman"/>
          <w:b w:val="false"/>
          <w:i w:val="false"/>
          <w:color w:val="000000"/>
          <w:sz w:val="28"/>
        </w:rPr>
        <w:t>
      Средняя годовая температура воздуха положительная и составляет 12,0 °С. Средняя месячная температура воздуха самого теплого месяца – июля составляет 25,0° С, а самого холодного – января минус 1,2 °С. Годовая амплитуда температуры воздуха составляет 26,2 °С.</w:t>
      </w:r>
    </w:p>
    <w:bookmarkEnd w:id="35"/>
    <w:bookmarkStart w:name="z43" w:id="36"/>
    <w:p>
      <w:pPr>
        <w:spacing w:after="0"/>
        <w:ind w:left="0"/>
        <w:jc w:val="both"/>
      </w:pPr>
      <w:r>
        <w:rPr>
          <w:rFonts w:ascii="Times New Roman"/>
          <w:b w:val="false"/>
          <w:i w:val="false"/>
          <w:color w:val="000000"/>
          <w:sz w:val="28"/>
        </w:rPr>
        <w:t>
      Рельеф. Город Актау расположен на восточном побережье Каспийского моря в пределах прибрежной части плато Южного Мангышлака.</w:t>
      </w:r>
    </w:p>
    <w:bookmarkEnd w:id="36"/>
    <w:bookmarkStart w:name="z44" w:id="37"/>
    <w:p>
      <w:pPr>
        <w:spacing w:after="0"/>
        <w:ind w:left="0"/>
        <w:jc w:val="both"/>
      </w:pPr>
      <w:r>
        <w:rPr>
          <w:rFonts w:ascii="Times New Roman"/>
          <w:b w:val="false"/>
          <w:i w:val="false"/>
          <w:color w:val="000000"/>
          <w:sz w:val="28"/>
        </w:rPr>
        <w:t>
      В геоморфологическом отношении территория города представляет собой морскую, плоскую слабоволнистую равнину, полого-наклоненную к морю. Общий уклон территории с севера на юг и с востока на запад. Уклоны поверхности изменяются от 8 до 3 ‰. Абсолютные высоты колеблются в пределах от минус (-) 28 до 20 над уровнем моря.</w:t>
      </w:r>
    </w:p>
    <w:bookmarkEnd w:id="37"/>
    <w:bookmarkStart w:name="z45" w:id="38"/>
    <w:p>
      <w:pPr>
        <w:spacing w:after="0"/>
        <w:ind w:left="0"/>
        <w:jc w:val="both"/>
      </w:pPr>
      <w:r>
        <w:rPr>
          <w:rFonts w:ascii="Times New Roman"/>
          <w:b w:val="false"/>
          <w:i w:val="false"/>
          <w:color w:val="000000"/>
          <w:sz w:val="28"/>
        </w:rPr>
        <w:t>
      К северо-востоку на расстоянии 5 от города расположена естественная впадина Кошкар-Ата с абсолютными отметками дна – 38,0 м (относительная отметка), которая используется в качестве хвостохранилища промышленных отходов. В южной части от города вдоль побережья расположен шор Караколь, его протяженность 18 км, ширина – около 2 км.</w:t>
      </w:r>
    </w:p>
    <w:bookmarkEnd w:id="38"/>
    <w:bookmarkStart w:name="z46" w:id="39"/>
    <w:p>
      <w:pPr>
        <w:spacing w:after="0"/>
        <w:ind w:left="0"/>
        <w:jc w:val="both"/>
      </w:pPr>
      <w:r>
        <w:rPr>
          <w:rFonts w:ascii="Times New Roman"/>
          <w:b w:val="false"/>
          <w:i w:val="false"/>
          <w:color w:val="000000"/>
          <w:sz w:val="28"/>
        </w:rPr>
        <w:t>
      Гидрография. На рассматриваемой территории постоянные поверхностные водотоки отсутствуют. Единственным поверхностным водоемом является Каспийское море – самое большое озеро в мире.</w:t>
      </w:r>
    </w:p>
    <w:bookmarkEnd w:id="39"/>
    <w:bookmarkStart w:name="z47" w:id="40"/>
    <w:p>
      <w:pPr>
        <w:spacing w:after="0"/>
        <w:ind w:left="0"/>
        <w:jc w:val="both"/>
      </w:pPr>
      <w:r>
        <w:rPr>
          <w:rFonts w:ascii="Times New Roman"/>
          <w:b w:val="false"/>
          <w:i w:val="false"/>
          <w:color w:val="000000"/>
          <w:sz w:val="28"/>
        </w:rPr>
        <w:t>
      Каспийское море подвержено циклическим изменениям уровня – флуктуации. При этом как подъем, так и падение уровня происходили неравномерно, а скачкообразно.</w:t>
      </w:r>
    </w:p>
    <w:bookmarkEnd w:id="40"/>
    <w:bookmarkStart w:name="z48" w:id="41"/>
    <w:p>
      <w:pPr>
        <w:spacing w:after="0"/>
        <w:ind w:left="0"/>
        <w:jc w:val="both"/>
      </w:pPr>
      <w:r>
        <w:rPr>
          <w:rFonts w:ascii="Times New Roman"/>
          <w:b w:val="false"/>
          <w:i w:val="false"/>
          <w:color w:val="000000"/>
          <w:sz w:val="28"/>
        </w:rPr>
        <w:t>
      Инженерно-геологические условия предопределены геологическими, гидрогеологическими и геоморфологическими особенностями расположения города. Неогеновые образования представлены известняками, известняками-ракушечниками различной прочности и глиняными мергелями.</w:t>
      </w:r>
    </w:p>
    <w:bookmarkEnd w:id="41"/>
    <w:bookmarkStart w:name="z49" w:id="42"/>
    <w:p>
      <w:pPr>
        <w:spacing w:after="0"/>
        <w:ind w:left="0"/>
        <w:jc w:val="both"/>
      </w:pPr>
      <w:r>
        <w:rPr>
          <w:rFonts w:ascii="Times New Roman"/>
          <w:b w:val="false"/>
          <w:i w:val="false"/>
          <w:color w:val="000000"/>
          <w:sz w:val="28"/>
        </w:rPr>
        <w:t>
      Гидрогеологические условия. Вся территория Прикаспия покрыта толщей четвертичных осадков каспийских трансгрессий, в которых формируются водоносные горизонты. Отложения неогена также содержат подземные воды.</w:t>
      </w:r>
    </w:p>
    <w:bookmarkEnd w:id="42"/>
    <w:bookmarkStart w:name="z50" w:id="43"/>
    <w:p>
      <w:pPr>
        <w:spacing w:after="0"/>
        <w:ind w:left="0"/>
        <w:jc w:val="both"/>
      </w:pPr>
      <w:r>
        <w:rPr>
          <w:rFonts w:ascii="Times New Roman"/>
          <w:b w:val="false"/>
          <w:i w:val="false"/>
          <w:color w:val="000000"/>
          <w:sz w:val="28"/>
        </w:rPr>
        <w:t>
      Литологически водовмещающие отложения представлены песками, иногда глинистыми засоленными с битой ракушкой супесями.</w:t>
      </w:r>
    </w:p>
    <w:bookmarkEnd w:id="43"/>
    <w:bookmarkStart w:name="z51" w:id="44"/>
    <w:p>
      <w:pPr>
        <w:spacing w:after="0"/>
        <w:ind w:left="0"/>
        <w:jc w:val="both"/>
      </w:pPr>
      <w:r>
        <w:rPr>
          <w:rFonts w:ascii="Times New Roman"/>
          <w:b w:val="false"/>
          <w:i w:val="false"/>
          <w:color w:val="000000"/>
          <w:sz w:val="28"/>
        </w:rPr>
        <w:t>
      В прибрежной зоне формируется единый водоносный горизонт, водоупорным слоем для которого являются глины хвалынского возраста.</w:t>
      </w:r>
    </w:p>
    <w:bookmarkEnd w:id="44"/>
    <w:bookmarkStart w:name="z52" w:id="45"/>
    <w:p>
      <w:pPr>
        <w:spacing w:after="0"/>
        <w:ind w:left="0"/>
        <w:jc w:val="both"/>
      </w:pPr>
      <w:r>
        <w:rPr>
          <w:rFonts w:ascii="Times New Roman"/>
          <w:b w:val="false"/>
          <w:i w:val="false"/>
          <w:color w:val="000000"/>
          <w:sz w:val="28"/>
        </w:rPr>
        <w:t>
      Глубина залегания грунтовых вод варьирует в широких пределах 0,05-20 м и более в современных эоловых отложениях.</w:t>
      </w:r>
    </w:p>
    <w:bookmarkEnd w:id="45"/>
    <w:bookmarkStart w:name="z53" w:id="46"/>
    <w:p>
      <w:pPr>
        <w:spacing w:after="0"/>
        <w:ind w:left="0"/>
        <w:jc w:val="both"/>
      </w:pPr>
      <w:r>
        <w:rPr>
          <w:rFonts w:ascii="Times New Roman"/>
          <w:b w:val="false"/>
          <w:i w:val="false"/>
          <w:color w:val="000000"/>
          <w:sz w:val="28"/>
        </w:rPr>
        <w:t>
      Минерализация грунтовых вод варьирует в широких пределах 7-50 до 135-300 г/л, по типу засоления эти воды относятся к хлоридно-натриевым и сульфатно-хлоридным с высоким содержанием сульфатов и магния.</w:t>
      </w:r>
    </w:p>
    <w:bookmarkEnd w:id="46"/>
    <w:bookmarkStart w:name="z54" w:id="47"/>
    <w:p>
      <w:pPr>
        <w:spacing w:after="0"/>
        <w:ind w:left="0"/>
        <w:jc w:val="left"/>
      </w:pPr>
      <w:r>
        <w:rPr>
          <w:rFonts w:ascii="Times New Roman"/>
          <w:b/>
          <w:i w:val="false"/>
          <w:color w:val="000000"/>
        </w:rPr>
        <w:t xml:space="preserve"> Глава 5. Концепция стратегического развития города</w:t>
      </w:r>
    </w:p>
    <w:bookmarkEnd w:id="47"/>
    <w:bookmarkStart w:name="z55" w:id="48"/>
    <w:p>
      <w:pPr>
        <w:spacing w:after="0"/>
        <w:ind w:left="0"/>
        <w:jc w:val="both"/>
      </w:pPr>
      <w:r>
        <w:rPr>
          <w:rFonts w:ascii="Times New Roman"/>
          <w:b w:val="false"/>
          <w:i w:val="false"/>
          <w:color w:val="000000"/>
          <w:sz w:val="28"/>
        </w:rPr>
        <w:t>
      Стратегией установлены цели – аспекты того, каким город должен стать в будущем, в чем будут его уникальность и привлекательность:</w:t>
      </w:r>
    </w:p>
    <w:bookmarkEnd w:id="48"/>
    <w:bookmarkStart w:name="z56" w:id="49"/>
    <w:p>
      <w:pPr>
        <w:spacing w:after="0"/>
        <w:ind w:left="0"/>
        <w:jc w:val="both"/>
      </w:pPr>
      <w:r>
        <w:rPr>
          <w:rFonts w:ascii="Times New Roman"/>
          <w:b w:val="false"/>
          <w:i w:val="false"/>
          <w:color w:val="000000"/>
          <w:sz w:val="28"/>
        </w:rPr>
        <w:t>
      аспект 1 – современный многофункциональный административный, финансовый и культурный центр Мангистауской области;</w:t>
      </w:r>
    </w:p>
    <w:bookmarkEnd w:id="49"/>
    <w:bookmarkStart w:name="z57" w:id="50"/>
    <w:p>
      <w:pPr>
        <w:spacing w:after="0"/>
        <w:ind w:left="0"/>
        <w:jc w:val="both"/>
      </w:pPr>
      <w:r>
        <w:rPr>
          <w:rFonts w:ascii="Times New Roman"/>
          <w:b w:val="false"/>
          <w:i w:val="false"/>
          <w:color w:val="000000"/>
          <w:sz w:val="28"/>
        </w:rPr>
        <w:t>
      аспект 2 – промышленный, инновационный центр области;</w:t>
      </w:r>
    </w:p>
    <w:bookmarkEnd w:id="50"/>
    <w:bookmarkStart w:name="z58" w:id="51"/>
    <w:p>
      <w:pPr>
        <w:spacing w:after="0"/>
        <w:ind w:left="0"/>
        <w:jc w:val="both"/>
      </w:pPr>
      <w:r>
        <w:rPr>
          <w:rFonts w:ascii="Times New Roman"/>
          <w:b w:val="false"/>
          <w:i w:val="false"/>
          <w:color w:val="000000"/>
          <w:sz w:val="28"/>
        </w:rPr>
        <w:t>
      аспект 3 – международный транспортно-логистический центр республики;</w:t>
      </w:r>
    </w:p>
    <w:bookmarkEnd w:id="51"/>
    <w:bookmarkStart w:name="z59" w:id="52"/>
    <w:p>
      <w:pPr>
        <w:spacing w:after="0"/>
        <w:ind w:left="0"/>
        <w:jc w:val="both"/>
      </w:pPr>
      <w:r>
        <w:rPr>
          <w:rFonts w:ascii="Times New Roman"/>
          <w:b w:val="false"/>
          <w:i w:val="false"/>
          <w:color w:val="000000"/>
          <w:sz w:val="28"/>
        </w:rPr>
        <w:t>
      аспект 4 – туристическо-рекреационный центр республики.</w:t>
      </w:r>
    </w:p>
    <w:bookmarkEnd w:id="52"/>
    <w:bookmarkStart w:name="z60" w:id="53"/>
    <w:p>
      <w:pPr>
        <w:spacing w:after="0"/>
        <w:ind w:left="0"/>
        <w:jc w:val="left"/>
      </w:pPr>
      <w:r>
        <w:rPr>
          <w:rFonts w:ascii="Times New Roman"/>
          <w:b/>
          <w:i w:val="false"/>
          <w:color w:val="000000"/>
        </w:rPr>
        <w:t xml:space="preserve"> Глава 6. Социально-экономическое развитие</w:t>
      </w:r>
    </w:p>
    <w:bookmarkEnd w:id="53"/>
    <w:bookmarkStart w:name="z61" w:id="54"/>
    <w:p>
      <w:pPr>
        <w:spacing w:after="0"/>
        <w:ind w:left="0"/>
        <w:jc w:val="left"/>
      </w:pPr>
      <w:r>
        <w:rPr>
          <w:rFonts w:ascii="Times New Roman"/>
          <w:b/>
          <w:i w:val="false"/>
          <w:color w:val="000000"/>
        </w:rPr>
        <w:t xml:space="preserve"> Параграф 1. Демография</w:t>
      </w:r>
    </w:p>
    <w:bookmarkEnd w:id="54"/>
    <w:bookmarkStart w:name="z62" w:id="55"/>
    <w:p>
      <w:pPr>
        <w:spacing w:after="0"/>
        <w:ind w:left="0"/>
        <w:jc w:val="both"/>
      </w:pPr>
      <w:r>
        <w:rPr>
          <w:rFonts w:ascii="Times New Roman"/>
          <w:b w:val="false"/>
          <w:i w:val="false"/>
          <w:color w:val="000000"/>
          <w:sz w:val="28"/>
        </w:rPr>
        <w:t>
      Численность населения в пределах административных границ территории города составила в исходном году 262,5 тыс. человек.</w:t>
      </w:r>
    </w:p>
    <w:bookmarkEnd w:id="55"/>
    <w:bookmarkStart w:name="z63" w:id="56"/>
    <w:p>
      <w:pPr>
        <w:spacing w:after="0"/>
        <w:ind w:left="0"/>
        <w:jc w:val="both"/>
      </w:pPr>
      <w:r>
        <w:rPr>
          <w:rFonts w:ascii="Times New Roman"/>
          <w:b w:val="false"/>
          <w:i w:val="false"/>
          <w:color w:val="000000"/>
          <w:sz w:val="28"/>
        </w:rPr>
        <w:t>
      Прогноз перспективной численности населения города был выполнен с учетом объективно происходящих изменений в естественном и миграционном движении населения по методике Бюро национальной статистики Агентства по стратегическому планированию и реформам Республики Казахстан с использованием экономико-математических методов на основе корреляционно-регрессионного анализа, методов передвижки по возрастам, статистической экстраполяции и трудового баланса.</w:t>
      </w:r>
    </w:p>
    <w:bookmarkEnd w:id="56"/>
    <w:bookmarkStart w:name="z64" w:id="57"/>
    <w:p>
      <w:pPr>
        <w:spacing w:after="0"/>
        <w:ind w:left="0"/>
        <w:jc w:val="both"/>
      </w:pPr>
      <w:r>
        <w:rPr>
          <w:rFonts w:ascii="Times New Roman"/>
          <w:b w:val="false"/>
          <w:i w:val="false"/>
          <w:color w:val="000000"/>
          <w:sz w:val="28"/>
        </w:rPr>
        <w:t>
      Перспективная численность населения определена методом статистической экстраполяции с учетом оптимального включения населения в трудоспособном возрасте в деятельность во всех сферах социально-экономической деятельности города.</w:t>
      </w:r>
    </w:p>
    <w:bookmarkEnd w:id="57"/>
    <w:bookmarkStart w:name="z65" w:id="58"/>
    <w:p>
      <w:pPr>
        <w:spacing w:after="0"/>
        <w:ind w:left="0"/>
        <w:jc w:val="both"/>
      </w:pPr>
      <w:r>
        <w:rPr>
          <w:rFonts w:ascii="Times New Roman"/>
          <w:b w:val="false"/>
          <w:i w:val="false"/>
          <w:color w:val="000000"/>
          <w:sz w:val="28"/>
        </w:rPr>
        <w:t>
      Проектная численность населения города составит:</w:t>
      </w:r>
    </w:p>
    <w:bookmarkEnd w:id="58"/>
    <w:bookmarkStart w:name="z66" w:id="59"/>
    <w:p>
      <w:pPr>
        <w:spacing w:after="0"/>
        <w:ind w:left="0"/>
        <w:jc w:val="both"/>
      </w:pPr>
      <w:r>
        <w:rPr>
          <w:rFonts w:ascii="Times New Roman"/>
          <w:b w:val="false"/>
          <w:i w:val="false"/>
          <w:color w:val="000000"/>
          <w:sz w:val="28"/>
        </w:rPr>
        <w:t>
      1) первая очередь строительства (2028 год) – 338,0 тыс. человек;</w:t>
      </w:r>
    </w:p>
    <w:bookmarkEnd w:id="59"/>
    <w:bookmarkStart w:name="z67" w:id="60"/>
    <w:p>
      <w:pPr>
        <w:spacing w:after="0"/>
        <w:ind w:left="0"/>
        <w:jc w:val="both"/>
      </w:pPr>
      <w:r>
        <w:rPr>
          <w:rFonts w:ascii="Times New Roman"/>
          <w:b w:val="false"/>
          <w:i w:val="false"/>
          <w:color w:val="000000"/>
          <w:sz w:val="28"/>
        </w:rPr>
        <w:t>
      2) расчетный срок (2040 год) – 500,0 тыс. человек.</w:t>
      </w:r>
    </w:p>
    <w:bookmarkEnd w:id="60"/>
    <w:bookmarkStart w:name="z68" w:id="61"/>
    <w:p>
      <w:pPr>
        <w:spacing w:after="0"/>
        <w:ind w:left="0"/>
        <w:jc w:val="both"/>
      </w:pPr>
      <w:r>
        <w:rPr>
          <w:rFonts w:ascii="Times New Roman"/>
          <w:b w:val="false"/>
          <w:i w:val="false"/>
          <w:color w:val="000000"/>
          <w:sz w:val="28"/>
        </w:rPr>
        <w:t>
      Общий прогнозный прирост населения составит по периодам проектирования:</w:t>
      </w:r>
    </w:p>
    <w:bookmarkEnd w:id="61"/>
    <w:bookmarkStart w:name="z69" w:id="62"/>
    <w:p>
      <w:pPr>
        <w:spacing w:after="0"/>
        <w:ind w:left="0"/>
        <w:jc w:val="both"/>
      </w:pPr>
      <w:r>
        <w:rPr>
          <w:rFonts w:ascii="Times New Roman"/>
          <w:b w:val="false"/>
          <w:i w:val="false"/>
          <w:color w:val="000000"/>
          <w:sz w:val="28"/>
        </w:rPr>
        <w:t>
      первая очередь строительства (6 лет) – 75,5 тыс. человек;</w:t>
      </w:r>
    </w:p>
    <w:bookmarkEnd w:id="62"/>
    <w:bookmarkStart w:name="z70" w:id="63"/>
    <w:p>
      <w:pPr>
        <w:spacing w:after="0"/>
        <w:ind w:left="0"/>
        <w:jc w:val="both"/>
      </w:pPr>
      <w:r>
        <w:rPr>
          <w:rFonts w:ascii="Times New Roman"/>
          <w:b w:val="false"/>
          <w:i w:val="false"/>
          <w:color w:val="000000"/>
          <w:sz w:val="28"/>
        </w:rPr>
        <w:t>
      расчетный срок (12 лет) – 162,0 тыс. человек.</w:t>
      </w:r>
    </w:p>
    <w:bookmarkEnd w:id="63"/>
    <w:bookmarkStart w:name="z71" w:id="64"/>
    <w:p>
      <w:pPr>
        <w:spacing w:after="0"/>
        <w:ind w:left="0"/>
        <w:jc w:val="both"/>
      </w:pPr>
      <w:r>
        <w:rPr>
          <w:rFonts w:ascii="Times New Roman"/>
          <w:b w:val="false"/>
          <w:i w:val="false"/>
          <w:color w:val="000000"/>
          <w:sz w:val="28"/>
        </w:rPr>
        <w:t>
      Население в трудоспособном возрасте к концу расчетного срока составит 48,9 % от численности населения города Актау.</w:t>
      </w:r>
    </w:p>
    <w:bookmarkEnd w:id="64"/>
    <w:bookmarkStart w:name="z72" w:id="65"/>
    <w:p>
      <w:pPr>
        <w:spacing w:after="0"/>
        <w:ind w:left="0"/>
        <w:jc w:val="left"/>
      </w:pPr>
      <w:r>
        <w:rPr>
          <w:rFonts w:ascii="Times New Roman"/>
          <w:b/>
          <w:i w:val="false"/>
          <w:color w:val="000000"/>
        </w:rPr>
        <w:t xml:space="preserve"> Параграф 2. Жилищно-гражданское строительство</w:t>
      </w:r>
    </w:p>
    <w:bookmarkEnd w:id="65"/>
    <w:bookmarkStart w:name="z73" w:id="66"/>
    <w:p>
      <w:pPr>
        <w:spacing w:after="0"/>
        <w:ind w:left="0"/>
        <w:jc w:val="both"/>
      </w:pPr>
      <w:r>
        <w:rPr>
          <w:rFonts w:ascii="Times New Roman"/>
          <w:b w:val="false"/>
          <w:i w:val="false"/>
          <w:color w:val="000000"/>
          <w:sz w:val="28"/>
        </w:rPr>
        <w:t>
      Площадь селитебной территории, предназначенной для градостроительного освоения на исходный год, составляет 1738,3 га, к 2040 году площадь селитебной территории увеличится до 3593,7 га.</w:t>
      </w:r>
    </w:p>
    <w:bookmarkEnd w:id="66"/>
    <w:bookmarkStart w:name="z74" w:id="67"/>
    <w:p>
      <w:pPr>
        <w:spacing w:after="0"/>
        <w:ind w:left="0"/>
        <w:jc w:val="both"/>
      </w:pPr>
      <w:r>
        <w:rPr>
          <w:rFonts w:ascii="Times New Roman"/>
          <w:b w:val="false"/>
          <w:i w:val="false"/>
          <w:color w:val="000000"/>
          <w:sz w:val="28"/>
        </w:rPr>
        <w:t>
      Жилищный фонд города составляет в исходном году 7203,2 тыс. м</w:t>
      </w:r>
      <w:r>
        <w:rPr>
          <w:rFonts w:ascii="Times New Roman"/>
          <w:b w:val="false"/>
          <w:i w:val="false"/>
          <w:color w:val="000000"/>
          <w:vertAlign w:val="superscript"/>
        </w:rPr>
        <w:t>2</w:t>
      </w:r>
      <w:r>
        <w:rPr>
          <w:rFonts w:ascii="Times New Roman"/>
          <w:b w:val="false"/>
          <w:i w:val="false"/>
          <w:color w:val="000000"/>
          <w:sz w:val="28"/>
        </w:rPr>
        <w:t xml:space="preserve"> при средней обеспеченности всего населения города общей площадью 27,4 м</w:t>
      </w:r>
      <w:r>
        <w:rPr>
          <w:rFonts w:ascii="Times New Roman"/>
          <w:b w:val="false"/>
          <w:i w:val="false"/>
          <w:color w:val="000000"/>
          <w:vertAlign w:val="superscript"/>
        </w:rPr>
        <w:t>2</w:t>
      </w:r>
      <w:r>
        <w:rPr>
          <w:rFonts w:ascii="Times New Roman"/>
          <w:b w:val="false"/>
          <w:i w:val="false"/>
          <w:color w:val="000000"/>
          <w:sz w:val="28"/>
        </w:rPr>
        <w:t xml:space="preserve"> на одного жителя.</w:t>
      </w:r>
    </w:p>
    <w:bookmarkEnd w:id="67"/>
    <w:bookmarkStart w:name="z75" w:id="68"/>
    <w:p>
      <w:pPr>
        <w:spacing w:after="0"/>
        <w:ind w:left="0"/>
        <w:jc w:val="both"/>
      </w:pPr>
      <w:r>
        <w:rPr>
          <w:rFonts w:ascii="Times New Roman"/>
          <w:b w:val="false"/>
          <w:i w:val="false"/>
          <w:color w:val="000000"/>
          <w:sz w:val="28"/>
        </w:rPr>
        <w:t>
      Одной из основных целей Генерального плана является устранение диспропорции в комфортности проживания, в частности, по показателю обеспеченности жилищным фондом. В Генеральном плане на расчетный период для обеспечения комфортности проживания в городе принят показатель обеспеченности жилищным фондом в 32,7 м</w:t>
      </w:r>
      <w:r>
        <w:rPr>
          <w:rFonts w:ascii="Times New Roman"/>
          <w:b w:val="false"/>
          <w:i w:val="false"/>
          <w:color w:val="000000"/>
          <w:vertAlign w:val="superscript"/>
        </w:rPr>
        <w:t>2</w:t>
      </w:r>
      <w:r>
        <w:rPr>
          <w:rFonts w:ascii="Times New Roman"/>
          <w:b w:val="false"/>
          <w:i w:val="false"/>
          <w:color w:val="000000"/>
          <w:sz w:val="28"/>
        </w:rPr>
        <w:t xml:space="preserve"> на человека, и для достижения такого уровня комфортности проживания необходимо увеличить жилищный фонд до 16372,1 тыс. м</w:t>
      </w:r>
      <w:r>
        <w:rPr>
          <w:rFonts w:ascii="Times New Roman"/>
          <w:b w:val="false"/>
          <w:i w:val="false"/>
          <w:color w:val="000000"/>
          <w:vertAlign w:val="superscript"/>
        </w:rPr>
        <w:t>2</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Объем нового жилищного строительства за проектный период составит 9168,9 тыс. м</w:t>
      </w:r>
      <w:r>
        <w:rPr>
          <w:rFonts w:ascii="Times New Roman"/>
          <w:b w:val="false"/>
          <w:i w:val="false"/>
          <w:color w:val="000000"/>
          <w:vertAlign w:val="superscript"/>
        </w:rPr>
        <w:t>2</w:t>
      </w:r>
      <w:r>
        <w:rPr>
          <w:rFonts w:ascii="Times New Roman"/>
          <w:b w:val="false"/>
          <w:i w:val="false"/>
          <w:color w:val="000000"/>
          <w:sz w:val="28"/>
        </w:rPr>
        <w:t xml:space="preserve"> общей площади, в том числе в малоэтажных многоквартирных домах (1-3 этажи) – 2236,8 тыс. м</w:t>
      </w:r>
      <w:r>
        <w:rPr>
          <w:rFonts w:ascii="Times New Roman"/>
          <w:b w:val="false"/>
          <w:i w:val="false"/>
          <w:color w:val="000000"/>
          <w:vertAlign w:val="superscript"/>
        </w:rPr>
        <w:t>2</w:t>
      </w:r>
      <w:r>
        <w:rPr>
          <w:rFonts w:ascii="Times New Roman"/>
          <w:b w:val="false"/>
          <w:i w:val="false"/>
          <w:color w:val="000000"/>
          <w:sz w:val="28"/>
        </w:rPr>
        <w:t>, среднеэтажных многоквартирных домах – 2101,2 тыс. м</w:t>
      </w:r>
      <w:r>
        <w:rPr>
          <w:rFonts w:ascii="Times New Roman"/>
          <w:b w:val="false"/>
          <w:i w:val="false"/>
          <w:color w:val="000000"/>
          <w:vertAlign w:val="superscript"/>
        </w:rPr>
        <w:t>2</w:t>
      </w:r>
      <w:r>
        <w:rPr>
          <w:rFonts w:ascii="Times New Roman"/>
          <w:b w:val="false"/>
          <w:i w:val="false"/>
          <w:color w:val="000000"/>
          <w:sz w:val="28"/>
        </w:rPr>
        <w:t>, многоквартирных многоэтажных домах – 4830,8 тыс. м</w:t>
      </w:r>
      <w:r>
        <w:rPr>
          <w:rFonts w:ascii="Times New Roman"/>
          <w:b w:val="false"/>
          <w:i w:val="false"/>
          <w:color w:val="000000"/>
          <w:vertAlign w:val="superscript"/>
        </w:rPr>
        <w:t>2</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В городе Актау имеются жилые дома, построенные в период становления и развития города, который начался в 1960-х годах. Генеральным планом предусматривается возможность проведения реновации этой застройки при появлении заинтересованного инвестора.</w:t>
      </w:r>
    </w:p>
    <w:bookmarkEnd w:id="70"/>
    <w:bookmarkStart w:name="z78" w:id="71"/>
    <w:p>
      <w:pPr>
        <w:spacing w:after="0"/>
        <w:ind w:left="0"/>
        <w:jc w:val="both"/>
      </w:pPr>
      <w:r>
        <w:rPr>
          <w:rFonts w:ascii="Times New Roman"/>
          <w:b w:val="false"/>
          <w:i w:val="false"/>
          <w:color w:val="000000"/>
          <w:sz w:val="28"/>
        </w:rPr>
        <w:t>
      Согласно мероприятиям по сносу ветхого и аварийного жилищного фонда в Мангистауской области до 2029 года идентифицировано 111 многоквартирных жилых домов, находящихся в ветхом и аварийном состоянии, подлежащих сносу, с последующим обеспечением жильем их собственников.</w:t>
      </w:r>
    </w:p>
    <w:bookmarkEnd w:id="71"/>
    <w:bookmarkStart w:name="z79" w:id="72"/>
    <w:p>
      <w:pPr>
        <w:spacing w:after="0"/>
        <w:ind w:left="0"/>
        <w:jc w:val="both"/>
      </w:pPr>
      <w:r>
        <w:rPr>
          <w:rFonts w:ascii="Times New Roman"/>
          <w:b w:val="false"/>
          <w:i w:val="false"/>
          <w:color w:val="000000"/>
          <w:sz w:val="28"/>
        </w:rPr>
        <w:t>
      По городу Актау в перечень ветхих и аварийных многоквартирных жилых домов, подлежащих сносу в рамках мероприятии по сносу ветхого и аварийного жилищного фонда, включены следующие объекты: многоквартирные жилые дома № 33, 39, 40, 41, 42, 43, 44, 45, 46, 70 в микрорайоне 3.</w:t>
      </w:r>
    </w:p>
    <w:bookmarkEnd w:id="72"/>
    <w:bookmarkStart w:name="z80" w:id="73"/>
    <w:p>
      <w:pPr>
        <w:spacing w:after="0"/>
        <w:ind w:left="0"/>
        <w:jc w:val="both"/>
      </w:pPr>
      <w:r>
        <w:rPr>
          <w:rFonts w:ascii="Times New Roman"/>
          <w:b w:val="false"/>
          <w:i w:val="false"/>
          <w:color w:val="000000"/>
          <w:sz w:val="28"/>
        </w:rPr>
        <w:t>
      Сфера общественного обслуживания.</w:t>
      </w:r>
    </w:p>
    <w:bookmarkEnd w:id="73"/>
    <w:bookmarkStart w:name="z81" w:id="74"/>
    <w:p>
      <w:pPr>
        <w:spacing w:after="0"/>
        <w:ind w:left="0"/>
        <w:jc w:val="both"/>
      </w:pP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w:t>
      </w:r>
    </w:p>
    <w:bookmarkEnd w:id="74"/>
    <w:bookmarkStart w:name="z82" w:id="75"/>
    <w:p>
      <w:pPr>
        <w:spacing w:after="0"/>
        <w:ind w:left="0"/>
        <w:jc w:val="both"/>
      </w:pPr>
      <w:r>
        <w:rPr>
          <w:rFonts w:ascii="Times New Roman"/>
          <w:b w:val="false"/>
          <w:i w:val="false"/>
          <w:color w:val="000000"/>
          <w:sz w:val="28"/>
        </w:rPr>
        <w:t>
      Генеральным планом до расчетного срока предусмотрено увеличение количества мест в общеобразовательных учреждениях на 78,0 тыс. ученических мест к существующим 31204 местам или 70 новых школ к 28 государственным школам на исходный год.</w:t>
      </w:r>
    </w:p>
    <w:bookmarkEnd w:id="75"/>
    <w:bookmarkStart w:name="z83" w:id="76"/>
    <w:p>
      <w:pPr>
        <w:spacing w:after="0"/>
        <w:ind w:left="0"/>
        <w:jc w:val="both"/>
      </w:pPr>
      <w:r>
        <w:rPr>
          <w:rFonts w:ascii="Times New Roman"/>
          <w:b w:val="false"/>
          <w:i w:val="false"/>
          <w:color w:val="000000"/>
          <w:sz w:val="28"/>
        </w:rPr>
        <w:t>
      Для развития сети дошкольных учреждений к расчетному сроку предусмотрено увеличение количества мест в дошкольных учреждениях на 31,64 тыс. мест, все намечаемое строительство предлагается в виде отдельно стоящих детских садов государственного и частного типов.</w:t>
      </w:r>
    </w:p>
    <w:bookmarkEnd w:id="76"/>
    <w:bookmarkStart w:name="z84" w:id="77"/>
    <w:p>
      <w:pPr>
        <w:spacing w:after="0"/>
        <w:ind w:left="0"/>
        <w:jc w:val="both"/>
      </w:pPr>
      <w:r>
        <w:rPr>
          <w:rFonts w:ascii="Times New Roman"/>
          <w:b w:val="false"/>
          <w:i w:val="false"/>
          <w:color w:val="000000"/>
          <w:sz w:val="28"/>
        </w:rPr>
        <w:t>
      Для обеспечения комфортного проживания на расчетный срок необходимо ввести амбулаторные учреждения с общей мощностью 5,04 тыс. посещений в смену, а также увеличить с учетом прогнозной численности населения больничный фонд коек на 1600 единиц.</w:t>
      </w:r>
    </w:p>
    <w:bookmarkEnd w:id="77"/>
    <w:bookmarkStart w:name="z85" w:id="78"/>
    <w:p>
      <w:pPr>
        <w:spacing w:after="0"/>
        <w:ind w:left="0"/>
        <w:jc w:val="both"/>
      </w:pPr>
      <w:r>
        <w:rPr>
          <w:rFonts w:ascii="Times New Roman"/>
          <w:b w:val="false"/>
          <w:i w:val="false"/>
          <w:color w:val="000000"/>
          <w:sz w:val="28"/>
        </w:rPr>
        <w:t>
      На первом этапе (2028 год) предусмотрено строительство 3 объектов государственных учреждений здравоохранения, из них 1 больница, 2 амбулаторные поликлиники, на расчетный срок – 8 государственных объектов здравоохранения, из них 2 больницы, 6 поликлиник.</w:t>
      </w:r>
    </w:p>
    <w:bookmarkEnd w:id="78"/>
    <w:bookmarkStart w:name="z86" w:id="79"/>
    <w:p>
      <w:pPr>
        <w:spacing w:after="0"/>
        <w:ind w:left="0"/>
        <w:jc w:val="left"/>
      </w:pPr>
      <w:r>
        <w:rPr>
          <w:rFonts w:ascii="Times New Roman"/>
          <w:b/>
          <w:i w:val="false"/>
          <w:color w:val="000000"/>
        </w:rPr>
        <w:t xml:space="preserve"> Параграф 3. Экономическая деятельность</w:t>
      </w:r>
    </w:p>
    <w:bookmarkEnd w:id="79"/>
    <w:bookmarkStart w:name="z87" w:id="80"/>
    <w:p>
      <w:pPr>
        <w:spacing w:after="0"/>
        <w:ind w:left="0"/>
        <w:jc w:val="both"/>
      </w:pPr>
      <w:r>
        <w:rPr>
          <w:rFonts w:ascii="Times New Roman"/>
          <w:b w:val="false"/>
          <w:i w:val="false"/>
          <w:color w:val="000000"/>
          <w:sz w:val="28"/>
        </w:rPr>
        <w:t>
      Экономическая деятельность города Актау характеризуется разнообразием и динамичным развитием, опираясь на такие ключевые направления, как нефтегазовый сектор, морской порт и туризм.</w:t>
      </w:r>
    </w:p>
    <w:bookmarkEnd w:id="80"/>
    <w:bookmarkStart w:name="z88" w:id="81"/>
    <w:p>
      <w:pPr>
        <w:spacing w:after="0"/>
        <w:ind w:left="0"/>
        <w:jc w:val="both"/>
      </w:pPr>
      <w:r>
        <w:rPr>
          <w:rFonts w:ascii="Times New Roman"/>
          <w:b w:val="false"/>
          <w:i w:val="false"/>
          <w:color w:val="000000"/>
          <w:sz w:val="28"/>
        </w:rPr>
        <w:t>
      Нефтегазовая промышленностью. Актау является одним из ключевых центров нефтедобычи и нефтепереработки в Казахстане. Здесь расположены крупные предприятия, связанные с добычей и транспортировкой нефти и газа. Эта отрасль является основой экономики города и региона.</w:t>
      </w:r>
    </w:p>
    <w:bookmarkEnd w:id="81"/>
    <w:bookmarkStart w:name="z89" w:id="82"/>
    <w:p>
      <w:pPr>
        <w:spacing w:after="0"/>
        <w:ind w:left="0"/>
        <w:jc w:val="both"/>
      </w:pPr>
      <w:r>
        <w:rPr>
          <w:rFonts w:ascii="Times New Roman"/>
          <w:b w:val="false"/>
          <w:i w:val="false"/>
          <w:color w:val="000000"/>
          <w:sz w:val="28"/>
        </w:rPr>
        <w:t>
      Транспорт и логистика. Благодаря морскому порту Актау играет важную роль в транспортировке грузов, связывающей Центральную Азию с другими регионами мира. Развитие транспортно-логистической инфраструктуры является одним из приоритетных направлений развития города.</w:t>
      </w:r>
    </w:p>
    <w:bookmarkEnd w:id="82"/>
    <w:bookmarkStart w:name="z90" w:id="83"/>
    <w:p>
      <w:pPr>
        <w:spacing w:after="0"/>
        <w:ind w:left="0"/>
        <w:jc w:val="both"/>
      </w:pPr>
      <w:r>
        <w:rPr>
          <w:rFonts w:ascii="Times New Roman"/>
          <w:b w:val="false"/>
          <w:i w:val="false"/>
          <w:color w:val="000000"/>
          <w:sz w:val="28"/>
        </w:rPr>
        <w:t>
      Туризм. Уникальные природные ландшафты, побережье Каспийского моря и богатое культурно-историческое наследие делают город Актау привлекательным местом для туристов. Развитие туристической инфраструктуры и привлечение инвестиций в эту отрасль являются важными факторами экономического роста города.</w:t>
      </w:r>
    </w:p>
    <w:bookmarkEnd w:id="83"/>
    <w:bookmarkStart w:name="z91" w:id="84"/>
    <w:p>
      <w:pPr>
        <w:spacing w:after="0"/>
        <w:ind w:left="0"/>
        <w:jc w:val="both"/>
      </w:pPr>
      <w:r>
        <w:rPr>
          <w:rFonts w:ascii="Times New Roman"/>
          <w:b w:val="false"/>
          <w:i w:val="false"/>
          <w:color w:val="000000"/>
          <w:sz w:val="28"/>
        </w:rPr>
        <w:t>
      Помимо этого, в Актау развиваются и другие отрасли экономики, такие как строительство, торговля, IT-сектор и сельское хозяйство. Однако именно нефтегазовая промышленность, транспорт и логистика, а также туризм являются ключевыми направлениями, определяющими экономическую деятельность города.</w:t>
      </w:r>
    </w:p>
    <w:bookmarkEnd w:id="84"/>
    <w:bookmarkStart w:name="z92" w:id="85"/>
    <w:p>
      <w:pPr>
        <w:spacing w:after="0"/>
        <w:ind w:left="0"/>
        <w:jc w:val="left"/>
      </w:pPr>
      <w:r>
        <w:rPr>
          <w:rFonts w:ascii="Times New Roman"/>
          <w:b/>
          <w:i w:val="false"/>
          <w:color w:val="000000"/>
        </w:rPr>
        <w:t xml:space="preserve"> Параграф 4. Развитие города как международного центра туризма</w:t>
      </w:r>
    </w:p>
    <w:bookmarkEnd w:id="85"/>
    <w:bookmarkStart w:name="z93" w:id="86"/>
    <w:p>
      <w:pPr>
        <w:spacing w:after="0"/>
        <w:ind w:left="0"/>
        <w:jc w:val="both"/>
      </w:pPr>
      <w:r>
        <w:rPr>
          <w:rFonts w:ascii="Times New Roman"/>
          <w:b w:val="false"/>
          <w:i w:val="false"/>
          <w:color w:val="000000"/>
          <w:sz w:val="28"/>
        </w:rPr>
        <w:t>
      Актау — город с большим потенциалом развития, обусловленным его уникальным географическим положением, природными ресурсами и развивающейся инфраструктурой. Город обладает уникальным потенциалом для превращения в крупный международный туристический центр. Его привлекательность обусловлена природными уникальными объектами: акватория Каспийского моря, наличие в пригороде уникальных каньонов, впадин, гор, пустынных зон, соленых озер с лечебными свойствами, многочисленные археологические памятники, включая древние поселения, некрополи и петроглифы, которые являются местом паломничества для мусульман, так как здесь находятся святые места, связанные с именами известных суфийских деятелей.</w:t>
      </w:r>
    </w:p>
    <w:bookmarkEnd w:id="86"/>
    <w:bookmarkStart w:name="z94" w:id="87"/>
    <w:p>
      <w:pPr>
        <w:spacing w:after="0"/>
        <w:ind w:left="0"/>
        <w:jc w:val="both"/>
      </w:pPr>
      <w:r>
        <w:rPr>
          <w:rFonts w:ascii="Times New Roman"/>
          <w:b w:val="false"/>
          <w:i w:val="false"/>
          <w:color w:val="000000"/>
          <w:sz w:val="28"/>
        </w:rPr>
        <w:t>
      Развитие туризма в Актау станет мощным фактором экономического роста региона, привлечет дополнительные инвестиции, создаст новые рабочие места и повысит качество жизни населения.</w:t>
      </w:r>
    </w:p>
    <w:bookmarkEnd w:id="87"/>
    <w:bookmarkStart w:name="z95" w:id="88"/>
    <w:p>
      <w:pPr>
        <w:spacing w:after="0"/>
        <w:ind w:left="0"/>
        <w:jc w:val="left"/>
      </w:pPr>
      <w:r>
        <w:rPr>
          <w:rFonts w:ascii="Times New Roman"/>
          <w:b/>
          <w:i w:val="false"/>
          <w:color w:val="000000"/>
        </w:rPr>
        <w:t xml:space="preserve"> Параграф 5. Модернизация промышленных зон города</w:t>
      </w:r>
    </w:p>
    <w:bookmarkEnd w:id="88"/>
    <w:bookmarkStart w:name="z96" w:id="89"/>
    <w:p>
      <w:pPr>
        <w:spacing w:after="0"/>
        <w:ind w:left="0"/>
        <w:jc w:val="both"/>
      </w:pPr>
      <w:r>
        <w:rPr>
          <w:rFonts w:ascii="Times New Roman"/>
          <w:b w:val="false"/>
          <w:i w:val="false"/>
          <w:color w:val="000000"/>
          <w:sz w:val="28"/>
        </w:rPr>
        <w:t>
      В целях диверсификации экономики и создания в городе дополнительных мест приложения труда предусматривается развитие новых промышленных предприятий в пределах существующих промышленно-индустриальных зон и свободной экономической зоны "Морской порт Актау". Основные направления, реализуемые в городе, – добыча и переработка нефти и газа, горно-металлургический комплекс, машиностроение, химическая промышленность, строительная индустрия для возведения жилищных, гражданских и промышленных объектов, а также пищевая промышленность.</w:t>
      </w:r>
    </w:p>
    <w:bookmarkEnd w:id="89"/>
    <w:bookmarkStart w:name="z97" w:id="90"/>
    <w:p>
      <w:pPr>
        <w:spacing w:after="0"/>
        <w:ind w:left="0"/>
        <w:jc w:val="left"/>
      </w:pPr>
      <w:r>
        <w:rPr>
          <w:rFonts w:ascii="Times New Roman"/>
          <w:b/>
          <w:i w:val="false"/>
          <w:color w:val="000000"/>
        </w:rPr>
        <w:t xml:space="preserve"> Глава 7. Основные направления градостроительного развития города</w:t>
      </w:r>
    </w:p>
    <w:bookmarkEnd w:id="90"/>
    <w:bookmarkStart w:name="z98" w:id="91"/>
    <w:p>
      <w:pPr>
        <w:spacing w:after="0"/>
        <w:ind w:left="0"/>
        <w:jc w:val="left"/>
      </w:pPr>
      <w:r>
        <w:rPr>
          <w:rFonts w:ascii="Times New Roman"/>
          <w:b/>
          <w:i w:val="false"/>
          <w:color w:val="000000"/>
        </w:rPr>
        <w:t xml:space="preserve"> Параграф 1. Архитектурно-планировочные аспекты</w:t>
      </w:r>
    </w:p>
    <w:bookmarkEnd w:id="91"/>
    <w:bookmarkStart w:name="z99" w:id="92"/>
    <w:p>
      <w:pPr>
        <w:spacing w:after="0"/>
        <w:ind w:left="0"/>
        <w:jc w:val="both"/>
      </w:pPr>
      <w:r>
        <w:rPr>
          <w:rFonts w:ascii="Times New Roman"/>
          <w:b w:val="false"/>
          <w:i w:val="false"/>
          <w:color w:val="000000"/>
          <w:sz w:val="28"/>
        </w:rPr>
        <w:t>
      Архитектурно-планировочное решение проекта направлено на обеспечение наилучших условий проживания населения. Проектом сохраняются весь существующий капитальный жилищный фонд, объекты культурно-бытового и коммунального обслуживания, зеленые насаждения, благоустроенные улицы и инженерные сети. В целях соблюдения преемственности основное архитектурно-планировочное решение предшествующего генерального плана города было максимально сохранено – сетка улиц и дорог и основное функциональное зонирование территорий.</w:t>
      </w:r>
    </w:p>
    <w:bookmarkEnd w:id="92"/>
    <w:bookmarkStart w:name="z100" w:id="93"/>
    <w:p>
      <w:pPr>
        <w:spacing w:after="0"/>
        <w:ind w:left="0"/>
        <w:jc w:val="both"/>
      </w:pPr>
      <w:r>
        <w:rPr>
          <w:rFonts w:ascii="Times New Roman"/>
          <w:b w:val="false"/>
          <w:i w:val="false"/>
          <w:color w:val="000000"/>
          <w:sz w:val="28"/>
        </w:rPr>
        <w:t>
      В основу перспективной планировочной структуры города Актау положены транспортный каркас и прибрежная полоса Каспийского моря.</w:t>
      </w:r>
    </w:p>
    <w:bookmarkEnd w:id="93"/>
    <w:bookmarkStart w:name="z101" w:id="94"/>
    <w:p>
      <w:pPr>
        <w:spacing w:after="0"/>
        <w:ind w:left="0"/>
        <w:jc w:val="both"/>
      </w:pPr>
      <w:r>
        <w:rPr>
          <w:rFonts w:ascii="Times New Roman"/>
          <w:b w:val="false"/>
          <w:i w:val="false"/>
          <w:color w:val="000000"/>
          <w:sz w:val="28"/>
        </w:rPr>
        <w:t>
      Главным притягательным фактором при формировании архитектурно-планировочной и пространственной среды является Каспийское море. Проектом определена регулярная планировочная структура города с продольными (меридиональными) и поперечными (широтными) магистральными улицами. Расстояния между магистральными улицами приняты в пределах 500–900 метров. Проектные продольные улицы, представленные общегородскими и районными магистралями, являются продолжением существующих магистралей и проходят параллельно береговой полосе моря.</w:t>
      </w:r>
    </w:p>
    <w:bookmarkEnd w:id="94"/>
    <w:bookmarkStart w:name="z102" w:id="95"/>
    <w:p>
      <w:pPr>
        <w:spacing w:after="0"/>
        <w:ind w:left="0"/>
        <w:jc w:val="both"/>
      </w:pPr>
      <w:r>
        <w:rPr>
          <w:rFonts w:ascii="Times New Roman"/>
          <w:b w:val="false"/>
          <w:i w:val="false"/>
          <w:color w:val="000000"/>
          <w:sz w:val="28"/>
        </w:rPr>
        <w:t>
      Сохраняется четкое деление города на две части – селитебную (северо-западную) и промышленно-производственную (юго-восточную).</w:t>
      </w:r>
    </w:p>
    <w:bookmarkEnd w:id="95"/>
    <w:bookmarkStart w:name="z103" w:id="96"/>
    <w:p>
      <w:pPr>
        <w:spacing w:after="0"/>
        <w:ind w:left="0"/>
        <w:jc w:val="both"/>
      </w:pPr>
      <w:r>
        <w:rPr>
          <w:rFonts w:ascii="Times New Roman"/>
          <w:b w:val="false"/>
          <w:i w:val="false"/>
          <w:color w:val="000000"/>
          <w:sz w:val="28"/>
        </w:rPr>
        <w:t>
      Преобладающей идеей архитектурно-планировочного и пространственного решения Генерального плана является дальнейшее развитие города в экологически благоприятной зоне вдоль береговой полосы Каспийского моря с формированием протяженных вдоль берега магистральных и жилых улиц, пешеходной инфраструктуры к прибрежной зоне и центрам общественного обслуживания.</w:t>
      </w:r>
    </w:p>
    <w:bookmarkEnd w:id="96"/>
    <w:bookmarkStart w:name="z104" w:id="97"/>
    <w:p>
      <w:pPr>
        <w:spacing w:after="0"/>
        <w:ind w:left="0"/>
        <w:jc w:val="both"/>
      </w:pPr>
      <w:r>
        <w:rPr>
          <w:rFonts w:ascii="Times New Roman"/>
          <w:b w:val="false"/>
          <w:i w:val="false"/>
          <w:color w:val="000000"/>
          <w:sz w:val="28"/>
        </w:rPr>
        <w:t>
      Структурообразующими элементами остаются квартал и микрорайон.</w:t>
      </w:r>
    </w:p>
    <w:bookmarkEnd w:id="97"/>
    <w:bookmarkStart w:name="z105" w:id="98"/>
    <w:p>
      <w:pPr>
        <w:spacing w:after="0"/>
        <w:ind w:left="0"/>
        <w:jc w:val="both"/>
      </w:pPr>
      <w:r>
        <w:rPr>
          <w:rFonts w:ascii="Times New Roman"/>
          <w:b w:val="false"/>
          <w:i w:val="false"/>
          <w:color w:val="000000"/>
          <w:sz w:val="28"/>
        </w:rPr>
        <w:t>
      Главная общегородская магистральная улица проходит в меридиональном направлении с выходом на аэропорт. На этой магистрали концентрируются общегородские центры административно-общественного, торгового, делового, спортивного, культурного функционального назначений. На всем ее протяжении предполагается строительство бульвара.</w:t>
      </w:r>
    </w:p>
    <w:bookmarkEnd w:id="98"/>
    <w:bookmarkStart w:name="z106" w:id="99"/>
    <w:p>
      <w:pPr>
        <w:spacing w:after="0"/>
        <w:ind w:left="0"/>
        <w:jc w:val="both"/>
      </w:pPr>
      <w:r>
        <w:rPr>
          <w:rFonts w:ascii="Times New Roman"/>
          <w:b w:val="false"/>
          <w:i w:val="false"/>
          <w:color w:val="000000"/>
          <w:sz w:val="28"/>
        </w:rPr>
        <w:t>
      Территориальное развитие города будет осуществляться поэтапно в северо-западном направлении на свободных территориях. На первую очередь предусматриваются строительство четырнадцати новых микрорайонов и освоение территории резиденции; на расчетный срок (2040 г.) планируется освоение еще четырнадцати микрорайонов.</w:t>
      </w:r>
    </w:p>
    <w:bookmarkEnd w:id="99"/>
    <w:bookmarkStart w:name="z107" w:id="100"/>
    <w:p>
      <w:pPr>
        <w:spacing w:after="0"/>
        <w:ind w:left="0"/>
        <w:jc w:val="both"/>
      </w:pPr>
      <w:r>
        <w:rPr>
          <w:rFonts w:ascii="Times New Roman"/>
          <w:b w:val="false"/>
          <w:i w:val="false"/>
          <w:color w:val="000000"/>
          <w:sz w:val="28"/>
        </w:rPr>
        <w:t>
      Функционально-градостроительное зонирование территории города выполнено в Генеральном плане исходя из расчетных параметров развития города, сохранения существующей застройки, развития нового жилищного строительства, размещения административных, общественно-деловых и социальных объектов, объектов культурно-бытового обслуживания, организации транспортно-пешеходных связей и полного инженерного обеспечения.</w:t>
      </w:r>
    </w:p>
    <w:bookmarkEnd w:id="100"/>
    <w:bookmarkStart w:name="z108" w:id="101"/>
    <w:p>
      <w:pPr>
        <w:spacing w:after="0"/>
        <w:ind w:left="0"/>
        <w:jc w:val="both"/>
      </w:pPr>
      <w:r>
        <w:rPr>
          <w:rFonts w:ascii="Times New Roman"/>
          <w:b w:val="false"/>
          <w:i w:val="false"/>
          <w:color w:val="000000"/>
          <w:sz w:val="28"/>
        </w:rPr>
        <w:t>
      В Генеральном плане выполнено функциональное зонирование территории и определены следующие функциональные зоны:</w:t>
      </w:r>
    </w:p>
    <w:bookmarkEnd w:id="101"/>
    <w:bookmarkStart w:name="z109" w:id="102"/>
    <w:p>
      <w:pPr>
        <w:spacing w:after="0"/>
        <w:ind w:left="0"/>
        <w:jc w:val="both"/>
      </w:pPr>
      <w:r>
        <w:rPr>
          <w:rFonts w:ascii="Times New Roman"/>
          <w:b w:val="false"/>
          <w:i w:val="false"/>
          <w:color w:val="000000"/>
          <w:sz w:val="28"/>
        </w:rPr>
        <w:t>
      зона жилой застройки (районы и кварталы жилой застройки, школьные и дошкольные учреждения);</w:t>
      </w:r>
    </w:p>
    <w:bookmarkEnd w:id="102"/>
    <w:bookmarkStart w:name="z110" w:id="103"/>
    <w:p>
      <w:pPr>
        <w:spacing w:after="0"/>
        <w:ind w:left="0"/>
        <w:jc w:val="both"/>
      </w:pPr>
      <w:r>
        <w:rPr>
          <w:rFonts w:ascii="Times New Roman"/>
          <w:b w:val="false"/>
          <w:i w:val="false"/>
          <w:color w:val="000000"/>
          <w:sz w:val="28"/>
        </w:rPr>
        <w:t>
      общественно-деловая зона (административные, общественные, деловые объекты);</w:t>
      </w:r>
    </w:p>
    <w:bookmarkEnd w:id="103"/>
    <w:bookmarkStart w:name="z111" w:id="104"/>
    <w:p>
      <w:pPr>
        <w:spacing w:after="0"/>
        <w:ind w:left="0"/>
        <w:jc w:val="both"/>
      </w:pPr>
      <w:r>
        <w:rPr>
          <w:rFonts w:ascii="Times New Roman"/>
          <w:b w:val="false"/>
          <w:i w:val="false"/>
          <w:color w:val="000000"/>
          <w:sz w:val="28"/>
        </w:rPr>
        <w:t>
      рекреационная зона (пляжи, парки, бульвары, скверы);</w:t>
      </w:r>
    </w:p>
    <w:bookmarkEnd w:id="104"/>
    <w:bookmarkStart w:name="z112" w:id="105"/>
    <w:p>
      <w:pPr>
        <w:spacing w:after="0"/>
        <w:ind w:left="0"/>
        <w:jc w:val="both"/>
      </w:pPr>
      <w:r>
        <w:rPr>
          <w:rFonts w:ascii="Times New Roman"/>
          <w:b w:val="false"/>
          <w:i w:val="false"/>
          <w:color w:val="000000"/>
          <w:sz w:val="28"/>
        </w:rPr>
        <w:t>
      зона инженерной и транспортной инфраструктуры;</w:t>
      </w:r>
    </w:p>
    <w:bookmarkEnd w:id="105"/>
    <w:bookmarkStart w:name="z113" w:id="106"/>
    <w:p>
      <w:pPr>
        <w:spacing w:after="0"/>
        <w:ind w:left="0"/>
        <w:jc w:val="both"/>
      </w:pPr>
      <w:r>
        <w:rPr>
          <w:rFonts w:ascii="Times New Roman"/>
          <w:b w:val="false"/>
          <w:i w:val="false"/>
          <w:color w:val="000000"/>
          <w:sz w:val="28"/>
        </w:rPr>
        <w:t>
      производственная зона (промышленные, коммунальные и производственные объекты, индустриальные парки);</w:t>
      </w:r>
    </w:p>
    <w:bookmarkEnd w:id="106"/>
    <w:bookmarkStart w:name="z114" w:id="107"/>
    <w:p>
      <w:pPr>
        <w:spacing w:after="0"/>
        <w:ind w:left="0"/>
        <w:jc w:val="both"/>
      </w:pPr>
      <w:r>
        <w:rPr>
          <w:rFonts w:ascii="Times New Roman"/>
          <w:b w:val="false"/>
          <w:i w:val="false"/>
          <w:color w:val="000000"/>
          <w:sz w:val="28"/>
        </w:rPr>
        <w:t>
      зоны специального назначения (военные и иные режимные территории);</w:t>
      </w:r>
    </w:p>
    <w:bookmarkEnd w:id="107"/>
    <w:bookmarkStart w:name="z115" w:id="108"/>
    <w:p>
      <w:pPr>
        <w:spacing w:after="0"/>
        <w:ind w:left="0"/>
        <w:jc w:val="both"/>
      </w:pPr>
      <w:r>
        <w:rPr>
          <w:rFonts w:ascii="Times New Roman"/>
          <w:b w:val="false"/>
          <w:i w:val="false"/>
          <w:color w:val="000000"/>
          <w:sz w:val="28"/>
        </w:rPr>
        <w:t>
      санитарно-защитные и водоохранные зоны;</w:t>
      </w:r>
    </w:p>
    <w:bookmarkEnd w:id="108"/>
    <w:bookmarkStart w:name="z116" w:id="109"/>
    <w:p>
      <w:pPr>
        <w:spacing w:after="0"/>
        <w:ind w:left="0"/>
        <w:jc w:val="both"/>
      </w:pPr>
      <w:r>
        <w:rPr>
          <w:rFonts w:ascii="Times New Roman"/>
          <w:b w:val="false"/>
          <w:i w:val="false"/>
          <w:color w:val="000000"/>
          <w:sz w:val="28"/>
        </w:rPr>
        <w:t>
      резервные территории (градостроительные ресурсы).</w:t>
      </w:r>
    </w:p>
    <w:bookmarkEnd w:id="109"/>
    <w:bookmarkStart w:name="z117" w:id="110"/>
    <w:p>
      <w:pPr>
        <w:spacing w:after="0"/>
        <w:ind w:left="0"/>
        <w:jc w:val="both"/>
      </w:pPr>
      <w:r>
        <w:rPr>
          <w:rFonts w:ascii="Times New Roman"/>
          <w:b w:val="false"/>
          <w:i w:val="false"/>
          <w:color w:val="000000"/>
          <w:sz w:val="28"/>
        </w:rPr>
        <w:t>
      Каждая функциональная зона по использованию территорий имеет свое целевое назначение и может быть использована строго в рамках данного целевого назначения и в границах данной функциональной зоны.</w:t>
      </w:r>
    </w:p>
    <w:bookmarkEnd w:id="110"/>
    <w:bookmarkStart w:name="z118" w:id="111"/>
    <w:p>
      <w:pPr>
        <w:spacing w:after="0"/>
        <w:ind w:left="0"/>
        <w:jc w:val="both"/>
      </w:pPr>
      <w:r>
        <w:rPr>
          <w:rFonts w:ascii="Times New Roman"/>
          <w:b w:val="false"/>
          <w:i w:val="false"/>
          <w:color w:val="000000"/>
          <w:sz w:val="28"/>
        </w:rPr>
        <w:t>
      Жилая территория города предназначается для застройки жилыми домами с обустроенными придомовыми территориями, объектами первичного обслуживания и включает следующие зоны:</w:t>
      </w:r>
    </w:p>
    <w:bookmarkEnd w:id="111"/>
    <w:bookmarkStart w:name="z119" w:id="112"/>
    <w:p>
      <w:pPr>
        <w:spacing w:after="0"/>
        <w:ind w:left="0"/>
        <w:jc w:val="both"/>
      </w:pPr>
      <w:r>
        <w:rPr>
          <w:rFonts w:ascii="Times New Roman"/>
          <w:b w:val="false"/>
          <w:i w:val="false"/>
          <w:color w:val="000000"/>
          <w:sz w:val="28"/>
        </w:rPr>
        <w:t>
      усадебные и блокированные жилые дома;</w:t>
      </w:r>
    </w:p>
    <w:bookmarkEnd w:id="112"/>
    <w:bookmarkStart w:name="z120" w:id="113"/>
    <w:p>
      <w:pPr>
        <w:spacing w:after="0"/>
        <w:ind w:left="0"/>
        <w:jc w:val="both"/>
      </w:pPr>
      <w:r>
        <w:rPr>
          <w:rFonts w:ascii="Times New Roman"/>
          <w:b w:val="false"/>
          <w:i w:val="false"/>
          <w:color w:val="000000"/>
          <w:sz w:val="28"/>
        </w:rPr>
        <w:t>
      многоквартирные жилые дома до трех этажей;</w:t>
      </w:r>
    </w:p>
    <w:bookmarkEnd w:id="113"/>
    <w:bookmarkStart w:name="z121" w:id="114"/>
    <w:p>
      <w:pPr>
        <w:spacing w:after="0"/>
        <w:ind w:left="0"/>
        <w:jc w:val="both"/>
      </w:pPr>
      <w:r>
        <w:rPr>
          <w:rFonts w:ascii="Times New Roman"/>
          <w:b w:val="false"/>
          <w:i w:val="false"/>
          <w:color w:val="000000"/>
          <w:sz w:val="28"/>
        </w:rPr>
        <w:t>
      многоквартирные жилые дома в 4-5 этажей;</w:t>
      </w:r>
    </w:p>
    <w:bookmarkEnd w:id="114"/>
    <w:bookmarkStart w:name="z122" w:id="115"/>
    <w:p>
      <w:pPr>
        <w:spacing w:after="0"/>
        <w:ind w:left="0"/>
        <w:jc w:val="both"/>
      </w:pPr>
      <w:r>
        <w:rPr>
          <w:rFonts w:ascii="Times New Roman"/>
          <w:b w:val="false"/>
          <w:i w:val="false"/>
          <w:color w:val="000000"/>
          <w:sz w:val="28"/>
        </w:rPr>
        <w:t>
      многоквартирные жилые дома в 6-12 этажей.</w:t>
      </w:r>
    </w:p>
    <w:bookmarkEnd w:id="115"/>
    <w:bookmarkStart w:name="z123" w:id="116"/>
    <w:p>
      <w:pPr>
        <w:spacing w:after="0"/>
        <w:ind w:left="0"/>
        <w:jc w:val="both"/>
      </w:pPr>
      <w:r>
        <w:rPr>
          <w:rFonts w:ascii="Times New Roman"/>
          <w:b w:val="false"/>
          <w:i w:val="false"/>
          <w:color w:val="000000"/>
          <w:sz w:val="28"/>
        </w:rPr>
        <w:t>
      Жилые зоны ограничиваются главными магистральными и жилыми улицами города, организуя микрорайоны и кварталы.</w:t>
      </w:r>
    </w:p>
    <w:bookmarkEnd w:id="116"/>
    <w:bookmarkStart w:name="z124" w:id="117"/>
    <w:p>
      <w:pPr>
        <w:spacing w:after="0"/>
        <w:ind w:left="0"/>
        <w:jc w:val="both"/>
      </w:pPr>
      <w:r>
        <w:rPr>
          <w:rFonts w:ascii="Times New Roman"/>
          <w:b w:val="false"/>
          <w:i w:val="false"/>
          <w:color w:val="000000"/>
          <w:sz w:val="28"/>
        </w:rPr>
        <w:t>
      Общественная зона (общественно-деловая, общественный центр) является важнейшим структурообразующим элементом города, состоящим из объектов административного и общественного назначения, связанных между собой в единую систему. Данная зона предназначается для застройки объектами здравоохранения, культуры, торговли, общественного питания, бытового обслуживания, коммерческой деятельности, а также образовательных учреждений (среднего профессионального или высшего профессионального образования), административных, культовых зданий, деловых, финансовых и общественных центров.</w:t>
      </w:r>
    </w:p>
    <w:bookmarkEnd w:id="117"/>
    <w:bookmarkStart w:name="z125" w:id="118"/>
    <w:p>
      <w:pPr>
        <w:spacing w:after="0"/>
        <w:ind w:left="0"/>
        <w:jc w:val="both"/>
      </w:pPr>
      <w:r>
        <w:rPr>
          <w:rFonts w:ascii="Times New Roman"/>
          <w:b w:val="false"/>
          <w:i w:val="false"/>
          <w:color w:val="000000"/>
          <w:sz w:val="28"/>
        </w:rPr>
        <w:t>
      В общественно-деловых зонах возможно размещение гостиниц, подземных или многоярусных паркингов. На территории общественно-деловой зоны размещаются открытые стоянки транспорта при вышеперечисленных объектах, не требующих специальных мероприятий по санитарной и экологической защите.</w:t>
      </w:r>
    </w:p>
    <w:bookmarkEnd w:id="118"/>
    <w:bookmarkStart w:name="z126" w:id="119"/>
    <w:p>
      <w:pPr>
        <w:spacing w:after="0"/>
        <w:ind w:left="0"/>
        <w:jc w:val="both"/>
      </w:pPr>
      <w:r>
        <w:rPr>
          <w:rFonts w:ascii="Times New Roman"/>
          <w:b w:val="false"/>
          <w:i w:val="false"/>
          <w:color w:val="000000"/>
          <w:sz w:val="28"/>
        </w:rPr>
        <w:t>
      Производственные зоны предназначаются для размещения коммунальных, промышленных и складских объектов, обеспечивающих функционирование города. В производственную зону включаются территории санитарно-защитных зон самих объектов.</w:t>
      </w:r>
    </w:p>
    <w:bookmarkEnd w:id="119"/>
    <w:bookmarkStart w:name="z127" w:id="120"/>
    <w:p>
      <w:pPr>
        <w:spacing w:after="0"/>
        <w:ind w:left="0"/>
        <w:jc w:val="both"/>
      </w:pPr>
      <w:r>
        <w:rPr>
          <w:rFonts w:ascii="Times New Roman"/>
          <w:b w:val="false"/>
          <w:i w:val="false"/>
          <w:color w:val="000000"/>
          <w:sz w:val="28"/>
        </w:rPr>
        <w:t>
      Зоны инженерной и транспортной инфраструктуры предназначены для размещения и функционирования сооружений и коммуникаций железнодорожного, автомобильного, морского, воздушного транспорта, а также инженерного оборудования.</w:t>
      </w:r>
    </w:p>
    <w:bookmarkEnd w:id="120"/>
    <w:bookmarkStart w:name="z128" w:id="121"/>
    <w:p>
      <w:pPr>
        <w:spacing w:after="0"/>
        <w:ind w:left="0"/>
        <w:jc w:val="both"/>
      </w:pPr>
      <w:r>
        <w:rPr>
          <w:rFonts w:ascii="Times New Roman"/>
          <w:b w:val="false"/>
          <w:i w:val="false"/>
          <w:color w:val="000000"/>
          <w:sz w:val="28"/>
        </w:rPr>
        <w:t>
      Обязательное условие при размещении объектов инженерной и транспортной инфраструктуры – соблюдение необходимых расстояний от таких объектов до территорий жилых, общественно-деловых и рекреационных зон для предотвращения вредного воздействия на среду жизнедеятельности.</w:t>
      </w:r>
    </w:p>
    <w:bookmarkEnd w:id="121"/>
    <w:bookmarkStart w:name="z129" w:id="122"/>
    <w:p>
      <w:pPr>
        <w:spacing w:after="0"/>
        <w:ind w:left="0"/>
        <w:jc w:val="both"/>
      </w:pPr>
      <w:r>
        <w:rPr>
          <w:rFonts w:ascii="Times New Roman"/>
          <w:b w:val="false"/>
          <w:i w:val="false"/>
          <w:color w:val="000000"/>
          <w:sz w:val="28"/>
        </w:rPr>
        <w:t>
      Санитарно-защитная зона предназначается для обеспечения условий формирования экологически благоприятной среды жизнедеятельности населения. В пределах санитарно-защитной зоны ограничиваются или запрещаются те виды деятельности, которые не совместимы с целями установления зон.</w:t>
      </w:r>
    </w:p>
    <w:bookmarkEnd w:id="122"/>
    <w:bookmarkStart w:name="z130" w:id="123"/>
    <w:p>
      <w:pPr>
        <w:spacing w:after="0"/>
        <w:ind w:left="0"/>
        <w:jc w:val="both"/>
      </w:pPr>
      <w:r>
        <w:rPr>
          <w:rFonts w:ascii="Times New Roman"/>
          <w:b w:val="false"/>
          <w:i w:val="false"/>
          <w:color w:val="000000"/>
          <w:sz w:val="28"/>
        </w:rPr>
        <w:t>
      Рекреационные зоны в городах предназначены для организации мест отдыха населения (парки, сады, городские леса, пляжи и иные объекты) и создания благоприятного микроклимата на территории города, организации и обустройства мест отдыха населения, благоустроенных мест для прогулок населения.</w:t>
      </w:r>
    </w:p>
    <w:bookmarkEnd w:id="123"/>
    <w:bookmarkStart w:name="z131" w:id="124"/>
    <w:p>
      <w:pPr>
        <w:spacing w:after="0"/>
        <w:ind w:left="0"/>
        <w:jc w:val="both"/>
      </w:pPr>
      <w:r>
        <w:rPr>
          <w:rFonts w:ascii="Times New Roman"/>
          <w:b w:val="false"/>
          <w:i w:val="false"/>
          <w:color w:val="000000"/>
          <w:sz w:val="28"/>
        </w:rPr>
        <w:t>
      К рекреационным зонам города Актау относятся побережье Каспийского моря, парки и скверы, объекты отдыха, досуга и развлечений, туризма, гостиниц.</w:t>
      </w:r>
    </w:p>
    <w:bookmarkEnd w:id="124"/>
    <w:bookmarkStart w:name="z132" w:id="125"/>
    <w:p>
      <w:pPr>
        <w:spacing w:after="0"/>
        <w:ind w:left="0"/>
        <w:jc w:val="both"/>
      </w:pPr>
      <w:r>
        <w:rPr>
          <w:rFonts w:ascii="Times New Roman"/>
          <w:b w:val="false"/>
          <w:i w:val="false"/>
          <w:color w:val="000000"/>
          <w:sz w:val="28"/>
        </w:rPr>
        <w:t>
      На современном этапе в городе имеется дефицит зеленых насаждений общего пользования, который обусловлен отсутствием благоприятного почвенного покрова. Генеральным планом предлагается организация новых скверов и бульваров, озелененных площадок при общественных зданиях и зеленых насаждений вдоль магистральных улиц.</w:t>
      </w:r>
    </w:p>
    <w:bookmarkEnd w:id="125"/>
    <w:bookmarkStart w:name="z133" w:id="126"/>
    <w:p>
      <w:pPr>
        <w:spacing w:after="0"/>
        <w:ind w:left="0"/>
        <w:jc w:val="both"/>
      </w:pPr>
      <w:r>
        <w:rPr>
          <w:rFonts w:ascii="Times New Roman"/>
          <w:b w:val="false"/>
          <w:i w:val="false"/>
          <w:color w:val="000000"/>
          <w:sz w:val="28"/>
        </w:rPr>
        <w:t>
      Зоны специального назначения выделяются для размещения кладбищ, полигонов складирования бытовых отходов, скотомогильников и иных объектов, использование которых не совместимо с использованием в других территориальных зонах.</w:t>
      </w:r>
    </w:p>
    <w:bookmarkEnd w:id="126"/>
    <w:bookmarkStart w:name="z134" w:id="127"/>
    <w:p>
      <w:pPr>
        <w:spacing w:after="0"/>
        <w:ind w:left="0"/>
        <w:jc w:val="both"/>
      </w:pPr>
      <w:r>
        <w:rPr>
          <w:rFonts w:ascii="Times New Roman"/>
          <w:b w:val="false"/>
          <w:i w:val="false"/>
          <w:color w:val="000000"/>
          <w:sz w:val="28"/>
        </w:rPr>
        <w:t>
      Использование таких зон регламентируется требованиями специальных нормативов.</w:t>
      </w:r>
    </w:p>
    <w:bookmarkEnd w:id="127"/>
    <w:bookmarkStart w:name="z135" w:id="128"/>
    <w:p>
      <w:pPr>
        <w:spacing w:after="0"/>
        <w:ind w:left="0"/>
        <w:jc w:val="both"/>
      </w:pPr>
      <w:r>
        <w:rPr>
          <w:rFonts w:ascii="Times New Roman"/>
          <w:b w:val="false"/>
          <w:i w:val="false"/>
          <w:color w:val="000000"/>
          <w:sz w:val="28"/>
        </w:rPr>
        <w:t>
      К зонам специального назначения относятся также военные объекты и иные зоны режимных территорий, предназначенные для размещения объектов, в отношении которых устанавливается особый режим пользования.</w:t>
      </w:r>
    </w:p>
    <w:bookmarkEnd w:id="128"/>
    <w:bookmarkStart w:name="z136" w:id="129"/>
    <w:p>
      <w:pPr>
        <w:spacing w:after="0"/>
        <w:ind w:left="0"/>
        <w:jc w:val="both"/>
      </w:pPr>
      <w:r>
        <w:rPr>
          <w:rFonts w:ascii="Times New Roman"/>
          <w:b w:val="false"/>
          <w:i w:val="false"/>
          <w:color w:val="000000"/>
          <w:sz w:val="28"/>
        </w:rPr>
        <w:t>
      Санитарно-защитная зона – это специальная территория с особым режимом использования, которая устанавливается вокруг промышленных и коммунальных объектов, являющихся источниками неблагоприятного воздействия на среду обитания и здоровье человека. В Генеральном плане на основе анализа даны регламенты по использованию территорий санитарно-защитных зон, включая отселение населения из них.</w:t>
      </w:r>
    </w:p>
    <w:bookmarkEnd w:id="129"/>
    <w:bookmarkStart w:name="z137" w:id="130"/>
    <w:p>
      <w:pPr>
        <w:spacing w:after="0"/>
        <w:ind w:left="0"/>
        <w:jc w:val="left"/>
      </w:pPr>
      <w:r>
        <w:rPr>
          <w:rFonts w:ascii="Times New Roman"/>
          <w:b/>
          <w:i w:val="false"/>
          <w:color w:val="000000"/>
        </w:rPr>
        <w:t xml:space="preserve"> Параграф 2. Территориальное развитие города</w:t>
      </w:r>
    </w:p>
    <w:bookmarkEnd w:id="130"/>
    <w:bookmarkStart w:name="z138" w:id="131"/>
    <w:p>
      <w:pPr>
        <w:spacing w:after="0"/>
        <w:ind w:left="0"/>
        <w:jc w:val="both"/>
      </w:pPr>
      <w:r>
        <w:rPr>
          <w:rFonts w:ascii="Times New Roman"/>
          <w:b w:val="false"/>
          <w:i w:val="false"/>
          <w:color w:val="000000"/>
          <w:sz w:val="28"/>
        </w:rPr>
        <w:t xml:space="preserve">
      Территориальное развитие города Актау связано с осуществлением строительства прилегающих к существующей застройке земель в границах, определенных Генеральным планом. Территориальное развитие города будет осуществляться поэтапно. </w:t>
      </w:r>
    </w:p>
    <w:bookmarkEnd w:id="131"/>
    <w:bookmarkStart w:name="z139" w:id="132"/>
    <w:p>
      <w:pPr>
        <w:spacing w:after="0"/>
        <w:ind w:left="0"/>
        <w:jc w:val="both"/>
      </w:pPr>
      <w:r>
        <w:rPr>
          <w:rFonts w:ascii="Times New Roman"/>
          <w:b w:val="false"/>
          <w:i w:val="false"/>
          <w:color w:val="000000"/>
          <w:sz w:val="28"/>
        </w:rPr>
        <w:t xml:space="preserve">
      Территории первоочередного строительства жилья, объектов социального и общественного обслуживания, улично-дорожной сети и инженерной инфраструктуры составляют зону преобладающего освоения земель, использование которых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32"/>
    <w:bookmarkStart w:name="z140" w:id="133"/>
    <w:p>
      <w:pPr>
        <w:spacing w:after="0"/>
        <w:ind w:left="0"/>
        <w:jc w:val="both"/>
      </w:pPr>
      <w:r>
        <w:rPr>
          <w:rFonts w:ascii="Times New Roman"/>
          <w:b w:val="false"/>
          <w:i w:val="false"/>
          <w:color w:val="000000"/>
          <w:sz w:val="28"/>
        </w:rPr>
        <w:t>
      Строительство магистральных улиц, являющихся стратегически важными связующими элементами, изъятие земель осуществляются для государственных надобностей в соответствии с Земельным кодексом Республики Казахстан.</w:t>
      </w:r>
    </w:p>
    <w:bookmarkEnd w:id="133"/>
    <w:bookmarkStart w:name="z141" w:id="134"/>
    <w:p>
      <w:pPr>
        <w:spacing w:after="0"/>
        <w:ind w:left="0"/>
        <w:jc w:val="both"/>
      </w:pPr>
      <w:r>
        <w:rPr>
          <w:rFonts w:ascii="Times New Roman"/>
          <w:b w:val="false"/>
          <w:i w:val="false"/>
          <w:color w:val="000000"/>
          <w:sz w:val="28"/>
        </w:rPr>
        <w:t>
      Территории, освоение которых предусмотрено Генеральным планом на расчетный срок, относятся к зонам резервирования, где запрещается какое-либо строительство до начала градостроительного освоения данных территорий.</w:t>
      </w:r>
    </w:p>
    <w:bookmarkEnd w:id="134"/>
    <w:bookmarkStart w:name="z142" w:id="135"/>
    <w:p>
      <w:pPr>
        <w:spacing w:after="0"/>
        <w:ind w:left="0"/>
        <w:jc w:val="left"/>
      </w:pPr>
      <w:r>
        <w:rPr>
          <w:rFonts w:ascii="Times New Roman"/>
          <w:b/>
          <w:i w:val="false"/>
          <w:color w:val="000000"/>
        </w:rPr>
        <w:t xml:space="preserve"> Параграф 3. Общие градостроительные регламенты функциональных зон</w:t>
      </w:r>
    </w:p>
    <w:bookmarkEnd w:id="135"/>
    <w:bookmarkStart w:name="z143" w:id="136"/>
    <w:p>
      <w:pPr>
        <w:spacing w:after="0"/>
        <w:ind w:left="0"/>
        <w:jc w:val="both"/>
      </w:pPr>
      <w:r>
        <w:rPr>
          <w:rFonts w:ascii="Times New Roman"/>
          <w:b w:val="false"/>
          <w:i w:val="false"/>
          <w:color w:val="000000"/>
          <w:sz w:val="28"/>
        </w:rPr>
        <w:t>
      Для создания комфортного, безопасного и эстетически благоприятного пространства города, зон жилой застройки, общественно-делового назначения и индустриальных зон установлена система градостроительных регламентов.</w:t>
      </w:r>
    </w:p>
    <w:bookmarkEnd w:id="136"/>
    <w:bookmarkStart w:name="z144" w:id="137"/>
    <w:p>
      <w:pPr>
        <w:spacing w:after="0"/>
        <w:ind w:left="0"/>
        <w:jc w:val="both"/>
      </w:pPr>
      <w:r>
        <w:rPr>
          <w:rFonts w:ascii="Times New Roman"/>
          <w:b w:val="false"/>
          <w:i w:val="false"/>
          <w:color w:val="000000"/>
          <w:sz w:val="28"/>
        </w:rPr>
        <w:t>
      Основные градостроительные регламенты функциональных зон устанавливают параметры и ограничения использования территории и объектов.</w:t>
      </w:r>
    </w:p>
    <w:bookmarkEnd w:id="137"/>
    <w:bookmarkStart w:name="z145" w:id="138"/>
    <w:p>
      <w:pPr>
        <w:spacing w:after="0"/>
        <w:ind w:left="0"/>
        <w:jc w:val="both"/>
      </w:pPr>
      <w:r>
        <w:rPr>
          <w:rFonts w:ascii="Times New Roman"/>
          <w:b w:val="false"/>
          <w:i w:val="false"/>
          <w:color w:val="000000"/>
          <w:sz w:val="28"/>
        </w:rPr>
        <w:t>
      К основным регламентам застройки, которые необходимо соблюдать при реализации проектных решений Генерального плана, относятся:</w:t>
      </w:r>
    </w:p>
    <w:bookmarkEnd w:id="138"/>
    <w:bookmarkStart w:name="z146" w:id="139"/>
    <w:p>
      <w:pPr>
        <w:spacing w:after="0"/>
        <w:ind w:left="0"/>
        <w:jc w:val="both"/>
      </w:pPr>
      <w:r>
        <w:rPr>
          <w:rFonts w:ascii="Times New Roman"/>
          <w:b w:val="false"/>
          <w:i w:val="false"/>
          <w:color w:val="000000"/>
          <w:sz w:val="28"/>
        </w:rPr>
        <w:t>
      функциональное назначение;</w:t>
      </w:r>
    </w:p>
    <w:bookmarkEnd w:id="139"/>
    <w:bookmarkStart w:name="z147" w:id="140"/>
    <w:p>
      <w:pPr>
        <w:spacing w:after="0"/>
        <w:ind w:left="0"/>
        <w:jc w:val="both"/>
      </w:pPr>
      <w:r>
        <w:rPr>
          <w:rFonts w:ascii="Times New Roman"/>
          <w:b w:val="false"/>
          <w:i w:val="false"/>
          <w:color w:val="000000"/>
          <w:sz w:val="28"/>
        </w:rPr>
        <w:t>
      высота зданий и плотность застройки;</w:t>
      </w:r>
    </w:p>
    <w:bookmarkEnd w:id="140"/>
    <w:bookmarkStart w:name="z148" w:id="141"/>
    <w:p>
      <w:pPr>
        <w:spacing w:after="0"/>
        <w:ind w:left="0"/>
        <w:jc w:val="both"/>
      </w:pPr>
      <w:r>
        <w:rPr>
          <w:rFonts w:ascii="Times New Roman"/>
          <w:b w:val="false"/>
          <w:i w:val="false"/>
          <w:color w:val="000000"/>
          <w:sz w:val="28"/>
        </w:rPr>
        <w:t>
      красные линии улиц и дорог;</w:t>
      </w:r>
    </w:p>
    <w:bookmarkEnd w:id="141"/>
    <w:bookmarkStart w:name="z149" w:id="142"/>
    <w:p>
      <w:pPr>
        <w:spacing w:after="0"/>
        <w:ind w:left="0"/>
        <w:jc w:val="both"/>
      </w:pPr>
      <w:r>
        <w:rPr>
          <w:rFonts w:ascii="Times New Roman"/>
          <w:b w:val="false"/>
          <w:i w:val="false"/>
          <w:color w:val="000000"/>
          <w:sz w:val="28"/>
        </w:rPr>
        <w:t>
      линии регулирования застройки;</w:t>
      </w:r>
    </w:p>
    <w:bookmarkEnd w:id="142"/>
    <w:bookmarkStart w:name="z150" w:id="143"/>
    <w:p>
      <w:pPr>
        <w:spacing w:after="0"/>
        <w:ind w:left="0"/>
        <w:jc w:val="both"/>
      </w:pPr>
      <w:r>
        <w:rPr>
          <w:rFonts w:ascii="Times New Roman"/>
          <w:b w:val="false"/>
          <w:i w:val="false"/>
          <w:color w:val="000000"/>
          <w:sz w:val="28"/>
        </w:rPr>
        <w:t>
      водоохранные полосы и зоны;</w:t>
      </w:r>
    </w:p>
    <w:bookmarkEnd w:id="143"/>
    <w:bookmarkStart w:name="z151" w:id="144"/>
    <w:p>
      <w:pPr>
        <w:spacing w:after="0"/>
        <w:ind w:left="0"/>
        <w:jc w:val="both"/>
      </w:pPr>
      <w:r>
        <w:rPr>
          <w:rFonts w:ascii="Times New Roman"/>
          <w:b w:val="false"/>
          <w:i w:val="false"/>
          <w:color w:val="000000"/>
          <w:sz w:val="28"/>
        </w:rPr>
        <w:t>
      линии охранных зон инженерных сетей и сооружений и другие.</w:t>
      </w:r>
    </w:p>
    <w:bookmarkEnd w:id="144"/>
    <w:bookmarkStart w:name="z152" w:id="145"/>
    <w:p>
      <w:pPr>
        <w:spacing w:after="0"/>
        <w:ind w:left="0"/>
        <w:jc w:val="both"/>
      </w:pPr>
      <w:r>
        <w:rPr>
          <w:rFonts w:ascii="Times New Roman"/>
          <w:b w:val="false"/>
          <w:i w:val="false"/>
          <w:color w:val="000000"/>
          <w:sz w:val="28"/>
        </w:rPr>
        <w:t>
      Каждая функционально-градостроительная зона по использованию территорий имеет свое целевое назначение и может быть использована на перспективу строго в рамках данного целевого назначения и границах данной функциональной зоны.</w:t>
      </w:r>
    </w:p>
    <w:bookmarkEnd w:id="145"/>
    <w:bookmarkStart w:name="z153" w:id="146"/>
    <w:p>
      <w:pPr>
        <w:spacing w:after="0"/>
        <w:ind w:left="0"/>
        <w:jc w:val="both"/>
      </w:pPr>
      <w:r>
        <w:rPr>
          <w:rFonts w:ascii="Times New Roman"/>
          <w:b w:val="false"/>
          <w:i w:val="false"/>
          <w:color w:val="000000"/>
          <w:sz w:val="28"/>
        </w:rPr>
        <w:t>
      В зонах могут быть предусмотрены участки, сопутствующие основной функции объектов в определенных пропорциях.</w:t>
      </w:r>
    </w:p>
    <w:bookmarkEnd w:id="146"/>
    <w:bookmarkStart w:name="z154" w:id="147"/>
    <w:p>
      <w:pPr>
        <w:spacing w:after="0"/>
        <w:ind w:left="0"/>
        <w:jc w:val="left"/>
      </w:pPr>
      <w:r>
        <w:rPr>
          <w:rFonts w:ascii="Times New Roman"/>
          <w:b/>
          <w:i w:val="false"/>
          <w:color w:val="000000"/>
        </w:rPr>
        <w:t xml:space="preserve"> Глава 8. Пространственная организация территории</w:t>
      </w:r>
    </w:p>
    <w:bookmarkEnd w:id="147"/>
    <w:bookmarkStart w:name="z155" w:id="148"/>
    <w:p>
      <w:pPr>
        <w:spacing w:after="0"/>
        <w:ind w:left="0"/>
        <w:jc w:val="both"/>
      </w:pPr>
      <w:r>
        <w:rPr>
          <w:rFonts w:ascii="Times New Roman"/>
          <w:b w:val="false"/>
          <w:i w:val="false"/>
          <w:color w:val="000000"/>
          <w:sz w:val="28"/>
        </w:rPr>
        <w:t>
      В основу архитектурно-планировочной организации селитебной территории города в Генеральном плане заложены следующие принципы:</w:t>
      </w:r>
    </w:p>
    <w:bookmarkEnd w:id="148"/>
    <w:bookmarkStart w:name="z156" w:id="149"/>
    <w:p>
      <w:pPr>
        <w:spacing w:after="0"/>
        <w:ind w:left="0"/>
        <w:jc w:val="both"/>
      </w:pPr>
      <w:r>
        <w:rPr>
          <w:rFonts w:ascii="Times New Roman"/>
          <w:b w:val="false"/>
          <w:i w:val="false"/>
          <w:color w:val="000000"/>
          <w:sz w:val="28"/>
        </w:rPr>
        <w:t>
      создание к концу расчетного срока комплексного городского организма, имеющего логическую композиционную целостность и единую планировочную структуру;</w:t>
      </w:r>
    </w:p>
    <w:bookmarkEnd w:id="149"/>
    <w:bookmarkStart w:name="z157" w:id="150"/>
    <w:p>
      <w:pPr>
        <w:spacing w:after="0"/>
        <w:ind w:left="0"/>
        <w:jc w:val="both"/>
      </w:pPr>
      <w:r>
        <w:rPr>
          <w:rFonts w:ascii="Times New Roman"/>
          <w:b w:val="false"/>
          <w:i w:val="false"/>
          <w:color w:val="000000"/>
          <w:sz w:val="28"/>
        </w:rPr>
        <w:t>
      максимальное использование и учет сложившейся планировочной структуры существующего города с сохранением ценного капитального жилищного фонда, общественных зданий, зданий культурно-бытового назначения и зеленых насаждений;</w:t>
      </w:r>
    </w:p>
    <w:bookmarkEnd w:id="150"/>
    <w:bookmarkStart w:name="z158" w:id="151"/>
    <w:p>
      <w:pPr>
        <w:spacing w:after="0"/>
        <w:ind w:left="0"/>
        <w:jc w:val="both"/>
      </w:pPr>
      <w:r>
        <w:rPr>
          <w:rFonts w:ascii="Times New Roman"/>
          <w:b w:val="false"/>
          <w:i w:val="false"/>
          <w:color w:val="000000"/>
          <w:sz w:val="28"/>
        </w:rPr>
        <w:t>
      дальнейшее формирование и совершенствование транспортной сети города, обеспечивающей доставку трудящихся к местам приложения труда и общественным центрам города, жилым районам, промышленно-производственным районам;</w:t>
      </w:r>
    </w:p>
    <w:bookmarkEnd w:id="151"/>
    <w:bookmarkStart w:name="z159" w:id="152"/>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и ветрозащитными полосами зеленых насаждений, способствующих улучшению микроклиматических условий в городе.</w:t>
      </w:r>
    </w:p>
    <w:bookmarkEnd w:id="152"/>
    <w:bookmarkStart w:name="z160" w:id="153"/>
    <w:p>
      <w:pPr>
        <w:spacing w:after="0"/>
        <w:ind w:left="0"/>
        <w:jc w:val="both"/>
      </w:pPr>
      <w:r>
        <w:rPr>
          <w:rFonts w:ascii="Times New Roman"/>
          <w:b w:val="false"/>
          <w:i w:val="false"/>
          <w:color w:val="000000"/>
          <w:sz w:val="28"/>
        </w:rPr>
        <w:t>
      Развитие города на перспективу будет осуществляться в северо-западном направлении вдоль побережья Каспийского моря.</w:t>
      </w:r>
    </w:p>
    <w:bookmarkEnd w:id="153"/>
    <w:bookmarkStart w:name="z161" w:id="154"/>
    <w:p>
      <w:pPr>
        <w:spacing w:after="0"/>
        <w:ind w:left="0"/>
        <w:jc w:val="both"/>
      </w:pPr>
      <w:r>
        <w:rPr>
          <w:rFonts w:ascii="Times New Roman"/>
          <w:b w:val="false"/>
          <w:i w:val="false"/>
          <w:color w:val="000000"/>
          <w:sz w:val="28"/>
        </w:rPr>
        <w:t>
      Город имеет четкое укрупненное функциональное членение на селитебную промышленно-производственную зоны. Данное зонирование сохраняется и на перспективу. Селитебная зона развивается в северо-западном направлении, промышленно-производственная зона сохраняется с южной стороны. Для создания новых мест приложения труда с восточной стороны вдоль автодороги Актау – Форт-Шевченко создаются производственно-деловые зоны № 9, № 10, № 11.</w:t>
      </w:r>
    </w:p>
    <w:bookmarkEnd w:id="154"/>
    <w:bookmarkStart w:name="z162" w:id="155"/>
    <w:p>
      <w:pPr>
        <w:spacing w:after="0"/>
        <w:ind w:left="0"/>
        <w:jc w:val="both"/>
      </w:pPr>
      <w:r>
        <w:rPr>
          <w:rFonts w:ascii="Times New Roman"/>
          <w:b w:val="false"/>
          <w:i w:val="false"/>
          <w:color w:val="000000"/>
          <w:sz w:val="28"/>
        </w:rPr>
        <w:t>
      Согласно Генеральному плану вся селитебная территория формируется в виде трех планировочных зон с формированием полицентричной структуры. Территории вдоль новых городских планировочных осей будут застроены преимущественно жилыми многоэтажными домами с объектами обслуживания, создавая крупные общественные центры вдоль основных магистралей.</w:t>
      </w:r>
    </w:p>
    <w:bookmarkEnd w:id="155"/>
    <w:bookmarkStart w:name="z163" w:id="156"/>
    <w:p>
      <w:pPr>
        <w:spacing w:after="0"/>
        <w:ind w:left="0"/>
        <w:jc w:val="both"/>
      </w:pPr>
      <w:r>
        <w:rPr>
          <w:rFonts w:ascii="Times New Roman"/>
          <w:b w:val="false"/>
          <w:i w:val="false"/>
          <w:color w:val="000000"/>
          <w:sz w:val="28"/>
        </w:rPr>
        <w:t>
      Применение различной этажности, чередование разных видов застройки, цвета, масштабности, открытых и закрытых пространств – эти архитектурные приемы должны создать эстетический облик примагистральных территорий, разнообразить застройку города.</w:t>
      </w:r>
    </w:p>
    <w:bookmarkEnd w:id="156"/>
    <w:bookmarkStart w:name="z164" w:id="157"/>
    <w:p>
      <w:pPr>
        <w:spacing w:after="0"/>
        <w:ind w:left="0"/>
        <w:jc w:val="both"/>
      </w:pPr>
      <w:r>
        <w:rPr>
          <w:rFonts w:ascii="Times New Roman"/>
          <w:b w:val="false"/>
          <w:i w:val="false"/>
          <w:color w:val="000000"/>
          <w:sz w:val="28"/>
        </w:rPr>
        <w:t>
      Территория ранее используемой резиденции формируется как общественно-рекреационный планировочный район. На данной территории предусматривается формирование жилой, административно-деловой и рекреационной застройки. Предлагается по оси центральной части района создание широкой озелененной зоны с аллеями, каскадом фонтанов, устройством видовых площадок. Линейный парк с современным благоустройством, множеством игровых, спортивных площадок будет иметь выход к морю. По ее периметру будут располагаться административно-деловые здания, объекты обслуживания, кафе, рестораны и магазины.</w:t>
      </w:r>
    </w:p>
    <w:bookmarkEnd w:id="157"/>
    <w:bookmarkStart w:name="z165" w:id="158"/>
    <w:p>
      <w:pPr>
        <w:spacing w:after="0"/>
        <w:ind w:left="0"/>
        <w:jc w:val="both"/>
      </w:pPr>
      <w:r>
        <w:rPr>
          <w:rFonts w:ascii="Times New Roman"/>
          <w:b w:val="false"/>
          <w:i w:val="false"/>
          <w:color w:val="000000"/>
          <w:sz w:val="28"/>
        </w:rPr>
        <w:t>
      Территории вдоль береговой полосы в городе рассматриваются как преимущественно рекреационная зона с меньшей плотностью застройки и сетью озелененных территорий, объектами общественного питания и развлекательного характера. Предусматривается благоустройство набережной с пляжами, с организацией пешеходных и велосипедных дорожек, беседок, детских и спортивных объектов.</w:t>
      </w:r>
    </w:p>
    <w:bookmarkEnd w:id="158"/>
    <w:bookmarkStart w:name="z166" w:id="159"/>
    <w:p>
      <w:pPr>
        <w:spacing w:after="0"/>
        <w:ind w:left="0"/>
        <w:jc w:val="both"/>
      </w:pPr>
      <w:r>
        <w:rPr>
          <w:rFonts w:ascii="Times New Roman"/>
          <w:b w:val="false"/>
          <w:i w:val="false"/>
          <w:color w:val="000000"/>
          <w:sz w:val="28"/>
        </w:rPr>
        <w:t>
      Существующая, благоустроенная часть города, застроенная многоэтажными жилыми домами с объектами обслуживания, не подвергается значительной реконструкции, за исключением микрорайонов постройки 1958-1965 годов.</w:t>
      </w:r>
    </w:p>
    <w:bookmarkEnd w:id="159"/>
    <w:bookmarkStart w:name="z167" w:id="160"/>
    <w:p>
      <w:pPr>
        <w:spacing w:after="0"/>
        <w:ind w:left="0"/>
        <w:jc w:val="both"/>
      </w:pPr>
      <w:r>
        <w:rPr>
          <w:rFonts w:ascii="Times New Roman"/>
          <w:b w:val="false"/>
          <w:i w:val="false"/>
          <w:color w:val="000000"/>
          <w:sz w:val="28"/>
        </w:rPr>
        <w:t>
      В существующих микрорайонах появятся лишь отдельные жилые и общественные комплексы, формирующие основные планировочные узлы.</w:t>
      </w:r>
    </w:p>
    <w:bookmarkEnd w:id="160"/>
    <w:bookmarkStart w:name="z168" w:id="161"/>
    <w:p>
      <w:pPr>
        <w:spacing w:after="0"/>
        <w:ind w:left="0"/>
        <w:jc w:val="both"/>
      </w:pPr>
      <w:r>
        <w:rPr>
          <w:rFonts w:ascii="Times New Roman"/>
          <w:b w:val="false"/>
          <w:i w:val="false"/>
          <w:color w:val="000000"/>
          <w:sz w:val="28"/>
        </w:rPr>
        <w:t>
      Реконструкции подлежит 2-х–3-х-этажная застройка в 3-м микрорайоне.</w:t>
      </w:r>
    </w:p>
    <w:bookmarkEnd w:id="161"/>
    <w:bookmarkStart w:name="z169" w:id="162"/>
    <w:p>
      <w:pPr>
        <w:spacing w:after="0"/>
        <w:ind w:left="0"/>
        <w:jc w:val="both"/>
      </w:pPr>
      <w:r>
        <w:rPr>
          <w:rFonts w:ascii="Times New Roman"/>
          <w:b w:val="false"/>
          <w:i w:val="false"/>
          <w:color w:val="000000"/>
          <w:sz w:val="28"/>
        </w:rPr>
        <w:t>
      Основной тип жилой застройки предлагается среднеэтажный.</w:t>
      </w:r>
    </w:p>
    <w:bookmarkEnd w:id="162"/>
    <w:bookmarkStart w:name="z170" w:id="163"/>
    <w:p>
      <w:pPr>
        <w:spacing w:after="0"/>
        <w:ind w:left="0"/>
        <w:jc w:val="left"/>
      </w:pPr>
      <w:r>
        <w:rPr>
          <w:rFonts w:ascii="Times New Roman"/>
          <w:b/>
          <w:i w:val="false"/>
          <w:color w:val="000000"/>
        </w:rPr>
        <w:t xml:space="preserve"> Глава 9. Организация системы озелененных пространств</w:t>
      </w:r>
    </w:p>
    <w:bookmarkEnd w:id="163"/>
    <w:bookmarkStart w:name="z171" w:id="164"/>
    <w:p>
      <w:pPr>
        <w:spacing w:after="0"/>
        <w:ind w:left="0"/>
        <w:jc w:val="both"/>
      </w:pPr>
      <w:r>
        <w:rPr>
          <w:rFonts w:ascii="Times New Roman"/>
          <w:b w:val="false"/>
          <w:i w:val="false"/>
          <w:color w:val="000000"/>
          <w:sz w:val="28"/>
        </w:rPr>
        <w:t>
      Предлагаемая система организации озелененных пространств основана на перспективных архитектурно-планировочных решениях с учетом сложных почвенно-грунтовых условий, особенностей рельефа и обеспечения регулярного полива.</w:t>
      </w:r>
    </w:p>
    <w:bookmarkEnd w:id="164"/>
    <w:bookmarkStart w:name="z172" w:id="165"/>
    <w:p>
      <w:pPr>
        <w:spacing w:after="0"/>
        <w:ind w:left="0"/>
        <w:jc w:val="both"/>
      </w:pPr>
      <w:r>
        <w:rPr>
          <w:rFonts w:ascii="Times New Roman"/>
          <w:b w:val="false"/>
          <w:i w:val="false"/>
          <w:color w:val="000000"/>
          <w:sz w:val="28"/>
        </w:rPr>
        <w:t>
      Основная концепция организации озелененных пространств рассматриваемой территории – создание зеленого каркаса, который формируется прибрежной полосой Каспийского моря, который связывается с внутригородским пространством сетью перпендикулярных и продольных бульваров, парками и скверами, формируя единую систему озелененных пространств.</w:t>
      </w:r>
    </w:p>
    <w:bookmarkEnd w:id="165"/>
    <w:bookmarkStart w:name="z173" w:id="166"/>
    <w:p>
      <w:pPr>
        <w:spacing w:after="0"/>
        <w:ind w:left="0"/>
        <w:jc w:val="both"/>
      </w:pPr>
      <w:r>
        <w:rPr>
          <w:rFonts w:ascii="Times New Roman"/>
          <w:b w:val="false"/>
          <w:i w:val="false"/>
          <w:color w:val="000000"/>
          <w:sz w:val="28"/>
        </w:rPr>
        <w:t>
      Особое значение приобретает создание зеленых полос вдоль проезжей части и зеленых зон вокруг промышленных предприятий.</w:t>
      </w:r>
    </w:p>
    <w:bookmarkEnd w:id="166"/>
    <w:bookmarkStart w:name="z174" w:id="167"/>
    <w:p>
      <w:pPr>
        <w:spacing w:after="0"/>
        <w:ind w:left="0"/>
        <w:jc w:val="left"/>
      </w:pPr>
      <w:r>
        <w:rPr>
          <w:rFonts w:ascii="Times New Roman"/>
          <w:b/>
          <w:i w:val="false"/>
          <w:color w:val="000000"/>
        </w:rPr>
        <w:t xml:space="preserve"> Глава 10. Охрана памятников историко-культурного наследия</w:t>
      </w:r>
    </w:p>
    <w:bookmarkEnd w:id="167"/>
    <w:bookmarkStart w:name="z175" w:id="168"/>
    <w:p>
      <w:pPr>
        <w:spacing w:after="0"/>
        <w:ind w:left="0"/>
        <w:jc w:val="both"/>
      </w:pPr>
      <w:r>
        <w:rPr>
          <w:rFonts w:ascii="Times New Roman"/>
          <w:b w:val="false"/>
          <w:i w:val="false"/>
          <w:color w:val="000000"/>
          <w:sz w:val="28"/>
        </w:rPr>
        <w:t>
      На территории города Актау имеются памятники, обелиски, декоративные элементы, которые стоят на площадях, на замыкании улиц, бульваров, в парковой зоне и создают своеобразные тематические места.</w:t>
      </w:r>
    </w:p>
    <w:bookmarkEnd w:id="168"/>
    <w:bookmarkStart w:name="z176" w:id="169"/>
    <w:p>
      <w:pPr>
        <w:spacing w:after="0"/>
        <w:ind w:left="0"/>
        <w:jc w:val="both"/>
      </w:pPr>
      <w:r>
        <w:rPr>
          <w:rFonts w:ascii="Times New Roman"/>
          <w:b w:val="false"/>
          <w:i w:val="false"/>
          <w:color w:val="000000"/>
          <w:sz w:val="28"/>
        </w:rPr>
        <w:t>
      В городе Актау расположены два памятника истории и культуры местного значения, это:</w:t>
      </w:r>
    </w:p>
    <w:bookmarkEnd w:id="169"/>
    <w:bookmarkStart w:name="z177" w:id="170"/>
    <w:p>
      <w:pPr>
        <w:spacing w:after="0"/>
        <w:ind w:left="0"/>
        <w:jc w:val="both"/>
      </w:pPr>
      <w:r>
        <w:rPr>
          <w:rFonts w:ascii="Times New Roman"/>
          <w:b w:val="false"/>
          <w:i w:val="false"/>
          <w:color w:val="000000"/>
          <w:sz w:val="28"/>
        </w:rPr>
        <w:t>
      памятник Тарасу Григорьевичу Шевченко (1982 года постройки), являющийся сооружением монументального искусства;</w:t>
      </w:r>
    </w:p>
    <w:bookmarkEnd w:id="170"/>
    <w:bookmarkStart w:name="z178" w:id="171"/>
    <w:p>
      <w:pPr>
        <w:spacing w:after="0"/>
        <w:ind w:left="0"/>
        <w:jc w:val="both"/>
      </w:pPr>
      <w:r>
        <w:rPr>
          <w:rFonts w:ascii="Times New Roman"/>
          <w:b w:val="false"/>
          <w:i w:val="false"/>
          <w:color w:val="000000"/>
          <w:sz w:val="28"/>
        </w:rPr>
        <w:t>
      здание первого зимнего клуба города Актау (1961 года постройки), являющееся памятником градостроительства и архитектуры.</w:t>
      </w:r>
    </w:p>
    <w:bookmarkEnd w:id="171"/>
    <w:bookmarkStart w:name="z179" w:id="172"/>
    <w:p>
      <w:pPr>
        <w:spacing w:after="0"/>
        <w:ind w:left="0"/>
        <w:jc w:val="both"/>
      </w:pPr>
      <w:r>
        <w:rPr>
          <w:rFonts w:ascii="Times New Roman"/>
          <w:b w:val="false"/>
          <w:i w:val="false"/>
          <w:color w:val="000000"/>
          <w:sz w:val="28"/>
        </w:rPr>
        <w:t>
      Также имеются места историко-археологического назначения, которые преобразуются в рекреационно-зеленые зоны для посещения туристов.</w:t>
      </w:r>
    </w:p>
    <w:bookmarkEnd w:id="172"/>
    <w:bookmarkStart w:name="z180" w:id="173"/>
    <w:p>
      <w:pPr>
        <w:spacing w:after="0"/>
        <w:ind w:left="0"/>
        <w:jc w:val="left"/>
      </w:pPr>
      <w:r>
        <w:rPr>
          <w:rFonts w:ascii="Times New Roman"/>
          <w:b/>
          <w:i w:val="false"/>
          <w:color w:val="000000"/>
        </w:rPr>
        <w:t xml:space="preserve"> Глава 11. Транспортная инфраструктура и улично-дорожная сеть города</w:t>
      </w:r>
    </w:p>
    <w:bookmarkEnd w:id="173"/>
    <w:bookmarkStart w:name="z181" w:id="174"/>
    <w:p>
      <w:pPr>
        <w:spacing w:after="0"/>
        <w:ind w:left="0"/>
        <w:jc w:val="both"/>
      </w:pPr>
      <w:r>
        <w:rPr>
          <w:rFonts w:ascii="Times New Roman"/>
          <w:b w:val="false"/>
          <w:i w:val="false"/>
          <w:color w:val="000000"/>
          <w:sz w:val="28"/>
        </w:rPr>
        <w:t xml:space="preserve">
      Город Актау является стратегическим транспортным узлом в системе международных транспортных коридоров ТРАСЕКА и "Север-Юг", соединяющих Восточную Европу с Центральной Азией и Северную Европу со странами Персидского залива. Транспортно-коммуникационная система города представлена всеми современными видами транспорта. </w:t>
      </w:r>
    </w:p>
    <w:bookmarkEnd w:id="174"/>
    <w:bookmarkStart w:name="z182" w:id="175"/>
    <w:p>
      <w:pPr>
        <w:spacing w:after="0"/>
        <w:ind w:left="0"/>
        <w:jc w:val="both"/>
      </w:pPr>
      <w:r>
        <w:rPr>
          <w:rFonts w:ascii="Times New Roman"/>
          <w:b w:val="false"/>
          <w:i w:val="false"/>
          <w:color w:val="000000"/>
          <w:sz w:val="28"/>
        </w:rPr>
        <w:t>
      Развитие транспортной инфраструктуры также обусловлено ростом численности населения, развитием промышленно-производственной и социальной инфраструктуры города.</w:t>
      </w:r>
    </w:p>
    <w:bookmarkEnd w:id="175"/>
    <w:bookmarkStart w:name="z183" w:id="176"/>
    <w:p>
      <w:pPr>
        <w:spacing w:after="0"/>
        <w:ind w:left="0"/>
        <w:jc w:val="both"/>
      </w:pPr>
      <w:r>
        <w:rPr>
          <w:rFonts w:ascii="Times New Roman"/>
          <w:b w:val="false"/>
          <w:i w:val="false"/>
          <w:color w:val="000000"/>
          <w:sz w:val="28"/>
        </w:rPr>
        <w:t>
      Внешние транспортно-экономические связи города Актау обеспечиваются морским, воздушным, железнодорожным и автомобильным транспортом.</w:t>
      </w:r>
    </w:p>
    <w:bookmarkEnd w:id="176"/>
    <w:bookmarkStart w:name="z184" w:id="177"/>
    <w:p>
      <w:pPr>
        <w:spacing w:after="0"/>
        <w:ind w:left="0"/>
        <w:jc w:val="both"/>
      </w:pPr>
      <w:r>
        <w:rPr>
          <w:rFonts w:ascii="Times New Roman"/>
          <w:b w:val="false"/>
          <w:i w:val="false"/>
          <w:color w:val="000000"/>
          <w:sz w:val="28"/>
        </w:rPr>
        <w:t>
      Морской транспорт представлен АО "Национальная компания "Актауский морской торговый порт" и АО "НМСК "Казмортрансфлот", основной деятельностью которых является перевалка нефти через арендованные нефтеналивные причалы зафрахтованными танкерами.</w:t>
      </w:r>
    </w:p>
    <w:bookmarkEnd w:id="177"/>
    <w:bookmarkStart w:name="z185" w:id="178"/>
    <w:p>
      <w:pPr>
        <w:spacing w:after="0"/>
        <w:ind w:left="0"/>
        <w:jc w:val="both"/>
      </w:pPr>
      <w:r>
        <w:rPr>
          <w:rFonts w:ascii="Times New Roman"/>
          <w:b w:val="false"/>
          <w:i w:val="false"/>
          <w:color w:val="000000"/>
          <w:sz w:val="28"/>
        </w:rPr>
        <w:t>
      Актауский морской торговый порт, являющийся основой транспортного комплекса Мангистауской области, занимает особое место в транспортной инфраструктуре Казахстана. Согласно Программе дальнейшего развития Международного центра приграничного сотрудничества "Хоргос" морской порт Актау определен как стратегический порт-регулятор в структуре Единого Среднеазиатского транспортно-промышленного коридора.</w:t>
      </w:r>
    </w:p>
    <w:bookmarkEnd w:id="178"/>
    <w:bookmarkStart w:name="z186" w:id="179"/>
    <w:p>
      <w:pPr>
        <w:spacing w:after="0"/>
        <w:ind w:left="0"/>
        <w:jc w:val="both"/>
      </w:pPr>
      <w:r>
        <w:rPr>
          <w:rFonts w:ascii="Times New Roman"/>
          <w:b w:val="false"/>
          <w:i w:val="false"/>
          <w:color w:val="000000"/>
          <w:sz w:val="28"/>
        </w:rPr>
        <w:t>
      Воздушный транспорт, осуществляющий большой объем перевозок грузов, почты и пассажиров, обслуживается авиапредприятием АО "Международный аэропорт Актау" и филиалом "Район организации воздушного движения РГП "Казаэронавигация". Базовым аэропортом является аэропорт Актау, расположенный в 21 км к северу-востоку от города.</w:t>
      </w:r>
    </w:p>
    <w:bookmarkEnd w:id="179"/>
    <w:bookmarkStart w:name="z187" w:id="180"/>
    <w:p>
      <w:pPr>
        <w:spacing w:after="0"/>
        <w:ind w:left="0"/>
        <w:jc w:val="both"/>
      </w:pPr>
      <w:r>
        <w:rPr>
          <w:rFonts w:ascii="Times New Roman"/>
          <w:b w:val="false"/>
          <w:i w:val="false"/>
          <w:color w:val="000000"/>
          <w:sz w:val="28"/>
        </w:rPr>
        <w:t>
      Международный аэропорт города Актау, введенный в эксплуатацию в 1983 году, входит в международный аэропорт 3-го класса. Согласно пункту 2. 2 НГЭА РК аэродром Актау относится к классу "В". Кодовое обозначение аэродрома по международным стандартам ИКАО - "4D". Типы обслуживающих самолетов – Ан-124 "Руслан", В-767, В-757 и другие типы самолетов классами ниже.</w:t>
      </w:r>
    </w:p>
    <w:bookmarkEnd w:id="180"/>
    <w:bookmarkStart w:name="z188" w:id="181"/>
    <w:p>
      <w:pPr>
        <w:spacing w:after="0"/>
        <w:ind w:left="0"/>
        <w:jc w:val="both"/>
      </w:pPr>
      <w:r>
        <w:rPr>
          <w:rFonts w:ascii="Times New Roman"/>
          <w:b w:val="false"/>
          <w:i w:val="false"/>
          <w:color w:val="000000"/>
          <w:sz w:val="28"/>
        </w:rPr>
        <w:t>
      На территории аэропорта предполагаются формирование современной гостиничной сервисной инфраструктуры, строительство торговых и бизнес-центров, создание специализированных центров для работы туроператоров. Намечается формирование транспортно-логистического центра в составе свободной экономической зоны "Морской порт Актау".</w:t>
      </w:r>
    </w:p>
    <w:bookmarkEnd w:id="181"/>
    <w:bookmarkStart w:name="z189" w:id="182"/>
    <w:p>
      <w:pPr>
        <w:spacing w:after="0"/>
        <w:ind w:left="0"/>
        <w:jc w:val="both"/>
      </w:pPr>
      <w:r>
        <w:rPr>
          <w:rFonts w:ascii="Times New Roman"/>
          <w:b w:val="false"/>
          <w:i w:val="false"/>
          <w:color w:val="000000"/>
          <w:sz w:val="28"/>
        </w:rPr>
        <w:t>
      Железнодорожный транспорт</w:t>
      </w:r>
    </w:p>
    <w:bookmarkEnd w:id="182"/>
    <w:bookmarkStart w:name="z190" w:id="183"/>
    <w:p>
      <w:pPr>
        <w:spacing w:after="0"/>
        <w:ind w:left="0"/>
        <w:jc w:val="both"/>
      </w:pPr>
      <w:r>
        <w:rPr>
          <w:rFonts w:ascii="Times New Roman"/>
          <w:b w:val="false"/>
          <w:i w:val="false"/>
          <w:color w:val="000000"/>
          <w:sz w:val="28"/>
        </w:rPr>
        <w:t>
      Магистральная железнодорожная линия проходит с восточной стороны города Актау в села Мангистау, где имеется пассажирский вокзал 3-го класса на 450 пассажиров. Село Мангистау находится в 15 км от центра города.</w:t>
      </w:r>
    </w:p>
    <w:bookmarkEnd w:id="183"/>
    <w:bookmarkStart w:name="z191" w:id="184"/>
    <w:p>
      <w:pPr>
        <w:spacing w:after="0"/>
        <w:ind w:left="0"/>
        <w:jc w:val="both"/>
      </w:pPr>
      <w:r>
        <w:rPr>
          <w:rFonts w:ascii="Times New Roman"/>
          <w:b w:val="false"/>
          <w:i w:val="false"/>
          <w:color w:val="000000"/>
          <w:sz w:val="28"/>
        </w:rPr>
        <w:t>
      Участок железной дороги "станции Мангистау – морпорт Актау", протяженностью 18 км, обеспечивает внутризаводские перевозки грузов и пассажиров по подъездным путям, подачу и уборку вагонов, расположенных на этом участке, на промышленные предприятия области.</w:t>
      </w:r>
    </w:p>
    <w:bookmarkEnd w:id="184"/>
    <w:bookmarkStart w:name="z192" w:id="185"/>
    <w:p>
      <w:pPr>
        <w:spacing w:after="0"/>
        <w:ind w:left="0"/>
        <w:jc w:val="both"/>
      </w:pPr>
      <w:r>
        <w:rPr>
          <w:rFonts w:ascii="Times New Roman"/>
          <w:b w:val="false"/>
          <w:i w:val="false"/>
          <w:color w:val="000000"/>
          <w:sz w:val="28"/>
        </w:rPr>
        <w:t>
      Дальнейшее развитие морпорта Актау позволит увеличить объемы грузоперевозок на ж/д участке "станции Мангистау – морпорт Актау", в связи с чем предполагается строительство новых железнодорожных веток в направлении СЭЗ "Морской порт Актау" и других объектов промышленной зоны. В связи с дефицитом территорий в районе существующей станции Мангистау Генеральным планом предусматривается строительство нового железнодорожного комплекса в районе села Баянды.</w:t>
      </w:r>
    </w:p>
    <w:bookmarkEnd w:id="185"/>
    <w:bookmarkStart w:name="z193" w:id="186"/>
    <w:p>
      <w:pPr>
        <w:spacing w:after="0"/>
        <w:ind w:left="0"/>
        <w:jc w:val="both"/>
      </w:pPr>
      <w:r>
        <w:rPr>
          <w:rFonts w:ascii="Times New Roman"/>
          <w:b w:val="false"/>
          <w:i w:val="false"/>
          <w:color w:val="000000"/>
          <w:sz w:val="28"/>
        </w:rPr>
        <w:t>
      Автомобильный транспорт. За последние годы на территории города Актау наблюдается значительный рост автомобилизации, увеличились объемы грузооборота и пассажироперевозок.</w:t>
      </w:r>
    </w:p>
    <w:bookmarkEnd w:id="186"/>
    <w:bookmarkStart w:name="z194" w:id="187"/>
    <w:p>
      <w:pPr>
        <w:spacing w:after="0"/>
        <w:ind w:left="0"/>
        <w:jc w:val="both"/>
      </w:pPr>
      <w:r>
        <w:rPr>
          <w:rFonts w:ascii="Times New Roman"/>
          <w:b w:val="false"/>
          <w:i w:val="false"/>
          <w:color w:val="000000"/>
          <w:sz w:val="28"/>
        </w:rPr>
        <w:t>
      Пассажирские перевозки из города Актау осуществляются по всем направлениям – в город Жанаозен, город Форт-Шевченко, село Шетпе, село Бейнеу и другие населенные пункты. Грузовые перевозки ориентированы в основном на внутренний рынок города Актау и Мунайлинского района.</w:t>
      </w:r>
    </w:p>
    <w:bookmarkEnd w:id="187"/>
    <w:bookmarkStart w:name="z195" w:id="188"/>
    <w:p>
      <w:pPr>
        <w:spacing w:after="0"/>
        <w:ind w:left="0"/>
        <w:jc w:val="both"/>
      </w:pPr>
      <w:r>
        <w:rPr>
          <w:rFonts w:ascii="Times New Roman"/>
          <w:b w:val="false"/>
          <w:i w:val="false"/>
          <w:color w:val="000000"/>
          <w:sz w:val="28"/>
        </w:rPr>
        <w:t>
      Основная доля в объеме пассажирских и грузовых перевозок осуществляется специализированными транспортными организациями и частными предпринимателями. В настоящее время в города Актау зарегистрировано 32 специализированных транспортных предприятия различной формы собственности, которые заняты коммерческими перевозками.</w:t>
      </w:r>
    </w:p>
    <w:bookmarkEnd w:id="188"/>
    <w:bookmarkStart w:name="z196" w:id="189"/>
    <w:p>
      <w:pPr>
        <w:spacing w:after="0"/>
        <w:ind w:left="0"/>
        <w:jc w:val="both"/>
      </w:pPr>
      <w:r>
        <w:rPr>
          <w:rFonts w:ascii="Times New Roman"/>
          <w:b w:val="false"/>
          <w:i w:val="false"/>
          <w:color w:val="000000"/>
          <w:sz w:val="28"/>
        </w:rPr>
        <w:t>
      В системе городского автотранспорта перевозка пассажиров по городу осуществляется автобусами и такси (частные владельцы).</w:t>
      </w:r>
    </w:p>
    <w:bookmarkEnd w:id="189"/>
    <w:bookmarkStart w:name="z197" w:id="190"/>
    <w:p>
      <w:pPr>
        <w:spacing w:after="0"/>
        <w:ind w:left="0"/>
        <w:jc w:val="both"/>
      </w:pPr>
      <w:r>
        <w:rPr>
          <w:rFonts w:ascii="Times New Roman"/>
          <w:b w:val="false"/>
          <w:i w:val="false"/>
          <w:color w:val="000000"/>
          <w:sz w:val="28"/>
        </w:rPr>
        <w:t>
      В перспективе ожидается увеличение грузопотока в основном за счет активизации строительства новых объектов производства и жилых массивов.</w:t>
      </w:r>
    </w:p>
    <w:bookmarkEnd w:id="190"/>
    <w:bookmarkStart w:name="z198" w:id="191"/>
    <w:p>
      <w:pPr>
        <w:spacing w:after="0"/>
        <w:ind w:left="0"/>
        <w:jc w:val="both"/>
      </w:pPr>
      <w:r>
        <w:rPr>
          <w:rFonts w:ascii="Times New Roman"/>
          <w:b w:val="false"/>
          <w:i w:val="false"/>
          <w:color w:val="000000"/>
          <w:sz w:val="28"/>
        </w:rPr>
        <w:t>
      Генеральным планом предлагаются новые маршруты внутригородского пассажирского транспорта, связывающие районы перспективного строительства с существующей частью города и промышленной зоной. Они проложены таким образом, что новые линии транспорта являются продолжением существующих линий.</w:t>
      </w:r>
    </w:p>
    <w:bookmarkEnd w:id="191"/>
    <w:bookmarkStart w:name="z199" w:id="192"/>
    <w:p>
      <w:pPr>
        <w:spacing w:after="0"/>
        <w:ind w:left="0"/>
        <w:jc w:val="both"/>
      </w:pPr>
      <w:r>
        <w:rPr>
          <w:rFonts w:ascii="Times New Roman"/>
          <w:b w:val="false"/>
          <w:i w:val="false"/>
          <w:color w:val="000000"/>
          <w:sz w:val="28"/>
        </w:rPr>
        <w:t>
      Автомобильные дороги республиканского и областного значения связывают Актау с городами и поселками Мангистауской области, смежными областями и сопредельными государствами.</w:t>
      </w:r>
    </w:p>
    <w:bookmarkEnd w:id="192"/>
    <w:bookmarkStart w:name="z200" w:id="193"/>
    <w:p>
      <w:pPr>
        <w:spacing w:after="0"/>
        <w:ind w:left="0"/>
        <w:jc w:val="both"/>
      </w:pPr>
      <w:r>
        <w:rPr>
          <w:rFonts w:ascii="Times New Roman"/>
          <w:b w:val="false"/>
          <w:i w:val="false"/>
          <w:color w:val="000000"/>
          <w:sz w:val="28"/>
        </w:rPr>
        <w:t>
      Сеть улиц и дорог.</w:t>
      </w:r>
    </w:p>
    <w:bookmarkEnd w:id="193"/>
    <w:bookmarkStart w:name="z201" w:id="194"/>
    <w:p>
      <w:pPr>
        <w:spacing w:after="0"/>
        <w:ind w:left="0"/>
        <w:jc w:val="both"/>
      </w:pPr>
      <w:r>
        <w:rPr>
          <w:rFonts w:ascii="Times New Roman"/>
          <w:b w:val="false"/>
          <w:i w:val="false"/>
          <w:color w:val="000000"/>
          <w:sz w:val="28"/>
        </w:rPr>
        <w:t>
      Построение улично-дорожной сети на перспективу предусмотрено с учетом существующей сети и развивающейся планировочной структуры города.</w:t>
      </w:r>
    </w:p>
    <w:bookmarkEnd w:id="194"/>
    <w:bookmarkStart w:name="z202" w:id="195"/>
    <w:p>
      <w:pPr>
        <w:spacing w:after="0"/>
        <w:ind w:left="0"/>
        <w:jc w:val="both"/>
      </w:pPr>
      <w:r>
        <w:rPr>
          <w:rFonts w:ascii="Times New Roman"/>
          <w:b w:val="false"/>
          <w:i w:val="false"/>
          <w:color w:val="000000"/>
          <w:sz w:val="28"/>
        </w:rPr>
        <w:t xml:space="preserve">
      Проектом определена регулярная планировочная структура города с продольными и поперечными магистральными улицами, взаимосвязанная с существующей улично-дорожной сетью. </w:t>
      </w:r>
    </w:p>
    <w:bookmarkEnd w:id="195"/>
    <w:bookmarkStart w:name="z203" w:id="196"/>
    <w:p>
      <w:pPr>
        <w:spacing w:after="0"/>
        <w:ind w:left="0"/>
        <w:jc w:val="both"/>
      </w:pPr>
      <w:r>
        <w:rPr>
          <w:rFonts w:ascii="Times New Roman"/>
          <w:b w:val="false"/>
          <w:i w:val="false"/>
          <w:color w:val="000000"/>
          <w:sz w:val="28"/>
        </w:rPr>
        <w:t>
      Классификация улично-дорожной сети принята с учетом разработанных проектов:</w:t>
      </w:r>
    </w:p>
    <w:bookmarkEnd w:id="196"/>
    <w:bookmarkStart w:name="z204" w:id="197"/>
    <w:p>
      <w:pPr>
        <w:spacing w:after="0"/>
        <w:ind w:left="0"/>
        <w:jc w:val="both"/>
      </w:pPr>
      <w:r>
        <w:rPr>
          <w:rFonts w:ascii="Times New Roman"/>
          <w:b w:val="false"/>
          <w:i w:val="false"/>
          <w:color w:val="000000"/>
          <w:sz w:val="28"/>
        </w:rPr>
        <w:t>
      внешние автомобильные дороги;</w:t>
      </w:r>
    </w:p>
    <w:bookmarkEnd w:id="197"/>
    <w:bookmarkStart w:name="z205" w:id="198"/>
    <w:p>
      <w:pPr>
        <w:spacing w:after="0"/>
        <w:ind w:left="0"/>
        <w:jc w:val="both"/>
      </w:pPr>
      <w:r>
        <w:rPr>
          <w:rFonts w:ascii="Times New Roman"/>
          <w:b w:val="false"/>
          <w:i w:val="false"/>
          <w:color w:val="000000"/>
          <w:sz w:val="28"/>
        </w:rPr>
        <w:t>
      магистральные улицы общегородского значения регулируемого движения;</w:t>
      </w:r>
    </w:p>
    <w:bookmarkEnd w:id="198"/>
    <w:bookmarkStart w:name="z206" w:id="199"/>
    <w:p>
      <w:pPr>
        <w:spacing w:after="0"/>
        <w:ind w:left="0"/>
        <w:jc w:val="both"/>
      </w:pPr>
      <w:r>
        <w:rPr>
          <w:rFonts w:ascii="Times New Roman"/>
          <w:b w:val="false"/>
          <w:i w:val="false"/>
          <w:color w:val="000000"/>
          <w:sz w:val="28"/>
        </w:rPr>
        <w:t>
      магистральные улицы районного значения;</w:t>
      </w:r>
    </w:p>
    <w:bookmarkEnd w:id="199"/>
    <w:bookmarkStart w:name="z207" w:id="200"/>
    <w:p>
      <w:pPr>
        <w:spacing w:after="0"/>
        <w:ind w:left="0"/>
        <w:jc w:val="both"/>
      </w:pPr>
      <w:r>
        <w:rPr>
          <w:rFonts w:ascii="Times New Roman"/>
          <w:b w:val="false"/>
          <w:i w:val="false"/>
          <w:color w:val="000000"/>
          <w:sz w:val="28"/>
        </w:rPr>
        <w:t>
      улицы и дороги местного значения (улицы в жилой застройке, парковые и промышленные дороги).</w:t>
      </w:r>
    </w:p>
    <w:bookmarkEnd w:id="200"/>
    <w:bookmarkStart w:name="z208" w:id="201"/>
    <w:p>
      <w:pPr>
        <w:spacing w:after="0"/>
        <w:ind w:left="0"/>
        <w:jc w:val="both"/>
      </w:pPr>
      <w:r>
        <w:rPr>
          <w:rFonts w:ascii="Times New Roman"/>
          <w:b w:val="false"/>
          <w:i w:val="false"/>
          <w:color w:val="000000"/>
          <w:sz w:val="28"/>
        </w:rPr>
        <w:t>
      Внешние дороги.</w:t>
      </w:r>
    </w:p>
    <w:bookmarkEnd w:id="201"/>
    <w:bookmarkStart w:name="z209" w:id="202"/>
    <w:p>
      <w:pPr>
        <w:spacing w:after="0"/>
        <w:ind w:left="0"/>
        <w:jc w:val="both"/>
      </w:pPr>
      <w:r>
        <w:rPr>
          <w:rFonts w:ascii="Times New Roman"/>
          <w:b w:val="false"/>
          <w:i w:val="false"/>
          <w:color w:val="000000"/>
          <w:sz w:val="28"/>
        </w:rPr>
        <w:t>
      В настоящее время внешними являются автодороги в направлении на город Форт-Шевченко и аэропорт в северо-западной части, на село Шетпе – в северо-восточной части, на город Жанаозен и село Курык – в юго-восточной части города.</w:t>
      </w:r>
    </w:p>
    <w:bookmarkEnd w:id="202"/>
    <w:bookmarkStart w:name="z210" w:id="203"/>
    <w:p>
      <w:pPr>
        <w:spacing w:after="0"/>
        <w:ind w:left="0"/>
        <w:jc w:val="both"/>
      </w:pPr>
      <w:r>
        <w:rPr>
          <w:rFonts w:ascii="Times New Roman"/>
          <w:b w:val="false"/>
          <w:i w:val="false"/>
          <w:color w:val="000000"/>
          <w:sz w:val="28"/>
        </w:rPr>
        <w:t>
      В перспективе проектом намечается обводная автодорога скоростного движения в восточной части города, которая обеспечит пропуск транзитных грузовых потоков от морского порта до железнодорожной станции и аэропорта с выходом на существующую трассу "Актау – Форт-Шевченко", исключая движение транспорта по селитебной территории.</w:t>
      </w:r>
    </w:p>
    <w:bookmarkEnd w:id="203"/>
    <w:bookmarkStart w:name="z211" w:id="204"/>
    <w:p>
      <w:pPr>
        <w:spacing w:after="0"/>
        <w:ind w:left="0"/>
        <w:jc w:val="both"/>
      </w:pPr>
      <w:r>
        <w:rPr>
          <w:rFonts w:ascii="Times New Roman"/>
          <w:b w:val="false"/>
          <w:i w:val="false"/>
          <w:color w:val="000000"/>
          <w:sz w:val="28"/>
        </w:rPr>
        <w:t>
      Перспективная улично-дорожная сеть города</w:t>
      </w:r>
    </w:p>
    <w:bookmarkEnd w:id="204"/>
    <w:bookmarkStart w:name="z212" w:id="205"/>
    <w:p>
      <w:pPr>
        <w:spacing w:after="0"/>
        <w:ind w:left="0"/>
        <w:jc w:val="both"/>
      </w:pPr>
      <w:r>
        <w:rPr>
          <w:rFonts w:ascii="Times New Roman"/>
          <w:b w:val="false"/>
          <w:i w:val="false"/>
          <w:color w:val="000000"/>
          <w:sz w:val="28"/>
        </w:rPr>
        <w:t>
      Улично-дорожная сеть города спроектирована в виде непрерывной системы с учетом функционального назначения улиц и дорог, интенсивности транспортного, пешеходного движения, архитектурно-планировочной организации территории и характера застройки. В составе улично-дорожной сети выделены улицы и дороги магистрального и местного значения, а также главная улица.</w:t>
      </w:r>
    </w:p>
    <w:bookmarkEnd w:id="205"/>
    <w:bookmarkStart w:name="z213" w:id="206"/>
    <w:p>
      <w:pPr>
        <w:spacing w:after="0"/>
        <w:ind w:left="0"/>
        <w:jc w:val="both"/>
      </w:pPr>
      <w:r>
        <w:rPr>
          <w:rFonts w:ascii="Times New Roman"/>
          <w:b w:val="false"/>
          <w:i w:val="false"/>
          <w:color w:val="000000"/>
          <w:sz w:val="28"/>
        </w:rPr>
        <w:t xml:space="preserve">
      Главной улицей в старой части города является проспект Назарбаева. Новая главная магистральная улица общегородского значения, являющаяся продолжением проспекта Назарбаева, параллельно береговой линии проходит через новый общегородской центр, между микрорайонами 40 и 41 и выходит на пересечение автомагистрали "Актау – Форт-Шевченко" с автодорогой на аэропорт. Данная магистраль становится "хребтовой" улицей и станет своеобразными "въездными воротами" в город со стороны аэропорта. На всем ее протяжении предполагается застраивать улицу высотными жилыми комплексами, гостиницами и деловыми домами, торговыми и общественно-культурными зданиями. </w:t>
      </w:r>
    </w:p>
    <w:bookmarkEnd w:id="206"/>
    <w:bookmarkStart w:name="z214" w:id="207"/>
    <w:p>
      <w:pPr>
        <w:spacing w:after="0"/>
        <w:ind w:left="0"/>
        <w:jc w:val="both"/>
      </w:pPr>
      <w:r>
        <w:rPr>
          <w:rFonts w:ascii="Times New Roman"/>
          <w:b w:val="false"/>
          <w:i w:val="false"/>
          <w:color w:val="000000"/>
          <w:sz w:val="28"/>
        </w:rPr>
        <w:t>
      Параллельно "меридиональной" оси в северо-западном направлении предусмотрена прокладка ряда новых улиц. Прежде всего, это две магистрали общегородского значения регулируемого движения. Одна из них является проходит вдоль берега, обрамляя город со стороны моря. Вторая, восточная магистральная улица приходит в селитебную территорию из промзоны, соединяя центры районного обслуживания. Проходя через промышленную зону, данная магистральная улица имеет выход на обводную кольцевую автодорогу. Эти магистрали образуют своеобразное внутреннее транспортное кольцо.</w:t>
      </w:r>
    </w:p>
    <w:bookmarkEnd w:id="207"/>
    <w:bookmarkStart w:name="z215" w:id="208"/>
    <w:p>
      <w:pPr>
        <w:spacing w:after="0"/>
        <w:ind w:left="0"/>
        <w:jc w:val="both"/>
      </w:pPr>
      <w:r>
        <w:rPr>
          <w:rFonts w:ascii="Times New Roman"/>
          <w:b w:val="false"/>
          <w:i w:val="false"/>
          <w:color w:val="000000"/>
          <w:sz w:val="28"/>
        </w:rPr>
        <w:t>
      Поперечные улицы осуществляют связь прибрежной рекреационной зоны по направлению к магистрали – "Актау – Форт-Шевченко" и связывают жилые районы с новыми производственно-промышленными зонами № 8, № 9, № 10.</w:t>
      </w:r>
    </w:p>
    <w:bookmarkEnd w:id="208"/>
    <w:bookmarkStart w:name="z216" w:id="209"/>
    <w:p>
      <w:pPr>
        <w:spacing w:after="0"/>
        <w:ind w:left="0"/>
        <w:jc w:val="both"/>
      </w:pPr>
      <w:r>
        <w:rPr>
          <w:rFonts w:ascii="Times New Roman"/>
          <w:b w:val="false"/>
          <w:i w:val="false"/>
          <w:color w:val="000000"/>
          <w:sz w:val="28"/>
        </w:rPr>
        <w:t>
      Пересечения магистральных улиц общегородского значения с наиболее затрудненными ж/д путями и проектируемой обводной магистралью решены в разных уровнях, для чего предлагается строительство транспортных развязок. Пересечения остальных магистральных улиц между собой ввиду незначительной их загрузки решены в одном уровне по типу регулируемых перекрестков.</w:t>
      </w:r>
    </w:p>
    <w:bookmarkEnd w:id="209"/>
    <w:bookmarkStart w:name="z217" w:id="210"/>
    <w:p>
      <w:pPr>
        <w:spacing w:after="0"/>
        <w:ind w:left="0"/>
        <w:jc w:val="left"/>
      </w:pPr>
      <w:r>
        <w:rPr>
          <w:rFonts w:ascii="Times New Roman"/>
          <w:b/>
          <w:i w:val="false"/>
          <w:color w:val="000000"/>
        </w:rPr>
        <w:t xml:space="preserve"> Глава 12. Инженерная инфраструктура</w:t>
      </w:r>
    </w:p>
    <w:bookmarkEnd w:id="210"/>
    <w:bookmarkStart w:name="z218" w:id="211"/>
    <w:p>
      <w:pPr>
        <w:spacing w:after="0"/>
        <w:ind w:left="0"/>
        <w:jc w:val="left"/>
      </w:pPr>
      <w:r>
        <w:rPr>
          <w:rFonts w:ascii="Times New Roman"/>
          <w:b/>
          <w:i w:val="false"/>
          <w:color w:val="000000"/>
        </w:rPr>
        <w:t xml:space="preserve"> Параграф 1. Водоснабжение</w:t>
      </w:r>
    </w:p>
    <w:bookmarkEnd w:id="211"/>
    <w:bookmarkStart w:name="z219" w:id="212"/>
    <w:p>
      <w:pPr>
        <w:spacing w:after="0"/>
        <w:ind w:left="0"/>
        <w:jc w:val="both"/>
      </w:pPr>
      <w:r>
        <w:rPr>
          <w:rFonts w:ascii="Times New Roman"/>
          <w:b w:val="false"/>
          <w:i w:val="false"/>
          <w:color w:val="000000"/>
          <w:sz w:val="28"/>
        </w:rPr>
        <w:t>
      Современное состояние</w:t>
      </w:r>
    </w:p>
    <w:bookmarkEnd w:id="212"/>
    <w:bookmarkStart w:name="z220" w:id="213"/>
    <w:p>
      <w:pPr>
        <w:spacing w:after="0"/>
        <w:ind w:left="0"/>
        <w:jc w:val="both"/>
      </w:pPr>
      <w:r>
        <w:rPr>
          <w:rFonts w:ascii="Times New Roman"/>
          <w:b w:val="false"/>
          <w:i w:val="false"/>
          <w:color w:val="000000"/>
          <w:sz w:val="28"/>
        </w:rPr>
        <w:t>
      На территории города Актау отсутствуют источники пресной воды. Ближайшее месторождение подземных вод для города Актау – месторождение слабоминерализованных подземных вод Куюлус-Меловое (Кайлыс-Меловое).</w:t>
      </w:r>
    </w:p>
    <w:bookmarkEnd w:id="213"/>
    <w:bookmarkStart w:name="z221" w:id="214"/>
    <w:p>
      <w:pPr>
        <w:spacing w:after="0"/>
        <w:ind w:left="0"/>
        <w:jc w:val="both"/>
      </w:pPr>
      <w:r>
        <w:rPr>
          <w:rFonts w:ascii="Times New Roman"/>
          <w:b w:val="false"/>
          <w:i w:val="false"/>
          <w:color w:val="000000"/>
          <w:sz w:val="28"/>
        </w:rPr>
        <w:t>
      Источниками водоснабжения являются:</w:t>
      </w:r>
    </w:p>
    <w:bookmarkEnd w:id="214"/>
    <w:bookmarkStart w:name="z222" w:id="215"/>
    <w:p>
      <w:pPr>
        <w:spacing w:after="0"/>
        <w:ind w:left="0"/>
        <w:jc w:val="both"/>
      </w:pPr>
      <w:r>
        <w:rPr>
          <w:rFonts w:ascii="Times New Roman"/>
          <w:b w:val="false"/>
          <w:i w:val="false"/>
          <w:color w:val="000000"/>
          <w:sz w:val="28"/>
        </w:rPr>
        <w:t>
      опресненная морская вода (52,4 %) – установки ТОО "Мангистауский атомный энергетический комбинат" (далее ТОО "МАЭК") и ТОО "Опреснительный завод "Каспий", производящие питьевую воду путем опреснения морской воды из Каспийского моря;</w:t>
      </w:r>
    </w:p>
    <w:bookmarkEnd w:id="215"/>
    <w:bookmarkStart w:name="z223" w:id="216"/>
    <w:p>
      <w:pPr>
        <w:spacing w:after="0"/>
        <w:ind w:left="0"/>
        <w:jc w:val="both"/>
      </w:pPr>
      <w:r>
        <w:rPr>
          <w:rFonts w:ascii="Times New Roman"/>
          <w:b w:val="false"/>
          <w:i w:val="false"/>
          <w:color w:val="000000"/>
          <w:sz w:val="28"/>
        </w:rPr>
        <w:t>
      волжская вода (12,5 %), доставляемая водоводом "Астрахань – Мангышлак" в Мангистауский регион;</w:t>
      </w:r>
    </w:p>
    <w:bookmarkEnd w:id="216"/>
    <w:bookmarkStart w:name="z224" w:id="217"/>
    <w:p>
      <w:pPr>
        <w:spacing w:after="0"/>
        <w:ind w:left="0"/>
        <w:jc w:val="both"/>
      </w:pPr>
      <w:r>
        <w:rPr>
          <w:rFonts w:ascii="Times New Roman"/>
          <w:b w:val="false"/>
          <w:i w:val="false"/>
          <w:color w:val="000000"/>
          <w:sz w:val="28"/>
        </w:rPr>
        <w:t>
      подземные воды (35,1 %) – за счет эксплуатации подземных вод.</w:t>
      </w:r>
    </w:p>
    <w:bookmarkEnd w:id="217"/>
    <w:bookmarkStart w:name="z225" w:id="218"/>
    <w:p>
      <w:pPr>
        <w:spacing w:after="0"/>
        <w:ind w:left="0"/>
        <w:jc w:val="both"/>
      </w:pPr>
      <w:r>
        <w:rPr>
          <w:rFonts w:ascii="Times New Roman"/>
          <w:b w:val="false"/>
          <w:i w:val="false"/>
          <w:color w:val="000000"/>
          <w:sz w:val="28"/>
        </w:rPr>
        <w:t>
      В городе Актау функционируют три раздельные системы водоснабжения: питьевого, объединенного технического и противопожарного, горячего водоснабжения. По данным ГКП "Каспий жылу су арнасы" объемы водопотребления и водоотведения на 2023 год составили: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Актау,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пляж,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 w:id="219"/>
    <w:p>
      <w:pPr>
        <w:spacing w:after="0"/>
        <w:ind w:left="0"/>
        <w:jc w:val="both"/>
      </w:pPr>
      <w:r>
        <w:rPr>
          <w:rFonts w:ascii="Times New Roman"/>
          <w:b w:val="false"/>
          <w:i w:val="false"/>
          <w:color w:val="000000"/>
          <w:sz w:val="28"/>
        </w:rPr>
        <w:t>
      Протяженность водопроводных сетей составляет 318.3 км.</w:t>
      </w:r>
    </w:p>
    <w:bookmarkEnd w:id="219"/>
    <w:bookmarkStart w:name="z227" w:id="220"/>
    <w:p>
      <w:pPr>
        <w:spacing w:after="0"/>
        <w:ind w:left="0"/>
        <w:jc w:val="both"/>
      </w:pPr>
      <w:r>
        <w:rPr>
          <w:rFonts w:ascii="Times New Roman"/>
          <w:b w:val="false"/>
          <w:i w:val="false"/>
          <w:color w:val="000000"/>
          <w:sz w:val="28"/>
        </w:rPr>
        <w:t>
      Проектные предложения</w:t>
      </w:r>
    </w:p>
    <w:bookmarkEnd w:id="220"/>
    <w:bookmarkStart w:name="z228" w:id="221"/>
    <w:p>
      <w:pPr>
        <w:spacing w:after="0"/>
        <w:ind w:left="0"/>
        <w:jc w:val="both"/>
      </w:pPr>
      <w:r>
        <w:rPr>
          <w:rFonts w:ascii="Times New Roman"/>
          <w:b w:val="false"/>
          <w:i w:val="false"/>
          <w:color w:val="000000"/>
          <w:sz w:val="28"/>
        </w:rPr>
        <w:t>
      В городе Актау на перспективу принята централизованная система водоснабжения с тремя раздельными системами водоснабжения: питьевого, объединенного технического и противопожарного, горячего водоснабжения.</w:t>
      </w:r>
    </w:p>
    <w:bookmarkEnd w:id="221"/>
    <w:bookmarkStart w:name="z229" w:id="222"/>
    <w:p>
      <w:pPr>
        <w:spacing w:after="0"/>
        <w:ind w:left="0"/>
        <w:jc w:val="both"/>
      </w:pPr>
      <w:r>
        <w:rPr>
          <w:rFonts w:ascii="Times New Roman"/>
          <w:b w:val="false"/>
          <w:i w:val="false"/>
          <w:color w:val="000000"/>
          <w:sz w:val="28"/>
        </w:rPr>
        <w:t>
      Генеральным планом на расчетный срок сложившаяся принципиальная схема водоснабжения города Актау сохраняется.</w:t>
      </w:r>
    </w:p>
    <w:bookmarkEnd w:id="222"/>
    <w:bookmarkStart w:name="z230" w:id="223"/>
    <w:p>
      <w:pPr>
        <w:spacing w:after="0"/>
        <w:ind w:left="0"/>
        <w:jc w:val="both"/>
      </w:pPr>
      <w:r>
        <w:rPr>
          <w:rFonts w:ascii="Times New Roman"/>
          <w:b w:val="false"/>
          <w:i w:val="false"/>
          <w:color w:val="000000"/>
          <w:sz w:val="28"/>
        </w:rPr>
        <w:t>
      Для бесперебойного обеспечения города Актау и прилегающих населенных пунктов питьевой водой планируется реализовать следующие проекты:</w:t>
      </w:r>
    </w:p>
    <w:bookmarkEnd w:id="223"/>
    <w:bookmarkStart w:name="z231" w:id="224"/>
    <w:p>
      <w:pPr>
        <w:spacing w:after="0"/>
        <w:ind w:left="0"/>
        <w:jc w:val="both"/>
      </w:pPr>
      <w:r>
        <w:rPr>
          <w:rFonts w:ascii="Times New Roman"/>
          <w:b w:val="false"/>
          <w:i w:val="false"/>
          <w:color w:val="000000"/>
          <w:sz w:val="28"/>
        </w:rPr>
        <w:t>
      строительство опреснительных установок производительностью 24 000 м</w:t>
      </w:r>
      <w:r>
        <w:rPr>
          <w:rFonts w:ascii="Times New Roman"/>
          <w:b w:val="false"/>
          <w:i w:val="false"/>
          <w:color w:val="000000"/>
          <w:vertAlign w:val="superscript"/>
        </w:rPr>
        <w:t>3</w:t>
      </w:r>
      <w:r>
        <w:rPr>
          <w:rFonts w:ascii="Times New Roman"/>
          <w:b w:val="false"/>
          <w:i w:val="false"/>
          <w:color w:val="000000"/>
          <w:sz w:val="28"/>
        </w:rPr>
        <w:t>/сут методом обратного осмоса на территории ТОО "МАЭК";</w:t>
      </w:r>
    </w:p>
    <w:bookmarkEnd w:id="224"/>
    <w:bookmarkStart w:name="z232" w:id="225"/>
    <w:p>
      <w:pPr>
        <w:spacing w:after="0"/>
        <w:ind w:left="0"/>
        <w:jc w:val="both"/>
      </w:pPr>
      <w:r>
        <w:rPr>
          <w:rFonts w:ascii="Times New Roman"/>
          <w:b w:val="false"/>
          <w:i w:val="false"/>
          <w:color w:val="000000"/>
          <w:sz w:val="28"/>
        </w:rPr>
        <w:t>
      строительство опреснительных установок производительностью 6000 м</w:t>
      </w:r>
      <w:r>
        <w:rPr>
          <w:rFonts w:ascii="Times New Roman"/>
          <w:b w:val="false"/>
          <w:i w:val="false"/>
          <w:color w:val="000000"/>
          <w:vertAlign w:val="superscript"/>
        </w:rPr>
        <w:t>3</w:t>
      </w:r>
      <w:r>
        <w:rPr>
          <w:rFonts w:ascii="Times New Roman"/>
          <w:b w:val="false"/>
          <w:i w:val="false"/>
          <w:color w:val="000000"/>
          <w:sz w:val="28"/>
        </w:rPr>
        <w:t>/сут на территории ЦУВС-2 ТОО "МАЭК";</w:t>
      </w:r>
    </w:p>
    <w:bookmarkEnd w:id="225"/>
    <w:bookmarkStart w:name="z233" w:id="226"/>
    <w:p>
      <w:pPr>
        <w:spacing w:after="0"/>
        <w:ind w:left="0"/>
        <w:jc w:val="both"/>
      </w:pPr>
      <w:r>
        <w:rPr>
          <w:rFonts w:ascii="Times New Roman"/>
          <w:b w:val="false"/>
          <w:i w:val="false"/>
          <w:color w:val="000000"/>
          <w:sz w:val="28"/>
        </w:rPr>
        <w:t>
      замена дистилляционной опреснительной установки производительностью 4000 м</w:t>
      </w:r>
      <w:r>
        <w:rPr>
          <w:rFonts w:ascii="Times New Roman"/>
          <w:b w:val="false"/>
          <w:i w:val="false"/>
          <w:color w:val="000000"/>
          <w:vertAlign w:val="superscript"/>
        </w:rPr>
        <w:t>3</w:t>
      </w:r>
      <w:r>
        <w:rPr>
          <w:rFonts w:ascii="Times New Roman"/>
          <w:b w:val="false"/>
          <w:i w:val="false"/>
          <w:color w:val="000000"/>
          <w:sz w:val="28"/>
        </w:rPr>
        <w:t>/сут на территории ТОО "МАЭК";</w:t>
      </w:r>
    </w:p>
    <w:bookmarkEnd w:id="226"/>
    <w:bookmarkStart w:name="z234" w:id="227"/>
    <w:p>
      <w:pPr>
        <w:spacing w:after="0"/>
        <w:ind w:left="0"/>
        <w:jc w:val="both"/>
      </w:pPr>
      <w:r>
        <w:rPr>
          <w:rFonts w:ascii="Times New Roman"/>
          <w:b w:val="false"/>
          <w:i w:val="false"/>
          <w:color w:val="000000"/>
          <w:sz w:val="28"/>
        </w:rPr>
        <w:t>
      строительство опреснительного завода в городе Актау производительностью до 8000 м</w:t>
      </w:r>
      <w:r>
        <w:rPr>
          <w:rFonts w:ascii="Times New Roman"/>
          <w:b w:val="false"/>
          <w:i w:val="false"/>
          <w:color w:val="000000"/>
          <w:vertAlign w:val="superscript"/>
        </w:rPr>
        <w:t>3</w:t>
      </w:r>
      <w:r>
        <w:rPr>
          <w:rFonts w:ascii="Times New Roman"/>
          <w:b w:val="false"/>
          <w:i w:val="false"/>
          <w:color w:val="000000"/>
          <w:sz w:val="28"/>
        </w:rPr>
        <w:t>/сут воды.</w:t>
      </w:r>
    </w:p>
    <w:bookmarkEnd w:id="227"/>
    <w:bookmarkStart w:name="z235" w:id="228"/>
    <w:p>
      <w:pPr>
        <w:spacing w:after="0"/>
        <w:ind w:left="0"/>
        <w:jc w:val="both"/>
      </w:pPr>
      <w:r>
        <w:rPr>
          <w:rFonts w:ascii="Times New Roman"/>
          <w:b w:val="false"/>
          <w:i w:val="false"/>
          <w:color w:val="000000"/>
          <w:sz w:val="28"/>
        </w:rPr>
        <w:t>
      строительство опреснительного завода в городе Актау производительностью 4000 м</w:t>
      </w:r>
      <w:r>
        <w:rPr>
          <w:rFonts w:ascii="Times New Roman"/>
          <w:b w:val="false"/>
          <w:i w:val="false"/>
          <w:color w:val="000000"/>
          <w:vertAlign w:val="superscript"/>
        </w:rPr>
        <w:t>3</w:t>
      </w:r>
      <w:r>
        <w:rPr>
          <w:rFonts w:ascii="Times New Roman"/>
          <w:b w:val="false"/>
          <w:i w:val="false"/>
          <w:color w:val="000000"/>
          <w:sz w:val="28"/>
        </w:rPr>
        <w:t>/сут воды.</w:t>
      </w:r>
    </w:p>
    <w:bookmarkEnd w:id="228"/>
    <w:bookmarkStart w:name="z236" w:id="229"/>
    <w:p>
      <w:pPr>
        <w:spacing w:after="0"/>
        <w:ind w:left="0"/>
        <w:jc w:val="both"/>
      </w:pPr>
      <w:r>
        <w:rPr>
          <w:rFonts w:ascii="Times New Roman"/>
          <w:b w:val="false"/>
          <w:i w:val="false"/>
          <w:color w:val="000000"/>
          <w:sz w:val="28"/>
        </w:rPr>
        <w:t>
      строительство нового второго опреснительного завода в городе Актау мощностью 20 тыс. м</w:t>
      </w:r>
      <w:r>
        <w:rPr>
          <w:rFonts w:ascii="Times New Roman"/>
          <w:b w:val="false"/>
          <w:i w:val="false"/>
          <w:color w:val="000000"/>
          <w:vertAlign w:val="superscript"/>
        </w:rPr>
        <w:t>3</w:t>
      </w:r>
      <w:r>
        <w:rPr>
          <w:rFonts w:ascii="Times New Roman"/>
          <w:b w:val="false"/>
          <w:i w:val="false"/>
          <w:color w:val="000000"/>
          <w:sz w:val="28"/>
        </w:rPr>
        <w:t>/сут в северо-западном направлении от города;</w:t>
      </w:r>
    </w:p>
    <w:bookmarkEnd w:id="229"/>
    <w:bookmarkStart w:name="z237" w:id="230"/>
    <w:p>
      <w:pPr>
        <w:spacing w:after="0"/>
        <w:ind w:left="0"/>
        <w:jc w:val="both"/>
      </w:pPr>
      <w:r>
        <w:rPr>
          <w:rFonts w:ascii="Times New Roman"/>
          <w:b w:val="false"/>
          <w:i w:val="false"/>
          <w:color w:val="000000"/>
          <w:sz w:val="28"/>
        </w:rPr>
        <w:t>
      увеличение опреснительного завода "Каспий" для Мунайлинского района, курортной зоны "Теплый пляж", промышленных предприятий и новых микрорайонов города Актау, мощностью 60 тыс.м</w:t>
      </w:r>
      <w:r>
        <w:rPr>
          <w:rFonts w:ascii="Times New Roman"/>
          <w:b w:val="false"/>
          <w:i w:val="false"/>
          <w:color w:val="000000"/>
          <w:vertAlign w:val="superscript"/>
        </w:rPr>
        <w:t>3</w:t>
      </w:r>
      <w:r>
        <w:rPr>
          <w:rFonts w:ascii="Times New Roman"/>
          <w:b w:val="false"/>
          <w:i w:val="false"/>
          <w:color w:val="000000"/>
          <w:sz w:val="28"/>
        </w:rPr>
        <w:t>/сут, с доведением общей производительности до 100 тыс.м</w:t>
      </w:r>
      <w:r>
        <w:rPr>
          <w:rFonts w:ascii="Times New Roman"/>
          <w:b w:val="false"/>
          <w:i w:val="false"/>
          <w:color w:val="000000"/>
          <w:vertAlign w:val="superscript"/>
        </w:rPr>
        <w:t>3</w:t>
      </w:r>
      <w:r>
        <w:rPr>
          <w:rFonts w:ascii="Times New Roman"/>
          <w:b w:val="false"/>
          <w:i w:val="false"/>
          <w:color w:val="000000"/>
          <w:sz w:val="28"/>
        </w:rPr>
        <w:t>/сут (3-очередь).</w:t>
      </w:r>
    </w:p>
    <w:bookmarkEnd w:id="230"/>
    <w:bookmarkStart w:name="z238" w:id="231"/>
    <w:p>
      <w:pPr>
        <w:spacing w:after="0"/>
        <w:ind w:left="0"/>
        <w:jc w:val="left"/>
      </w:pPr>
      <w:r>
        <w:rPr>
          <w:rFonts w:ascii="Times New Roman"/>
          <w:b/>
          <w:i w:val="false"/>
          <w:color w:val="000000"/>
        </w:rPr>
        <w:t xml:space="preserve"> Параграф 2. Водоотведение</w:t>
      </w:r>
    </w:p>
    <w:bookmarkEnd w:id="231"/>
    <w:bookmarkStart w:name="z239" w:id="232"/>
    <w:p>
      <w:pPr>
        <w:spacing w:after="0"/>
        <w:ind w:left="0"/>
        <w:jc w:val="both"/>
      </w:pPr>
      <w:r>
        <w:rPr>
          <w:rFonts w:ascii="Times New Roman"/>
          <w:b w:val="false"/>
          <w:i w:val="false"/>
          <w:color w:val="000000"/>
          <w:sz w:val="28"/>
        </w:rPr>
        <w:t>
      Современное состояние</w:t>
      </w:r>
    </w:p>
    <w:bookmarkEnd w:id="232"/>
    <w:bookmarkStart w:name="z240" w:id="233"/>
    <w:p>
      <w:pPr>
        <w:spacing w:after="0"/>
        <w:ind w:left="0"/>
        <w:jc w:val="both"/>
      </w:pPr>
      <w:r>
        <w:rPr>
          <w:rFonts w:ascii="Times New Roman"/>
          <w:b w:val="false"/>
          <w:i w:val="false"/>
          <w:color w:val="000000"/>
          <w:sz w:val="28"/>
        </w:rPr>
        <w:t>
      В городе Актау действует раздельная полная централизованная система водоотведения.</w:t>
      </w:r>
    </w:p>
    <w:bookmarkEnd w:id="233"/>
    <w:bookmarkStart w:name="z241" w:id="234"/>
    <w:p>
      <w:pPr>
        <w:spacing w:after="0"/>
        <w:ind w:left="0"/>
        <w:jc w:val="both"/>
      </w:pPr>
      <w:r>
        <w:rPr>
          <w:rFonts w:ascii="Times New Roman"/>
          <w:b w:val="false"/>
          <w:i w:val="false"/>
          <w:color w:val="000000"/>
          <w:sz w:val="28"/>
        </w:rPr>
        <w:t>
      Схема канализации смешанная – самотечная и напорная. В связи с рельефными условиями на территории города Актау действуют две отдельные системы водоотведения: южно-центральная и северная части. Сточные воды от южной и центральной части города по самотечным трубопроводам направляются на канализационные насосные станции, расположенные на территории КОС-1, а оттуда по напорным трубопроводам перекачиваются на канализационные очистные сооружения КОС-2:</w:t>
      </w:r>
    </w:p>
    <w:bookmarkEnd w:id="234"/>
    <w:bookmarkStart w:name="z242" w:id="235"/>
    <w:p>
      <w:pPr>
        <w:spacing w:after="0"/>
        <w:ind w:left="0"/>
        <w:jc w:val="both"/>
      </w:pPr>
      <w:r>
        <w:rPr>
          <w:rFonts w:ascii="Times New Roman"/>
          <w:b w:val="false"/>
          <w:i w:val="false"/>
          <w:color w:val="000000"/>
          <w:sz w:val="28"/>
        </w:rPr>
        <w:t>
      Сточные воды от северной части города по самотечным трубопроводам поступают на КНС-10, 18, 16, откуда перекачиваются на КОС-2 (на 30 тыс. м</w:t>
      </w:r>
      <w:r>
        <w:rPr>
          <w:rFonts w:ascii="Times New Roman"/>
          <w:b w:val="false"/>
          <w:i w:val="false"/>
          <w:color w:val="000000"/>
          <w:vertAlign w:val="superscript"/>
        </w:rPr>
        <w:t>3</w:t>
      </w:r>
      <w:r>
        <w:rPr>
          <w:rFonts w:ascii="Times New Roman"/>
          <w:b w:val="false"/>
          <w:i w:val="false"/>
          <w:color w:val="000000"/>
          <w:sz w:val="28"/>
        </w:rPr>
        <w:t>/сут), после очистки сточные воды попадают в хвостохранилище Кошкар-Ата.</w:t>
      </w:r>
    </w:p>
    <w:bookmarkEnd w:id="235"/>
    <w:bookmarkStart w:name="z243" w:id="236"/>
    <w:p>
      <w:pPr>
        <w:spacing w:after="0"/>
        <w:ind w:left="0"/>
        <w:jc w:val="both"/>
      </w:pPr>
      <w:r>
        <w:rPr>
          <w:rFonts w:ascii="Times New Roman"/>
          <w:b w:val="false"/>
          <w:i w:val="false"/>
          <w:color w:val="000000"/>
          <w:sz w:val="28"/>
        </w:rPr>
        <w:t>
      В настоящее время в городе Актау имеется 46 (сорок шесть) действующих КНС.</w:t>
      </w:r>
    </w:p>
    <w:bookmarkEnd w:id="236"/>
    <w:bookmarkStart w:name="z244" w:id="237"/>
    <w:p>
      <w:pPr>
        <w:spacing w:after="0"/>
        <w:ind w:left="0"/>
        <w:jc w:val="both"/>
      </w:pPr>
      <w:r>
        <w:rPr>
          <w:rFonts w:ascii="Times New Roman"/>
          <w:b w:val="false"/>
          <w:i w:val="false"/>
          <w:color w:val="000000"/>
          <w:sz w:val="28"/>
        </w:rPr>
        <w:t>
      На балансе ГКП "КЖСА" числится 175.7 км канализационных сетей. Объемы водоотведения на 2023 год составили 14189797,57 м</w:t>
      </w:r>
      <w:r>
        <w:rPr>
          <w:rFonts w:ascii="Times New Roman"/>
          <w:b w:val="false"/>
          <w:i w:val="false"/>
          <w:color w:val="000000"/>
          <w:vertAlign w:val="superscript"/>
        </w:rPr>
        <w:t>3</w:t>
      </w:r>
      <w:r>
        <w:rPr>
          <w:rFonts w:ascii="Times New Roman"/>
          <w:b w:val="false"/>
          <w:i w:val="false"/>
          <w:color w:val="000000"/>
          <w:sz w:val="28"/>
        </w:rPr>
        <w:t>.</w:t>
      </w:r>
    </w:p>
    <w:bookmarkEnd w:id="237"/>
    <w:bookmarkStart w:name="z245" w:id="238"/>
    <w:p>
      <w:pPr>
        <w:spacing w:after="0"/>
        <w:ind w:left="0"/>
        <w:jc w:val="both"/>
      </w:pPr>
      <w:r>
        <w:rPr>
          <w:rFonts w:ascii="Times New Roman"/>
          <w:b w:val="false"/>
          <w:i w:val="false"/>
          <w:color w:val="000000"/>
          <w:sz w:val="28"/>
        </w:rPr>
        <w:t>
      Проектные предложения</w:t>
      </w:r>
    </w:p>
    <w:bookmarkEnd w:id="238"/>
    <w:bookmarkStart w:name="z246" w:id="239"/>
    <w:p>
      <w:pPr>
        <w:spacing w:after="0"/>
        <w:ind w:left="0"/>
        <w:jc w:val="both"/>
      </w:pPr>
      <w:r>
        <w:rPr>
          <w:rFonts w:ascii="Times New Roman"/>
          <w:b w:val="false"/>
          <w:i w:val="false"/>
          <w:color w:val="000000"/>
          <w:sz w:val="28"/>
        </w:rPr>
        <w:t>
      Системы канализации обслуживают жилые дома, административные здания, а также объекты социальной, культурной, бытовой и промышленной сферы.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 м</w:t>
            </w:r>
            <w:r>
              <w:rPr>
                <w:rFonts w:ascii="Times New Roman"/>
                <w:b w:val="false"/>
                <w:i w:val="false"/>
                <w:color w:val="000000"/>
                <w:vertAlign w:val="superscript"/>
              </w:rPr>
              <w:t>3</w:t>
            </w:r>
            <w:r>
              <w:rPr>
                <w:rFonts w:ascii="Times New Roman"/>
                <w:b w:val="false"/>
                <w:i w:val="false"/>
                <w:color w:val="000000"/>
                <w:sz w:val="20"/>
              </w:rPr>
              <w:t>/сут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 м</w:t>
            </w:r>
            <w:r>
              <w:rPr>
                <w:rFonts w:ascii="Times New Roman"/>
                <w:b w:val="false"/>
                <w:i w:val="false"/>
                <w:color w:val="000000"/>
                <w:vertAlign w:val="superscript"/>
              </w:rPr>
              <w:t>3</w:t>
            </w:r>
            <w:r>
              <w:rPr>
                <w:rFonts w:ascii="Times New Roman"/>
                <w:b w:val="false"/>
                <w:i w:val="false"/>
                <w:color w:val="000000"/>
                <w:sz w:val="20"/>
              </w:rPr>
              <w:t>/сут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населения и объектов КБО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промышленных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суточном расчете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годовом расчете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42648,4 тыс.м³/год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62039,1 тыс.м³/год,</w:t>
            </w:r>
          </w:p>
        </w:tc>
      </w:tr>
    </w:tbl>
    <w:bookmarkStart w:name="z247" w:id="240"/>
    <w:p>
      <w:pPr>
        <w:spacing w:after="0"/>
        <w:ind w:left="0"/>
        <w:jc w:val="both"/>
      </w:pPr>
      <w:r>
        <w:rPr>
          <w:rFonts w:ascii="Times New Roman"/>
          <w:b w:val="false"/>
          <w:i w:val="false"/>
          <w:color w:val="000000"/>
          <w:sz w:val="28"/>
        </w:rPr>
        <w:t>
      Проектом предлагаются строительство полного комплекса очистки сточных вод, включающего существующие очистные сооружения КОС-2, строительство КОС-3 общей проектной производительностью до 100 тыс. м</w:t>
      </w:r>
      <w:r>
        <w:rPr>
          <w:rFonts w:ascii="Times New Roman"/>
          <w:b w:val="false"/>
          <w:i w:val="false"/>
          <w:color w:val="000000"/>
          <w:vertAlign w:val="superscript"/>
        </w:rPr>
        <w:t>3</w:t>
      </w:r>
      <w:r>
        <w:rPr>
          <w:rFonts w:ascii="Times New Roman"/>
          <w:b w:val="false"/>
          <w:i w:val="false"/>
          <w:color w:val="000000"/>
          <w:sz w:val="28"/>
        </w:rPr>
        <w:t>/сут на расчетный срок, включая создание резервуаров для аккумулирования и последующего использования переработанных сточных вод на полив зеленых насаждений и поддержание жидкой фазы хвостохранилища Кошкар-ата.</w:t>
      </w:r>
    </w:p>
    <w:bookmarkEnd w:id="240"/>
    <w:bookmarkStart w:name="z248" w:id="241"/>
    <w:p>
      <w:pPr>
        <w:spacing w:after="0"/>
        <w:ind w:left="0"/>
        <w:jc w:val="left"/>
      </w:pPr>
      <w:r>
        <w:rPr>
          <w:rFonts w:ascii="Times New Roman"/>
          <w:b/>
          <w:i w:val="false"/>
          <w:color w:val="000000"/>
        </w:rPr>
        <w:t xml:space="preserve"> Параграф 3. Санитарная очистка</w:t>
      </w:r>
    </w:p>
    <w:bookmarkEnd w:id="241"/>
    <w:bookmarkStart w:name="z249" w:id="242"/>
    <w:p>
      <w:pPr>
        <w:spacing w:after="0"/>
        <w:ind w:left="0"/>
        <w:jc w:val="both"/>
      </w:pPr>
      <w:r>
        <w:rPr>
          <w:rFonts w:ascii="Times New Roman"/>
          <w:b w:val="false"/>
          <w:i w:val="false"/>
          <w:color w:val="000000"/>
          <w:sz w:val="28"/>
        </w:rPr>
        <w:t>
      Современное состояние</w:t>
      </w:r>
    </w:p>
    <w:bookmarkEnd w:id="242"/>
    <w:bookmarkStart w:name="z250" w:id="243"/>
    <w:p>
      <w:pPr>
        <w:spacing w:after="0"/>
        <w:ind w:left="0"/>
        <w:jc w:val="both"/>
      </w:pPr>
      <w:r>
        <w:rPr>
          <w:rFonts w:ascii="Times New Roman"/>
          <w:b w:val="false"/>
          <w:i w:val="false"/>
          <w:color w:val="000000"/>
          <w:sz w:val="28"/>
        </w:rPr>
        <w:t>
      Планово-регулярной очисткой в городе Актау охвачено порядка 90 % населения территории города. В районах усадебной застройки очистка территории осуществляется по заявочной системе.</w:t>
      </w:r>
    </w:p>
    <w:bookmarkEnd w:id="243"/>
    <w:bookmarkStart w:name="z251" w:id="244"/>
    <w:p>
      <w:pPr>
        <w:spacing w:after="0"/>
        <w:ind w:left="0"/>
        <w:jc w:val="both"/>
      </w:pPr>
      <w:r>
        <w:rPr>
          <w:rFonts w:ascii="Times New Roman"/>
          <w:b w:val="false"/>
          <w:i w:val="false"/>
          <w:color w:val="000000"/>
          <w:sz w:val="28"/>
        </w:rPr>
        <w:t>
      С января месяца 2016 года в пяти километрах от села Баянды Мунайлинского района начал действовать новый полигон для твердых бытовых отходов (ТБО).</w:t>
      </w:r>
    </w:p>
    <w:bookmarkEnd w:id="244"/>
    <w:bookmarkStart w:name="z252" w:id="245"/>
    <w:p>
      <w:pPr>
        <w:spacing w:after="0"/>
        <w:ind w:left="0"/>
        <w:jc w:val="both"/>
      </w:pPr>
      <w:r>
        <w:rPr>
          <w:rFonts w:ascii="Times New Roman"/>
          <w:b w:val="false"/>
          <w:i w:val="false"/>
          <w:color w:val="000000"/>
          <w:sz w:val="28"/>
        </w:rPr>
        <w:t>
      Проектные предложения.</w:t>
      </w:r>
    </w:p>
    <w:bookmarkEnd w:id="245"/>
    <w:bookmarkStart w:name="z253" w:id="246"/>
    <w:p>
      <w:pPr>
        <w:spacing w:after="0"/>
        <w:ind w:left="0"/>
        <w:jc w:val="both"/>
      </w:pPr>
      <w:r>
        <w:rPr>
          <w:rFonts w:ascii="Times New Roman"/>
          <w:b w:val="false"/>
          <w:i w:val="false"/>
          <w:color w:val="000000"/>
          <w:sz w:val="28"/>
        </w:rPr>
        <w:t>
      Проектом намечается сохранить систему планово-регулярной очистки территории города. По этой системе все мероприятия должны проводиться коммунальной службой.</w:t>
      </w:r>
    </w:p>
    <w:bookmarkEnd w:id="246"/>
    <w:bookmarkStart w:name="z254" w:id="247"/>
    <w:p>
      <w:pPr>
        <w:spacing w:after="0"/>
        <w:ind w:left="0"/>
        <w:jc w:val="both"/>
      </w:pPr>
      <w:r>
        <w:rPr>
          <w:rFonts w:ascii="Times New Roman"/>
          <w:b w:val="false"/>
          <w:i w:val="false"/>
          <w:color w:val="000000"/>
          <w:sz w:val="28"/>
        </w:rPr>
        <w:t>
      В комплекс планово-регулярной очистки территории входят следующие мероприятия: сбор и правильное хранение жидких и твердых отбросов с территории города, обезвреживание отбросов, подметание, мытье и полив улиц, уборка снега и борьба с гололедом.</w:t>
      </w:r>
    </w:p>
    <w:bookmarkEnd w:id="247"/>
    <w:bookmarkStart w:name="z255" w:id="248"/>
    <w:p>
      <w:pPr>
        <w:spacing w:after="0"/>
        <w:ind w:left="0"/>
        <w:jc w:val="both"/>
      </w:pPr>
      <w:r>
        <w:rPr>
          <w:rFonts w:ascii="Times New Roman"/>
          <w:b w:val="false"/>
          <w:i w:val="false"/>
          <w:color w:val="000000"/>
          <w:sz w:val="28"/>
        </w:rPr>
        <w:t>
      На полигон ТБО вывозятся: домовой мусор, мусор учреждений и твердые отбросы предприятий общественного питания.</w:t>
      </w:r>
    </w:p>
    <w:bookmarkEnd w:id="248"/>
    <w:bookmarkStart w:name="z256" w:id="249"/>
    <w:p>
      <w:pPr>
        <w:spacing w:after="0"/>
        <w:ind w:left="0"/>
        <w:jc w:val="both"/>
      </w:pPr>
      <w:r>
        <w:rPr>
          <w:rFonts w:ascii="Times New Roman"/>
          <w:b w:val="false"/>
          <w:i w:val="false"/>
          <w:color w:val="000000"/>
          <w:sz w:val="28"/>
        </w:rPr>
        <w:t>
      Проектом предусматривается контейнерный способ сбора бытовых отходов. Для этого необходимо дополнительное количество мусоросборных контейнеров, которые следует разместить на специализированных площадках. Также в местах общественного пользования предполагается установка урн. Расстояние между урнами принимается не более чем 40 метров на оживленных улицах и 100 метров на малолюдных.</w:t>
      </w:r>
    </w:p>
    <w:bookmarkEnd w:id="249"/>
    <w:bookmarkStart w:name="z257" w:id="250"/>
    <w:p>
      <w:pPr>
        <w:spacing w:after="0"/>
        <w:ind w:left="0"/>
        <w:jc w:val="both"/>
      </w:pPr>
      <w:r>
        <w:rPr>
          <w:rFonts w:ascii="Times New Roman"/>
          <w:b w:val="false"/>
          <w:i w:val="false"/>
          <w:color w:val="000000"/>
          <w:sz w:val="28"/>
        </w:rPr>
        <w:t>
      Годовое количество твердых бытовых отходов</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ТБО в объемном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Бытовых м</w:t>
            </w:r>
            <w:r>
              <w:rPr>
                <w:rFonts w:ascii="Times New Roman"/>
                <w:b w:val="false"/>
                <w:i w:val="false"/>
                <w:color w:val="000000"/>
                <w:vertAlign w:val="superscript"/>
              </w:rPr>
              <w:t>3</w:t>
            </w:r>
            <w:r>
              <w:rPr>
                <w:rFonts w:ascii="Times New Roman"/>
                <w:b w:val="false"/>
                <w:i w:val="false"/>
                <w:color w:val="000000"/>
                <w:sz w:val="20"/>
              </w:rPr>
              <w:t>/год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м</w:t>
            </w:r>
            <w:r>
              <w:rPr>
                <w:rFonts w:ascii="Times New Roman"/>
                <w:b w:val="false"/>
                <w:i w:val="false"/>
                <w:color w:val="000000"/>
                <w:vertAlign w:val="superscript"/>
              </w:rPr>
              <w:t>3</w:t>
            </w:r>
            <w:r>
              <w:rPr>
                <w:rFonts w:ascii="Times New Roman"/>
                <w:b w:val="false"/>
                <w:i w:val="false"/>
                <w:color w:val="000000"/>
                <w:sz w:val="20"/>
              </w:rPr>
              <w:t>/год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1 500 700</w:t>
            </w:r>
          </w:p>
        </w:tc>
      </w:tr>
    </w:tbl>
    <w:bookmarkStart w:name="z258" w:id="251"/>
    <w:p>
      <w:pPr>
        <w:spacing w:after="0"/>
        <w:ind w:left="0"/>
        <w:jc w:val="both"/>
      </w:pPr>
      <w:r>
        <w:rPr>
          <w:rFonts w:ascii="Times New Roman"/>
          <w:b w:val="false"/>
          <w:i w:val="false"/>
          <w:color w:val="000000"/>
          <w:sz w:val="28"/>
        </w:rPr>
        <w:t>
      Проектом предлагается использовать современные мусоровозы, предназначенные для механизированной загрузки, уплотнения, транспортировки и выгрузки бытовых отходов, вместимостью кузова от 10-24 м</w:t>
      </w:r>
      <w:r>
        <w:rPr>
          <w:rFonts w:ascii="Times New Roman"/>
          <w:b w:val="false"/>
          <w:i w:val="false"/>
          <w:color w:val="000000"/>
          <w:vertAlign w:val="superscript"/>
        </w:rPr>
        <w:t>3</w:t>
      </w:r>
      <w:r>
        <w:rPr>
          <w:rFonts w:ascii="Times New Roman"/>
          <w:b w:val="false"/>
          <w:i w:val="false"/>
          <w:color w:val="000000"/>
          <w:sz w:val="28"/>
        </w:rPr>
        <w:t>.</w:t>
      </w:r>
    </w:p>
    <w:bookmarkEnd w:id="251"/>
    <w:bookmarkStart w:name="z259" w:id="252"/>
    <w:p>
      <w:pPr>
        <w:spacing w:after="0"/>
        <w:ind w:left="0"/>
        <w:jc w:val="both"/>
      </w:pPr>
      <w:r>
        <w:rPr>
          <w:rFonts w:ascii="Times New Roman"/>
          <w:b w:val="false"/>
          <w:i w:val="false"/>
          <w:color w:val="000000"/>
          <w:sz w:val="28"/>
        </w:rPr>
        <w:t>
      Проектом предусматривается дальнейший вывоз твердых бытовых отходов на действующий полигон ТБО, расположенный в пяти километрах от села Баянды. На перспективу предлагается строительство мусороперерабатывающего завода по утилизации бытовых отходов с учетом применения новых технологий. При этом все продукты переработки бытовых отходов могут быть утилизированы: более 40 % - в качестве дешевого топлива, 5% – в виде металла во вторчермете, 20 % - инертной массы в дорожном строительстве.</w:t>
      </w:r>
    </w:p>
    <w:bookmarkEnd w:id="252"/>
    <w:bookmarkStart w:name="z260" w:id="253"/>
    <w:p>
      <w:pPr>
        <w:spacing w:after="0"/>
        <w:ind w:left="0"/>
        <w:jc w:val="left"/>
      </w:pPr>
      <w:r>
        <w:rPr>
          <w:rFonts w:ascii="Times New Roman"/>
          <w:b/>
          <w:i w:val="false"/>
          <w:color w:val="000000"/>
        </w:rPr>
        <w:t xml:space="preserve"> Параграф 4. Электроснабжение</w:t>
      </w:r>
    </w:p>
    <w:bookmarkEnd w:id="253"/>
    <w:bookmarkStart w:name="z261" w:id="254"/>
    <w:p>
      <w:pPr>
        <w:spacing w:after="0"/>
        <w:ind w:left="0"/>
        <w:jc w:val="both"/>
      </w:pPr>
      <w:r>
        <w:rPr>
          <w:rFonts w:ascii="Times New Roman"/>
          <w:b w:val="false"/>
          <w:i w:val="false"/>
          <w:color w:val="000000"/>
          <w:sz w:val="28"/>
        </w:rPr>
        <w:t>
      Современное состояние</w:t>
      </w:r>
    </w:p>
    <w:bookmarkEnd w:id="254"/>
    <w:bookmarkStart w:name="z262" w:id="255"/>
    <w:p>
      <w:pPr>
        <w:spacing w:after="0"/>
        <w:ind w:left="0"/>
        <w:jc w:val="both"/>
      </w:pPr>
      <w:r>
        <w:rPr>
          <w:rFonts w:ascii="Times New Roman"/>
          <w:b w:val="false"/>
          <w:i w:val="false"/>
          <w:color w:val="000000"/>
          <w:sz w:val="28"/>
        </w:rPr>
        <w:t>
      В настоящее время основными источниками централизованного электроснабжения города Актау, прилегающих населенных пунктов и промышленной зоны являются электростанции Мангышлакского атомного энергокомбината (ТОО "МАЭК"): ТЭЦ-1, 2 и ТЭС, суммарной установленной мощностью 1342 МВт (располагаемая мощность 906,8 МВт, рабочая мощность 747,2 МВт).</w:t>
      </w:r>
    </w:p>
    <w:bookmarkEnd w:id="255"/>
    <w:bookmarkStart w:name="z263" w:id="256"/>
    <w:p>
      <w:pPr>
        <w:spacing w:after="0"/>
        <w:ind w:left="0"/>
        <w:jc w:val="both"/>
      </w:pPr>
      <w:r>
        <w:rPr>
          <w:rFonts w:ascii="Times New Roman"/>
          <w:b w:val="false"/>
          <w:i w:val="false"/>
          <w:color w:val="000000"/>
          <w:sz w:val="28"/>
        </w:rPr>
        <w:t>
      В селитебной зоне города Актау размещаются ПС 110/6 кВ ГПП-1Г, 110/10 кВ ГПП-2Г и 110/10 кВ ГПП-3Г, 110/35/6 кВ ГПП-4Г, 110/10 кВ Прибрежная, 110/10 кВ Приозерная, 110/10 кВ Ботанический сад.</w:t>
      </w:r>
    </w:p>
    <w:bookmarkEnd w:id="256"/>
    <w:bookmarkStart w:name="z264" w:id="257"/>
    <w:p>
      <w:pPr>
        <w:spacing w:after="0"/>
        <w:ind w:left="0"/>
        <w:jc w:val="both"/>
      </w:pPr>
      <w:r>
        <w:rPr>
          <w:rFonts w:ascii="Times New Roman"/>
          <w:b w:val="false"/>
          <w:i w:val="false"/>
          <w:color w:val="000000"/>
          <w:sz w:val="28"/>
        </w:rPr>
        <w:t>
      Намечено строительство ЛЭП 110 кВ и двух подстанций 110/10 кВ в рамках проекта "Строительство внешней инфраструктуры Каспийского энергетического Хаба" ГПП 110/10 кВ Хаб-1 и Хаб-2 закрытого типа.</w:t>
      </w:r>
    </w:p>
    <w:bookmarkEnd w:id="257"/>
    <w:bookmarkStart w:name="z265" w:id="258"/>
    <w:p>
      <w:pPr>
        <w:spacing w:after="0"/>
        <w:ind w:left="0"/>
        <w:jc w:val="both"/>
      </w:pPr>
      <w:r>
        <w:rPr>
          <w:rFonts w:ascii="Times New Roman"/>
          <w:b w:val="false"/>
          <w:i w:val="false"/>
          <w:color w:val="000000"/>
          <w:sz w:val="28"/>
        </w:rPr>
        <w:t>
      При разработке перспективной схемы электроснабжения территории города был произведен подсчет электрических нагрузок с учетом потребления электроэнергии на коммунально-бытовые нужды, наружное освещение и потребление электроэнергии культурно-бытовыми учреждениями и промышленными предприятиями.</w:t>
      </w:r>
    </w:p>
    <w:bookmarkEnd w:id="258"/>
    <w:bookmarkStart w:name="z266" w:id="259"/>
    <w:p>
      <w:pPr>
        <w:spacing w:after="0"/>
        <w:ind w:left="0"/>
        <w:jc w:val="both"/>
      </w:pPr>
      <w:r>
        <w:rPr>
          <w:rFonts w:ascii="Times New Roman"/>
          <w:b w:val="false"/>
          <w:i w:val="false"/>
          <w:color w:val="000000"/>
          <w:sz w:val="28"/>
        </w:rPr>
        <w:t>
      Согласно данным ГКП "АУЭС" пиковая нагрузка города Актау на 01.01.2023 года составила 157 МВт (летний период).</w:t>
      </w:r>
    </w:p>
    <w:bookmarkEnd w:id="259"/>
    <w:bookmarkStart w:name="z267" w:id="260"/>
    <w:p>
      <w:pPr>
        <w:spacing w:after="0"/>
        <w:ind w:left="0"/>
        <w:jc w:val="both"/>
      </w:pPr>
      <w:r>
        <w:rPr>
          <w:rFonts w:ascii="Times New Roman"/>
          <w:b w:val="false"/>
          <w:i w:val="false"/>
          <w:color w:val="000000"/>
          <w:sz w:val="28"/>
        </w:rPr>
        <w:t>
      Развитие электрических сетей.</w:t>
      </w:r>
    </w:p>
    <w:bookmarkEnd w:id="260"/>
    <w:bookmarkStart w:name="z268" w:id="261"/>
    <w:p>
      <w:pPr>
        <w:spacing w:after="0"/>
        <w:ind w:left="0"/>
        <w:jc w:val="both"/>
      </w:pPr>
      <w:r>
        <w:rPr>
          <w:rFonts w:ascii="Times New Roman"/>
          <w:b w:val="false"/>
          <w:i w:val="false"/>
          <w:color w:val="000000"/>
          <w:sz w:val="28"/>
        </w:rPr>
        <w:t>
      Общая протяженность сетей электроснабжения составляет 9637,76 км, в том числе в коммунальной собственности – 4005,63 км, в частной собственности – 5632,13 км.</w:t>
      </w:r>
    </w:p>
    <w:bookmarkEnd w:id="261"/>
    <w:bookmarkStart w:name="z269" w:id="262"/>
    <w:p>
      <w:pPr>
        <w:spacing w:after="0"/>
        <w:ind w:left="0"/>
        <w:jc w:val="both"/>
      </w:pPr>
      <w:r>
        <w:rPr>
          <w:rFonts w:ascii="Times New Roman"/>
          <w:b w:val="false"/>
          <w:i w:val="false"/>
          <w:color w:val="000000"/>
          <w:sz w:val="28"/>
        </w:rPr>
        <w:t>
      Схема электроснабжения на расчетный период разрабатывалась с учетом применения нового оборудования.</w:t>
      </w:r>
    </w:p>
    <w:bookmarkEnd w:id="262"/>
    <w:bookmarkStart w:name="z270" w:id="263"/>
    <w:p>
      <w:pPr>
        <w:spacing w:after="0"/>
        <w:ind w:left="0"/>
        <w:jc w:val="both"/>
      </w:pPr>
      <w:r>
        <w:rPr>
          <w:rFonts w:ascii="Times New Roman"/>
          <w:b w:val="false"/>
          <w:i w:val="false"/>
          <w:color w:val="000000"/>
          <w:sz w:val="28"/>
        </w:rPr>
        <w:t>
      Все вновь проектируемые сети 10 кВ предлагается выполнить в кабельном исполнении с прокладкой в земле, в траншеях.</w:t>
      </w:r>
    </w:p>
    <w:bookmarkEnd w:id="263"/>
    <w:bookmarkStart w:name="z271" w:id="264"/>
    <w:p>
      <w:pPr>
        <w:spacing w:after="0"/>
        <w:ind w:left="0"/>
        <w:jc w:val="both"/>
      </w:pPr>
      <w:r>
        <w:rPr>
          <w:rFonts w:ascii="Times New Roman"/>
          <w:b w:val="false"/>
          <w:i w:val="false"/>
          <w:color w:val="000000"/>
          <w:sz w:val="28"/>
        </w:rPr>
        <w:t>
      Для жилой зоны предусматриваются отдельно стоящие ТП закрытого типа с двумя трансформаторами по действующим типовым проектам. Для административной и общественной застройки рекомендуются два трансформаторные ТП, отдельно стоящие или встроенные в здания. Местоположение ТП предусматривается в центре нагрузок с учетом приближения их к наиболее энергоемким потребителям.</w:t>
      </w:r>
    </w:p>
    <w:bookmarkEnd w:id="264"/>
    <w:bookmarkStart w:name="z272" w:id="265"/>
    <w:p>
      <w:pPr>
        <w:spacing w:after="0"/>
        <w:ind w:left="0"/>
        <w:jc w:val="both"/>
      </w:pPr>
      <w:r>
        <w:rPr>
          <w:rFonts w:ascii="Times New Roman"/>
          <w:b w:val="false"/>
          <w:i w:val="false"/>
          <w:color w:val="000000"/>
          <w:sz w:val="28"/>
        </w:rPr>
        <w:t>
      Развитие системы электроснабжения.</w:t>
      </w:r>
    </w:p>
    <w:bookmarkEnd w:id="265"/>
    <w:bookmarkStart w:name="z273" w:id="266"/>
    <w:p>
      <w:pPr>
        <w:spacing w:after="0"/>
        <w:ind w:left="0"/>
        <w:jc w:val="both"/>
      </w:pPr>
      <w:r>
        <w:rPr>
          <w:rFonts w:ascii="Times New Roman"/>
          <w:b w:val="false"/>
          <w:i w:val="false"/>
          <w:color w:val="000000"/>
          <w:sz w:val="28"/>
        </w:rPr>
        <w:t>
      Суммарная электрическая нагрузка города Актау на расчетный срок оценивается в 523 МВт:</w:t>
      </w:r>
    </w:p>
    <w:bookmarkEnd w:id="266"/>
    <w:bookmarkStart w:name="z274" w:id="267"/>
    <w:p>
      <w:pPr>
        <w:spacing w:after="0"/>
        <w:ind w:left="0"/>
        <w:jc w:val="both"/>
      </w:pPr>
      <w:r>
        <w:rPr>
          <w:rFonts w:ascii="Times New Roman"/>
          <w:b w:val="false"/>
          <w:i w:val="false"/>
          <w:color w:val="000000"/>
          <w:sz w:val="28"/>
        </w:rPr>
        <w:t>
      1) первая очередь строительства – 329 МВт;</w:t>
      </w:r>
    </w:p>
    <w:bookmarkEnd w:id="267"/>
    <w:bookmarkStart w:name="z275" w:id="268"/>
    <w:p>
      <w:pPr>
        <w:spacing w:after="0"/>
        <w:ind w:left="0"/>
        <w:jc w:val="both"/>
      </w:pPr>
      <w:r>
        <w:rPr>
          <w:rFonts w:ascii="Times New Roman"/>
          <w:b w:val="false"/>
          <w:i w:val="false"/>
          <w:color w:val="000000"/>
          <w:sz w:val="28"/>
        </w:rPr>
        <w:t>
      2) расчетный срок – 523 МВт;</w:t>
      </w:r>
    </w:p>
    <w:bookmarkEnd w:id="268"/>
    <w:bookmarkStart w:name="z276" w:id="269"/>
    <w:p>
      <w:pPr>
        <w:spacing w:after="0"/>
        <w:ind w:left="0"/>
        <w:jc w:val="both"/>
      </w:pPr>
      <w:r>
        <w:rPr>
          <w:rFonts w:ascii="Times New Roman"/>
          <w:b w:val="false"/>
          <w:i w:val="false"/>
          <w:color w:val="000000"/>
          <w:sz w:val="28"/>
        </w:rPr>
        <w:t>
      Для покрытия намечаемых нагрузок предусматриваются:</w:t>
      </w:r>
    </w:p>
    <w:bookmarkEnd w:id="269"/>
    <w:bookmarkStart w:name="z277" w:id="270"/>
    <w:p>
      <w:pPr>
        <w:spacing w:after="0"/>
        <w:ind w:left="0"/>
        <w:jc w:val="both"/>
      </w:pPr>
      <w:r>
        <w:rPr>
          <w:rFonts w:ascii="Times New Roman"/>
          <w:b w:val="false"/>
          <w:i w:val="false"/>
          <w:color w:val="000000"/>
          <w:sz w:val="28"/>
        </w:rPr>
        <w:t>
      строительство ПС 110/10 кВ "Хаб-1, 2" (2х63 МВА) с ВЛ 110 кВ;</w:t>
      </w:r>
    </w:p>
    <w:bookmarkEnd w:id="270"/>
    <w:bookmarkStart w:name="z278" w:id="271"/>
    <w:p>
      <w:pPr>
        <w:spacing w:after="0"/>
        <w:ind w:left="0"/>
        <w:jc w:val="both"/>
      </w:pPr>
      <w:r>
        <w:rPr>
          <w:rFonts w:ascii="Times New Roman"/>
          <w:b w:val="false"/>
          <w:i w:val="false"/>
          <w:color w:val="000000"/>
          <w:sz w:val="28"/>
        </w:rPr>
        <w:t>
      модернизация оборудования и реконструкция существующих подстанций.</w:t>
      </w:r>
    </w:p>
    <w:bookmarkEnd w:id="271"/>
    <w:bookmarkStart w:name="z279" w:id="272"/>
    <w:p>
      <w:pPr>
        <w:spacing w:after="0"/>
        <w:ind w:left="0"/>
        <w:jc w:val="both"/>
      </w:pPr>
      <w:r>
        <w:rPr>
          <w:rFonts w:ascii="Times New Roman"/>
          <w:b w:val="false"/>
          <w:i w:val="false"/>
          <w:color w:val="000000"/>
          <w:sz w:val="28"/>
        </w:rPr>
        <w:t>
      Электроснабжение новых районов и потребителей предусмотрено от ГПП 110/10 кВ "Хаб-1", "Хаб-2" и "Орталык".</w:t>
      </w:r>
    </w:p>
    <w:bookmarkEnd w:id="272"/>
    <w:bookmarkStart w:name="z280" w:id="273"/>
    <w:p>
      <w:pPr>
        <w:spacing w:after="0"/>
        <w:ind w:left="0"/>
        <w:jc w:val="both"/>
      </w:pPr>
      <w:r>
        <w:rPr>
          <w:rFonts w:ascii="Times New Roman"/>
          <w:b w:val="false"/>
          <w:i w:val="false"/>
          <w:color w:val="000000"/>
          <w:sz w:val="28"/>
        </w:rPr>
        <w:t>
      Общая суммарная электрическая нагрузка города Актау</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523
</w:t>
            </w:r>
          </w:p>
        </w:tc>
      </w:tr>
    </w:tbl>
    <w:bookmarkStart w:name="z281" w:id="274"/>
    <w:p>
      <w:pPr>
        <w:spacing w:after="0"/>
        <w:ind w:left="0"/>
        <w:jc w:val="left"/>
      </w:pPr>
      <w:r>
        <w:rPr>
          <w:rFonts w:ascii="Times New Roman"/>
          <w:b/>
          <w:i w:val="false"/>
          <w:color w:val="000000"/>
        </w:rPr>
        <w:t xml:space="preserve"> Параграф 5. Теплоснабжение</w:t>
      </w:r>
    </w:p>
    <w:bookmarkEnd w:id="274"/>
    <w:bookmarkStart w:name="z282" w:id="275"/>
    <w:p>
      <w:pPr>
        <w:spacing w:after="0"/>
        <w:ind w:left="0"/>
        <w:jc w:val="both"/>
      </w:pPr>
      <w:r>
        <w:rPr>
          <w:rFonts w:ascii="Times New Roman"/>
          <w:b w:val="false"/>
          <w:i w:val="false"/>
          <w:color w:val="000000"/>
          <w:sz w:val="28"/>
        </w:rPr>
        <w:t>
      Современное состояние</w:t>
      </w:r>
    </w:p>
    <w:bookmarkEnd w:id="275"/>
    <w:bookmarkStart w:name="z283" w:id="276"/>
    <w:p>
      <w:pPr>
        <w:spacing w:after="0"/>
        <w:ind w:left="0"/>
        <w:jc w:val="both"/>
      </w:pPr>
      <w:r>
        <w:rPr>
          <w:rFonts w:ascii="Times New Roman"/>
          <w:b w:val="false"/>
          <w:i w:val="false"/>
          <w:color w:val="000000"/>
          <w:sz w:val="28"/>
        </w:rPr>
        <w:t>
      Действующая система теплоснабжения города Актау представлена двумя основными направлениями:</w:t>
      </w:r>
    </w:p>
    <w:bookmarkEnd w:id="276"/>
    <w:bookmarkStart w:name="z284" w:id="277"/>
    <w:p>
      <w:pPr>
        <w:spacing w:after="0"/>
        <w:ind w:left="0"/>
        <w:jc w:val="both"/>
      </w:pPr>
      <w:r>
        <w:rPr>
          <w:rFonts w:ascii="Times New Roman"/>
          <w:b w:val="false"/>
          <w:i w:val="false"/>
          <w:color w:val="000000"/>
          <w:sz w:val="28"/>
        </w:rPr>
        <w:t>
      централизованное теплоснабжение на базе теплофикации (комбинированная выработка электрической и тепловой энергии) от тепловых электростанций ТОО "МАЭК";</w:t>
      </w:r>
    </w:p>
    <w:bookmarkEnd w:id="277"/>
    <w:bookmarkStart w:name="z285" w:id="278"/>
    <w:p>
      <w:pPr>
        <w:spacing w:after="0"/>
        <w:ind w:left="0"/>
        <w:jc w:val="both"/>
      </w:pPr>
      <w:r>
        <w:rPr>
          <w:rFonts w:ascii="Times New Roman"/>
          <w:b w:val="false"/>
          <w:i w:val="false"/>
          <w:color w:val="000000"/>
          <w:sz w:val="28"/>
        </w:rPr>
        <w:t>
      децентрализованное теплоснабжение от индивидуальных источников теплоснабжения.</w:t>
      </w:r>
    </w:p>
    <w:bookmarkEnd w:id="278"/>
    <w:bookmarkStart w:name="z286" w:id="279"/>
    <w:p>
      <w:pPr>
        <w:spacing w:after="0"/>
        <w:ind w:left="0"/>
        <w:jc w:val="both"/>
      </w:pPr>
      <w:r>
        <w:rPr>
          <w:rFonts w:ascii="Times New Roman"/>
          <w:b w:val="false"/>
          <w:i w:val="false"/>
          <w:color w:val="000000"/>
          <w:sz w:val="28"/>
        </w:rPr>
        <w:t>
      В состав ТОО "МАЭК" входят две теплоэлектроцентрали (ТЭЦ-1 и ТЭЦ-2), одна конденсационная тепловая электростанция (ТЭС), завод по производству дистиллята и промышленному тепловодоснабжению (ЗПД и ПТВС), производственные участки и вспомогательные цеха для обеспечения основных технологических производств предприятия, вспомогательные подразделения и цеха, обеспечивающие работу основных производственных процессов предприятия, которое планируется закрыть.</w:t>
      </w:r>
    </w:p>
    <w:bookmarkEnd w:id="279"/>
    <w:bookmarkStart w:name="z287" w:id="280"/>
    <w:p>
      <w:pPr>
        <w:spacing w:after="0"/>
        <w:ind w:left="0"/>
        <w:jc w:val="both"/>
      </w:pPr>
      <w:r>
        <w:rPr>
          <w:rFonts w:ascii="Times New Roman"/>
          <w:b w:val="false"/>
          <w:i w:val="false"/>
          <w:color w:val="000000"/>
          <w:sz w:val="28"/>
        </w:rPr>
        <w:t xml:space="preserve">
      Установленная тепловая мощность ТОО "МАЭК" - 1753,2 Гкал располагаемая тепловая мощность – 1198,1 Гкал. </w:t>
      </w:r>
    </w:p>
    <w:bookmarkEnd w:id="280"/>
    <w:bookmarkStart w:name="z288" w:id="281"/>
    <w:p>
      <w:pPr>
        <w:spacing w:after="0"/>
        <w:ind w:left="0"/>
        <w:jc w:val="both"/>
      </w:pPr>
      <w:r>
        <w:rPr>
          <w:rFonts w:ascii="Times New Roman"/>
          <w:b w:val="false"/>
          <w:i w:val="false"/>
          <w:color w:val="000000"/>
          <w:sz w:val="28"/>
        </w:rPr>
        <w:t>
      Проектные предложения</w:t>
      </w:r>
    </w:p>
    <w:bookmarkEnd w:id="281"/>
    <w:bookmarkStart w:name="z289" w:id="282"/>
    <w:p>
      <w:pPr>
        <w:spacing w:after="0"/>
        <w:ind w:left="0"/>
        <w:jc w:val="both"/>
      </w:pPr>
      <w:r>
        <w:rPr>
          <w:rFonts w:ascii="Times New Roman"/>
          <w:b w:val="false"/>
          <w:i w:val="false"/>
          <w:color w:val="000000"/>
          <w:sz w:val="28"/>
        </w:rPr>
        <w:t>
      Тепловые нагрузки жилищного сектора и общественного фонда города Актау составили:</w:t>
      </w:r>
    </w:p>
    <w:bookmarkEnd w:id="282"/>
    <w:bookmarkStart w:name="z290" w:id="283"/>
    <w:p>
      <w:pPr>
        <w:spacing w:after="0"/>
        <w:ind w:left="0"/>
        <w:jc w:val="both"/>
      </w:pPr>
      <w:r>
        <w:rPr>
          <w:rFonts w:ascii="Times New Roman"/>
          <w:b w:val="false"/>
          <w:i w:val="false"/>
          <w:color w:val="000000"/>
          <w:sz w:val="28"/>
        </w:rPr>
        <w:t>
      на первую очередь 1048 Гкал/ч;</w:t>
      </w:r>
    </w:p>
    <w:bookmarkEnd w:id="283"/>
    <w:bookmarkStart w:name="z291" w:id="284"/>
    <w:p>
      <w:pPr>
        <w:spacing w:after="0"/>
        <w:ind w:left="0"/>
        <w:jc w:val="both"/>
      </w:pPr>
      <w:r>
        <w:rPr>
          <w:rFonts w:ascii="Times New Roman"/>
          <w:b w:val="false"/>
          <w:i w:val="false"/>
          <w:color w:val="000000"/>
          <w:sz w:val="28"/>
        </w:rPr>
        <w:t>
      на расчетный срок 1680 Гкал/ч.</w:t>
      </w:r>
    </w:p>
    <w:bookmarkEnd w:id="284"/>
    <w:bookmarkStart w:name="z292" w:id="285"/>
    <w:p>
      <w:pPr>
        <w:spacing w:after="0"/>
        <w:ind w:left="0"/>
        <w:jc w:val="both"/>
      </w:pPr>
      <w:r>
        <w:rPr>
          <w:rFonts w:ascii="Times New Roman"/>
          <w:b w:val="false"/>
          <w:i w:val="false"/>
          <w:color w:val="000000"/>
          <w:sz w:val="28"/>
        </w:rPr>
        <w:t>
      Для покрытия тепловых нагрузок вновь строящихся объектов проектом предлагаются проектирование и строительство трех районных котельных тепловой мощностью по 300 Гкал каждая. Параллельно с проектированием котельных будет производится проектирование магистральных тепловых сетей (согласно разрабатываемому ТЭО), тепловых пунктов и распределительных тепловых сетей.</w:t>
      </w:r>
    </w:p>
    <w:bookmarkEnd w:id="285"/>
    <w:bookmarkStart w:name="z293" w:id="286"/>
    <w:p>
      <w:pPr>
        <w:spacing w:after="0"/>
        <w:ind w:left="0"/>
        <w:jc w:val="both"/>
      </w:pPr>
      <w:r>
        <w:rPr>
          <w:rFonts w:ascii="Times New Roman"/>
          <w:b w:val="false"/>
          <w:i w:val="false"/>
          <w:color w:val="000000"/>
          <w:sz w:val="28"/>
        </w:rPr>
        <w:t>
      В связи с развитием города Актау в северо-западном направлении и увеличением тепловых нагрузок проектом предусматриваются поэтапное строительство и прокладка магистральных и распределительных тепловых сетей от проектируемых районных котельных.</w:t>
      </w:r>
    </w:p>
    <w:bookmarkEnd w:id="286"/>
    <w:bookmarkStart w:name="z294" w:id="287"/>
    <w:p>
      <w:pPr>
        <w:spacing w:after="0"/>
        <w:ind w:left="0"/>
        <w:jc w:val="both"/>
      </w:pPr>
      <w:r>
        <w:rPr>
          <w:rFonts w:ascii="Times New Roman"/>
          <w:b w:val="false"/>
          <w:i w:val="false"/>
          <w:color w:val="000000"/>
          <w:sz w:val="28"/>
        </w:rPr>
        <w:t>
      Тепловая нагрузка города Актау</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нагрузки,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Тепловые нагрузки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Жилая и общественная</w:t>
            </w:r>
          </w:p>
          <w:bookmarkEnd w:id="288"/>
          <w:p>
            <w:pPr>
              <w:spacing w:after="20"/>
              <w:ind w:left="20"/>
              <w:jc w:val="both"/>
            </w:pPr>
            <w:r>
              <w:rPr>
                <w:rFonts w:ascii="Times New Roman"/>
                <w:b w:val="false"/>
                <w:i w:val="false"/>
                <w:color w:val="000000"/>
                <w:sz w:val="20"/>
              </w:rPr>
              <w:t>
застройка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новая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Покрытие тепловых нагрузок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районные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Автономные системы отопления (АСО), БМК, квартальные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bl>
    <w:bookmarkStart w:name="z296" w:id="289"/>
    <w:p>
      <w:pPr>
        <w:spacing w:after="0"/>
        <w:ind w:left="0"/>
        <w:jc w:val="left"/>
      </w:pPr>
      <w:r>
        <w:rPr>
          <w:rFonts w:ascii="Times New Roman"/>
          <w:b/>
          <w:i w:val="false"/>
          <w:color w:val="000000"/>
        </w:rPr>
        <w:t xml:space="preserve"> Параграф 6. Газоснабжение</w:t>
      </w:r>
    </w:p>
    <w:bookmarkEnd w:id="289"/>
    <w:bookmarkStart w:name="z297" w:id="290"/>
    <w:p>
      <w:pPr>
        <w:spacing w:after="0"/>
        <w:ind w:left="0"/>
        <w:jc w:val="both"/>
      </w:pPr>
      <w:r>
        <w:rPr>
          <w:rFonts w:ascii="Times New Roman"/>
          <w:b w:val="false"/>
          <w:i w:val="false"/>
          <w:color w:val="000000"/>
          <w:sz w:val="28"/>
        </w:rPr>
        <w:t>
      Современное состояние</w:t>
      </w:r>
    </w:p>
    <w:bookmarkEnd w:id="290"/>
    <w:bookmarkStart w:name="z298" w:id="291"/>
    <w:p>
      <w:pPr>
        <w:spacing w:after="0"/>
        <w:ind w:left="0"/>
        <w:jc w:val="both"/>
      </w:pPr>
      <w:r>
        <w:rPr>
          <w:rFonts w:ascii="Times New Roman"/>
          <w:b w:val="false"/>
          <w:i w:val="false"/>
          <w:color w:val="000000"/>
          <w:sz w:val="28"/>
        </w:rPr>
        <w:t>
      Газоснабжение города Актау осуществляется по газораспределительной системе, запитанной от магистрального газопровода "Жанаозен – Актау" через две совмещенные газораспределительные станции (ГРС-1 и ГРС-2) по трем ниткам газопроводов высокого давления.</w:t>
      </w:r>
    </w:p>
    <w:bookmarkEnd w:id="291"/>
    <w:bookmarkStart w:name="z299" w:id="292"/>
    <w:p>
      <w:pPr>
        <w:spacing w:after="0"/>
        <w:ind w:left="0"/>
        <w:jc w:val="both"/>
      </w:pPr>
      <w:r>
        <w:rPr>
          <w:rFonts w:ascii="Times New Roman"/>
          <w:b w:val="false"/>
          <w:i w:val="false"/>
          <w:color w:val="000000"/>
          <w:sz w:val="28"/>
        </w:rPr>
        <w:t>
      Основным потребителем природного газа является ТОО "МАЭК" (до 92-95 %), обеспечивающее электроэнергией все промышленные предприятия области, население, а также теплом и питьевой водой город Актау и другие населенные пункты региона.</w:t>
      </w:r>
    </w:p>
    <w:bookmarkEnd w:id="292"/>
    <w:bookmarkStart w:name="z300" w:id="293"/>
    <w:p>
      <w:pPr>
        <w:spacing w:after="0"/>
        <w:ind w:left="0"/>
        <w:jc w:val="both"/>
      </w:pPr>
      <w:r>
        <w:rPr>
          <w:rFonts w:ascii="Times New Roman"/>
          <w:b w:val="false"/>
          <w:i w:val="false"/>
          <w:color w:val="000000"/>
          <w:sz w:val="28"/>
        </w:rPr>
        <w:t>
      Население города Актау применяет газ в основном для приготовления пищи.</w:t>
      </w:r>
    </w:p>
    <w:bookmarkEnd w:id="293"/>
    <w:bookmarkStart w:name="z301" w:id="294"/>
    <w:p>
      <w:pPr>
        <w:spacing w:after="0"/>
        <w:ind w:left="0"/>
        <w:jc w:val="both"/>
      </w:pPr>
      <w:r>
        <w:rPr>
          <w:rFonts w:ascii="Times New Roman"/>
          <w:b w:val="false"/>
          <w:i w:val="false"/>
          <w:color w:val="000000"/>
          <w:sz w:val="28"/>
        </w:rPr>
        <w:t>
      Потребление товарного газа по городу Актау в 2023 году составляет:</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Среднечасовой</w:t>
            </w:r>
          </w:p>
          <w:bookmarkEnd w:id="295"/>
          <w:p>
            <w:pPr>
              <w:spacing w:after="20"/>
              <w:ind w:left="20"/>
              <w:jc w:val="both"/>
            </w:pPr>
            <w:r>
              <w:rPr>
                <w:rFonts w:ascii="Times New Roman"/>
                <w:b w:val="false"/>
                <w:i w:val="false"/>
                <w:color w:val="000000"/>
                <w:sz w:val="20"/>
              </w:rPr>
              <w:t>
расход,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Коммунально-бытовой сектор, бюджетные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2 017 498 081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230 308,0
</w:t>
            </w:r>
          </w:p>
        </w:tc>
      </w:tr>
    </w:tbl>
    <w:bookmarkStart w:name="z303" w:id="296"/>
    <w:p>
      <w:pPr>
        <w:spacing w:after="0"/>
        <w:ind w:left="0"/>
        <w:jc w:val="both"/>
      </w:pPr>
      <w:r>
        <w:rPr>
          <w:rFonts w:ascii="Times New Roman"/>
          <w:b w:val="false"/>
          <w:i w:val="false"/>
          <w:color w:val="000000"/>
          <w:sz w:val="28"/>
        </w:rPr>
        <w:t>
      Проектные предложения</w:t>
      </w:r>
    </w:p>
    <w:bookmarkEnd w:id="296"/>
    <w:bookmarkStart w:name="z304" w:id="297"/>
    <w:p>
      <w:pPr>
        <w:spacing w:after="0"/>
        <w:ind w:left="0"/>
        <w:jc w:val="both"/>
      </w:pPr>
      <w:r>
        <w:rPr>
          <w:rFonts w:ascii="Times New Roman"/>
          <w:b w:val="false"/>
          <w:i w:val="false"/>
          <w:color w:val="000000"/>
          <w:sz w:val="28"/>
        </w:rPr>
        <w:t>
      Проектом предусматривается дальнейшее расширение системы газификации города Актау в связи с намечаемым настоящим проектом строительством объектов жилищно-гражданского и коммунально-бытового назначения, увеличением численности населения.</w:t>
      </w:r>
    </w:p>
    <w:bookmarkEnd w:id="297"/>
    <w:bookmarkStart w:name="z305" w:id="298"/>
    <w:p>
      <w:pPr>
        <w:spacing w:after="0"/>
        <w:ind w:left="0"/>
        <w:jc w:val="both"/>
      </w:pPr>
      <w:r>
        <w:rPr>
          <w:rFonts w:ascii="Times New Roman"/>
          <w:b w:val="false"/>
          <w:i w:val="false"/>
          <w:color w:val="000000"/>
          <w:sz w:val="28"/>
        </w:rPr>
        <w:t>
      Укрупненные нормы потребления природного газа в жилых домах на одного человека приняты в следующих размерах:</w:t>
      </w:r>
    </w:p>
    <w:bookmarkEnd w:id="298"/>
    <w:bookmarkStart w:name="z306" w:id="299"/>
    <w:p>
      <w:pPr>
        <w:spacing w:after="0"/>
        <w:ind w:left="0"/>
        <w:jc w:val="both"/>
      </w:pPr>
      <w:r>
        <w:rPr>
          <w:rFonts w:ascii="Times New Roman"/>
          <w:b w:val="false"/>
          <w:i w:val="false"/>
          <w:color w:val="000000"/>
          <w:sz w:val="28"/>
        </w:rPr>
        <w:t>
      при наличии централизованного горячего водоснабжения – 120 м</w:t>
      </w:r>
      <w:r>
        <w:rPr>
          <w:rFonts w:ascii="Times New Roman"/>
          <w:b w:val="false"/>
          <w:i w:val="false"/>
          <w:color w:val="000000"/>
          <w:vertAlign w:val="superscript"/>
        </w:rPr>
        <w:t>3</w:t>
      </w:r>
      <w:r>
        <w:rPr>
          <w:rFonts w:ascii="Times New Roman"/>
          <w:b w:val="false"/>
          <w:i w:val="false"/>
          <w:color w:val="000000"/>
          <w:sz w:val="28"/>
        </w:rPr>
        <w:t>;</w:t>
      </w:r>
    </w:p>
    <w:bookmarkEnd w:id="299"/>
    <w:bookmarkStart w:name="z307" w:id="300"/>
    <w:p>
      <w:pPr>
        <w:spacing w:after="0"/>
        <w:ind w:left="0"/>
        <w:jc w:val="both"/>
      </w:pPr>
      <w:r>
        <w:rPr>
          <w:rFonts w:ascii="Times New Roman"/>
          <w:b w:val="false"/>
          <w:i w:val="false"/>
          <w:color w:val="000000"/>
          <w:sz w:val="28"/>
        </w:rPr>
        <w:t>
      при отсутствии всяких видов горячего водоснабжения – 180 м</w:t>
      </w:r>
      <w:r>
        <w:rPr>
          <w:rFonts w:ascii="Times New Roman"/>
          <w:b w:val="false"/>
          <w:i w:val="false"/>
          <w:color w:val="000000"/>
          <w:vertAlign w:val="superscript"/>
        </w:rPr>
        <w:t>3</w:t>
      </w:r>
      <w:r>
        <w:rPr>
          <w:rFonts w:ascii="Times New Roman"/>
          <w:b w:val="false"/>
          <w:i w:val="false"/>
          <w:color w:val="000000"/>
          <w:sz w:val="28"/>
        </w:rPr>
        <w:t>.</w:t>
      </w:r>
    </w:p>
    <w:bookmarkEnd w:id="300"/>
    <w:bookmarkStart w:name="z308" w:id="301"/>
    <w:p>
      <w:pPr>
        <w:spacing w:after="0"/>
        <w:ind w:left="0"/>
        <w:jc w:val="both"/>
      </w:pPr>
      <w:r>
        <w:rPr>
          <w:rFonts w:ascii="Times New Roman"/>
          <w:b w:val="false"/>
          <w:i w:val="false"/>
          <w:color w:val="000000"/>
          <w:sz w:val="28"/>
        </w:rPr>
        <w:t>
      Годовой расход газа на коммунально-бытовые предприятия составит не более 5 % от суммарного потребления газа жилыми домами.</w:t>
      </w:r>
    </w:p>
    <w:bookmarkEnd w:id="301"/>
    <w:bookmarkStart w:name="z309" w:id="302"/>
    <w:p>
      <w:pPr>
        <w:spacing w:after="0"/>
        <w:ind w:left="0"/>
        <w:jc w:val="both"/>
      </w:pPr>
      <w:r>
        <w:rPr>
          <w:rFonts w:ascii="Times New Roman"/>
          <w:b w:val="false"/>
          <w:i w:val="false"/>
          <w:color w:val="000000"/>
          <w:sz w:val="28"/>
        </w:rPr>
        <w:t>
      Годовые расходы природного газа на промышленные нужды (основной вид топлива для ТЭЦ, коммунальных и промышленных котельных) приняты по годовой выработке тепловой энергии с учетом КПД топливо-использующих установок.</w:t>
      </w:r>
    </w:p>
    <w:bookmarkEnd w:id="302"/>
    <w:bookmarkStart w:name="z310" w:id="303"/>
    <w:p>
      <w:pPr>
        <w:spacing w:after="0"/>
        <w:ind w:left="0"/>
        <w:jc w:val="both"/>
      </w:pPr>
      <w:r>
        <w:rPr>
          <w:rFonts w:ascii="Times New Roman"/>
          <w:b w:val="false"/>
          <w:i w:val="false"/>
          <w:color w:val="000000"/>
          <w:sz w:val="28"/>
        </w:rPr>
        <w:t>
      С учетом развития города Актау и увеличения нагрузок проектом на расчетный срок предлагается строительство АГРС-4 с точкой подключения от магистрального газопровода "Жанаөзен – Жетыбай – Актау" с планируемым потреблением расхода газа на перспективу 300 тыс. м</w:t>
      </w:r>
      <w:r>
        <w:rPr>
          <w:rFonts w:ascii="Times New Roman"/>
          <w:b w:val="false"/>
          <w:i w:val="false"/>
          <w:color w:val="000000"/>
          <w:vertAlign w:val="superscript"/>
        </w:rPr>
        <w:t>3</w:t>
      </w:r>
      <w:r>
        <w:rPr>
          <w:rFonts w:ascii="Times New Roman"/>
          <w:b w:val="false"/>
          <w:i w:val="false"/>
          <w:color w:val="000000"/>
          <w:sz w:val="28"/>
        </w:rPr>
        <w:t>/час. Данное решение дополнительно позволит решить задачу резервирования (закольцовки) системы газоснабжения города с целью обеспечения бесперебойной подачи газа.</w:t>
      </w:r>
    </w:p>
    <w:bookmarkEnd w:id="303"/>
    <w:bookmarkStart w:name="z311" w:id="304"/>
    <w:p>
      <w:pPr>
        <w:spacing w:after="0"/>
        <w:ind w:left="0"/>
        <w:jc w:val="both"/>
      </w:pPr>
      <w:r>
        <w:rPr>
          <w:rFonts w:ascii="Times New Roman"/>
          <w:b w:val="false"/>
          <w:i w:val="false"/>
          <w:color w:val="000000"/>
          <w:sz w:val="28"/>
        </w:rPr>
        <w:t>
      Общий суммарный расход природного газа города Актау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застройка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2183839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249296,69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2207160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251958,90
</w:t>
            </w:r>
          </w:p>
        </w:tc>
      </w:tr>
    </w:tbl>
    <w:bookmarkStart w:name="z312" w:id="305"/>
    <w:p>
      <w:pPr>
        <w:spacing w:after="0"/>
        <w:ind w:left="0"/>
        <w:jc w:val="left"/>
      </w:pPr>
      <w:r>
        <w:rPr>
          <w:rFonts w:ascii="Times New Roman"/>
          <w:b/>
          <w:i w:val="false"/>
          <w:color w:val="000000"/>
        </w:rPr>
        <w:t xml:space="preserve"> Параграф 7. Телефонизация</w:t>
      </w:r>
    </w:p>
    <w:bookmarkEnd w:id="305"/>
    <w:bookmarkStart w:name="z313" w:id="306"/>
    <w:p>
      <w:pPr>
        <w:spacing w:after="0"/>
        <w:ind w:left="0"/>
        <w:jc w:val="both"/>
      </w:pPr>
      <w:r>
        <w:rPr>
          <w:rFonts w:ascii="Times New Roman"/>
          <w:b w:val="false"/>
          <w:i w:val="false"/>
          <w:color w:val="000000"/>
          <w:sz w:val="28"/>
        </w:rPr>
        <w:t>
      При ожидаемом увеличении численности населения Генеральным планом предусмотрено строительство станционных и линейных сооружений на всей территории.</w:t>
      </w:r>
    </w:p>
    <w:bookmarkEnd w:id="306"/>
    <w:bookmarkStart w:name="z314" w:id="307"/>
    <w:p>
      <w:pPr>
        <w:spacing w:after="0"/>
        <w:ind w:left="0"/>
        <w:jc w:val="both"/>
      </w:pPr>
      <w:r>
        <w:rPr>
          <w:rFonts w:ascii="Times New Roman"/>
          <w:b w:val="false"/>
          <w:i w:val="false"/>
          <w:color w:val="000000"/>
          <w:sz w:val="28"/>
        </w:rPr>
        <w:t>
      Для решения проблем, связанных с качеством связи, проектом рекомендуются:</w:t>
      </w:r>
    </w:p>
    <w:bookmarkEnd w:id="307"/>
    <w:bookmarkStart w:name="z315" w:id="308"/>
    <w:p>
      <w:pPr>
        <w:spacing w:after="0"/>
        <w:ind w:left="0"/>
        <w:jc w:val="both"/>
      </w:pPr>
      <w:r>
        <w:rPr>
          <w:rFonts w:ascii="Times New Roman"/>
          <w:b w:val="false"/>
          <w:i w:val="false"/>
          <w:color w:val="000000"/>
          <w:sz w:val="28"/>
        </w:rPr>
        <w:t>
      реконструкция системы телекоммуникации: модернизация и замена устаревших сетей и оборудования;</w:t>
      </w:r>
    </w:p>
    <w:bookmarkEnd w:id="308"/>
    <w:bookmarkStart w:name="z316" w:id="309"/>
    <w:p>
      <w:pPr>
        <w:spacing w:after="0"/>
        <w:ind w:left="0"/>
        <w:jc w:val="both"/>
      </w:pPr>
      <w:r>
        <w:rPr>
          <w:rFonts w:ascii="Times New Roman"/>
          <w:b w:val="false"/>
          <w:i w:val="false"/>
          <w:color w:val="000000"/>
          <w:sz w:val="28"/>
        </w:rPr>
        <w:t>
      поэтапная перекладка существующих воздушных линий связи в телефонную кабельную канализацию, а также замена кабеля магистральной сети с медными жилами на оптико-волоконные.</w:t>
      </w:r>
    </w:p>
    <w:bookmarkEnd w:id="309"/>
    <w:bookmarkStart w:name="z317" w:id="310"/>
    <w:p>
      <w:pPr>
        <w:spacing w:after="0"/>
        <w:ind w:left="0"/>
        <w:jc w:val="both"/>
      </w:pPr>
      <w:r>
        <w:rPr>
          <w:rFonts w:ascii="Times New Roman"/>
          <w:b w:val="false"/>
          <w:i w:val="false"/>
          <w:color w:val="000000"/>
          <w:sz w:val="28"/>
        </w:rPr>
        <w:t>
      На вновь осваиваемых и реконструируемых территориях предлагается строительство современной телекоммуникационной сети по современным технологиям – для обеспечения населения высококачественным и скоростным интернетом, цифровым телевидением и IP-телефонии через волоконно-оптический линейный сервис с установкой оптических распределительных шкафов (ОРШ) и оптических распределительных коробок.</w:t>
      </w:r>
    </w:p>
    <w:bookmarkEnd w:id="310"/>
    <w:bookmarkStart w:name="z318" w:id="311"/>
    <w:p>
      <w:pPr>
        <w:spacing w:after="0"/>
        <w:ind w:left="0"/>
        <w:jc w:val="both"/>
      </w:pPr>
      <w:r>
        <w:rPr>
          <w:rFonts w:ascii="Times New Roman"/>
          <w:b w:val="false"/>
          <w:i w:val="false"/>
          <w:color w:val="000000"/>
          <w:sz w:val="28"/>
        </w:rPr>
        <w:t>
      Количество проектируемых абонентов:</w:t>
      </w:r>
    </w:p>
    <w:bookmarkEnd w:id="311"/>
    <w:bookmarkStart w:name="z319" w:id="312"/>
    <w:p>
      <w:pPr>
        <w:spacing w:after="0"/>
        <w:ind w:left="0"/>
        <w:jc w:val="both"/>
      </w:pPr>
      <w:r>
        <w:rPr>
          <w:rFonts w:ascii="Times New Roman"/>
          <w:b w:val="false"/>
          <w:i w:val="false"/>
          <w:color w:val="000000"/>
          <w:sz w:val="28"/>
        </w:rPr>
        <w:t>
      на первую очередь – 84517 номеров;</w:t>
      </w:r>
    </w:p>
    <w:bookmarkEnd w:id="312"/>
    <w:bookmarkStart w:name="z320" w:id="313"/>
    <w:p>
      <w:pPr>
        <w:spacing w:after="0"/>
        <w:ind w:left="0"/>
        <w:jc w:val="both"/>
      </w:pPr>
      <w:r>
        <w:rPr>
          <w:rFonts w:ascii="Times New Roman"/>
          <w:b w:val="false"/>
          <w:i w:val="false"/>
          <w:color w:val="000000"/>
          <w:sz w:val="28"/>
        </w:rPr>
        <w:t>
      на расчетный срок – 125059 номеров.</w:t>
      </w:r>
    </w:p>
    <w:bookmarkEnd w:id="313"/>
    <w:bookmarkStart w:name="z321" w:id="314"/>
    <w:p>
      <w:pPr>
        <w:spacing w:after="0"/>
        <w:ind w:left="0"/>
        <w:jc w:val="left"/>
      </w:pPr>
      <w:r>
        <w:rPr>
          <w:rFonts w:ascii="Times New Roman"/>
          <w:b/>
          <w:i w:val="false"/>
          <w:color w:val="000000"/>
        </w:rPr>
        <w:t xml:space="preserve"> Глава 13. Инженерная подготовка территории</w:t>
      </w:r>
    </w:p>
    <w:bookmarkEnd w:id="314"/>
    <w:bookmarkStart w:name="z322" w:id="315"/>
    <w:p>
      <w:pPr>
        <w:spacing w:after="0"/>
        <w:ind w:left="0"/>
        <w:jc w:val="both"/>
      </w:pPr>
      <w:r>
        <w:rPr>
          <w:rFonts w:ascii="Times New Roman"/>
          <w:b w:val="false"/>
          <w:i w:val="false"/>
          <w:color w:val="000000"/>
          <w:sz w:val="28"/>
        </w:rPr>
        <w:t>
      В Генеральном плане города Актау предусматривается решение комплекса мероприятий по защите территории от опасных физико-геологических процессов и явлений, а также улучшению санитарно-гигиенических и экологических условий жизни населения.</w:t>
      </w:r>
    </w:p>
    <w:bookmarkEnd w:id="315"/>
    <w:bookmarkStart w:name="z323" w:id="316"/>
    <w:p>
      <w:pPr>
        <w:spacing w:after="0"/>
        <w:ind w:left="0"/>
        <w:jc w:val="both"/>
      </w:pPr>
      <w:r>
        <w:rPr>
          <w:rFonts w:ascii="Times New Roman"/>
          <w:b w:val="false"/>
          <w:i w:val="false"/>
          <w:color w:val="000000"/>
          <w:sz w:val="28"/>
        </w:rPr>
        <w:t>
      В результате изучения природных условий и анализа современного состояния инженерных сетей и систем по защите территории от опасных физико-геологических процессов инженерная подготовка территории, разработанная проектом Генерального плана, включает следующие мероприятия:</w:t>
      </w:r>
    </w:p>
    <w:bookmarkEnd w:id="316"/>
    <w:bookmarkStart w:name="z324" w:id="317"/>
    <w:p>
      <w:pPr>
        <w:spacing w:after="0"/>
        <w:ind w:left="0"/>
        <w:jc w:val="both"/>
      </w:pPr>
      <w:r>
        <w:rPr>
          <w:rFonts w:ascii="Times New Roman"/>
          <w:b w:val="false"/>
          <w:i w:val="false"/>
          <w:color w:val="000000"/>
          <w:sz w:val="28"/>
        </w:rPr>
        <w:t>
      вертикальную планировку территории;</w:t>
      </w:r>
    </w:p>
    <w:bookmarkEnd w:id="317"/>
    <w:bookmarkStart w:name="z325" w:id="318"/>
    <w:p>
      <w:pPr>
        <w:spacing w:after="0"/>
        <w:ind w:left="0"/>
        <w:jc w:val="both"/>
      </w:pPr>
      <w:r>
        <w:rPr>
          <w:rFonts w:ascii="Times New Roman"/>
          <w:b w:val="false"/>
          <w:i w:val="false"/>
          <w:color w:val="000000"/>
          <w:sz w:val="28"/>
        </w:rPr>
        <w:t>
      организацию поверхностного стока;</w:t>
      </w:r>
    </w:p>
    <w:bookmarkEnd w:id="318"/>
    <w:bookmarkStart w:name="z326" w:id="319"/>
    <w:p>
      <w:pPr>
        <w:spacing w:after="0"/>
        <w:ind w:left="0"/>
        <w:jc w:val="both"/>
      </w:pPr>
      <w:r>
        <w:rPr>
          <w:rFonts w:ascii="Times New Roman"/>
          <w:b w:val="false"/>
          <w:i w:val="false"/>
          <w:color w:val="000000"/>
          <w:sz w:val="28"/>
        </w:rPr>
        <w:t>
      защиту прибрежной зоны от размыва нагонными волнами Каспийского моря;</w:t>
      </w:r>
    </w:p>
    <w:bookmarkEnd w:id="319"/>
    <w:bookmarkStart w:name="z327" w:id="320"/>
    <w:p>
      <w:pPr>
        <w:spacing w:after="0"/>
        <w:ind w:left="0"/>
        <w:jc w:val="both"/>
      </w:pPr>
      <w:r>
        <w:rPr>
          <w:rFonts w:ascii="Times New Roman"/>
          <w:b w:val="false"/>
          <w:i w:val="false"/>
          <w:color w:val="000000"/>
          <w:sz w:val="28"/>
        </w:rPr>
        <w:t>
      организацию полива зеленых насаждений.</w:t>
      </w:r>
    </w:p>
    <w:bookmarkEnd w:id="320"/>
    <w:bookmarkStart w:name="z328" w:id="321"/>
    <w:p>
      <w:pPr>
        <w:spacing w:after="0"/>
        <w:ind w:left="0"/>
        <w:jc w:val="left"/>
      </w:pPr>
      <w:r>
        <w:rPr>
          <w:rFonts w:ascii="Times New Roman"/>
          <w:b/>
          <w:i w:val="false"/>
          <w:color w:val="000000"/>
        </w:rPr>
        <w:t xml:space="preserve"> Глава 14. Охрана окружающей среды</w:t>
      </w:r>
    </w:p>
    <w:bookmarkEnd w:id="321"/>
    <w:bookmarkStart w:name="z329" w:id="322"/>
    <w:p>
      <w:pPr>
        <w:spacing w:after="0"/>
        <w:ind w:left="0"/>
        <w:jc w:val="both"/>
      </w:pPr>
      <w:r>
        <w:rPr>
          <w:rFonts w:ascii="Times New Roman"/>
          <w:b w:val="false"/>
          <w:i w:val="false"/>
          <w:color w:val="000000"/>
          <w:sz w:val="28"/>
        </w:rPr>
        <w:t>
      В целях улучшения санитарно-гигиенического состояния воздушного бассейна города Актау предусматриваются инженерно-технические и технологические, планировочные и организационные комплексы мероприятий.</w:t>
      </w:r>
    </w:p>
    <w:bookmarkEnd w:id="322"/>
    <w:bookmarkStart w:name="z330" w:id="323"/>
    <w:p>
      <w:pPr>
        <w:spacing w:after="0"/>
        <w:ind w:left="0"/>
        <w:jc w:val="both"/>
      </w:pPr>
      <w:r>
        <w:rPr>
          <w:rFonts w:ascii="Times New Roman"/>
          <w:b w:val="false"/>
          <w:i w:val="false"/>
          <w:color w:val="000000"/>
          <w:sz w:val="28"/>
        </w:rPr>
        <w:t>
      Проектом приняты следующие планировочные решения:</w:t>
      </w:r>
    </w:p>
    <w:bookmarkEnd w:id="323"/>
    <w:bookmarkStart w:name="z331" w:id="324"/>
    <w:p>
      <w:pPr>
        <w:spacing w:after="0"/>
        <w:ind w:left="0"/>
        <w:jc w:val="both"/>
      </w:pPr>
      <w:r>
        <w:rPr>
          <w:rFonts w:ascii="Times New Roman"/>
          <w:b w:val="false"/>
          <w:i w:val="false"/>
          <w:color w:val="000000"/>
          <w:sz w:val="28"/>
        </w:rPr>
        <w:t>
      сохранение деления города на две части – селитебную (северо-западную) и промышленно-производственную (юго-восточную);</w:t>
      </w:r>
    </w:p>
    <w:bookmarkEnd w:id="324"/>
    <w:bookmarkStart w:name="z332" w:id="325"/>
    <w:p>
      <w:pPr>
        <w:spacing w:after="0"/>
        <w:ind w:left="0"/>
        <w:jc w:val="both"/>
      </w:pPr>
      <w:r>
        <w:rPr>
          <w:rFonts w:ascii="Times New Roman"/>
          <w:b w:val="false"/>
          <w:i w:val="false"/>
          <w:color w:val="000000"/>
          <w:sz w:val="28"/>
        </w:rPr>
        <w:t>
      регулярная планировочная структура города с продольными и поперечными магистральными улицами, организацией пешеходных улиц и бульваров;</w:t>
      </w:r>
    </w:p>
    <w:bookmarkEnd w:id="325"/>
    <w:bookmarkStart w:name="z333" w:id="326"/>
    <w:p>
      <w:pPr>
        <w:spacing w:after="0"/>
        <w:ind w:left="0"/>
        <w:jc w:val="both"/>
      </w:pPr>
      <w:r>
        <w:rPr>
          <w:rFonts w:ascii="Times New Roman"/>
          <w:b w:val="false"/>
          <w:i w:val="false"/>
          <w:color w:val="000000"/>
          <w:sz w:val="28"/>
        </w:rPr>
        <w:t>
      упорядочение и уплотнение существующих промышленных территорий с размещением здесь новых предприятий; эффективное использование промышленных территорий за счет расширения СЭЗ "Морпорт Актау";</w:t>
      </w:r>
    </w:p>
    <w:bookmarkEnd w:id="326"/>
    <w:bookmarkStart w:name="z334" w:id="327"/>
    <w:p>
      <w:pPr>
        <w:spacing w:after="0"/>
        <w:ind w:left="0"/>
        <w:jc w:val="both"/>
      </w:pPr>
      <w:r>
        <w:rPr>
          <w:rFonts w:ascii="Times New Roman"/>
          <w:b w:val="false"/>
          <w:i w:val="false"/>
          <w:color w:val="000000"/>
          <w:sz w:val="28"/>
        </w:rPr>
        <w:t>
      строительство обводной транзитной автомагистрали, проходящей от морского порта севернее поселка Умирзак вдоль озеры. Караколь, восточнее поселка Кызыл Тобе и поселка Мангистау, севернее аэропорта с выходом на трассу "Актау – Форт-Шевченко";</w:t>
      </w:r>
    </w:p>
    <w:bookmarkEnd w:id="327"/>
    <w:bookmarkStart w:name="z335" w:id="328"/>
    <w:p>
      <w:pPr>
        <w:spacing w:after="0"/>
        <w:ind w:left="0"/>
        <w:jc w:val="both"/>
      </w:pPr>
      <w:r>
        <w:rPr>
          <w:rFonts w:ascii="Times New Roman"/>
          <w:b w:val="false"/>
          <w:i w:val="false"/>
          <w:color w:val="000000"/>
          <w:sz w:val="28"/>
        </w:rPr>
        <w:t>
      организация санитарно-защитных зон между промышленными и селитебными территориями в соответствии с санитарными нормами и правилами;</w:t>
      </w:r>
    </w:p>
    <w:bookmarkEnd w:id="328"/>
    <w:bookmarkStart w:name="z336" w:id="329"/>
    <w:p>
      <w:pPr>
        <w:spacing w:after="0"/>
        <w:ind w:left="0"/>
        <w:jc w:val="both"/>
      </w:pPr>
      <w:r>
        <w:rPr>
          <w:rFonts w:ascii="Times New Roman"/>
          <w:b w:val="false"/>
          <w:i w:val="false"/>
          <w:color w:val="000000"/>
          <w:sz w:val="28"/>
        </w:rPr>
        <w:t>
      разгрузка городского центра за счет создания системы полицентров общественного обслуживания, формирование пешеходных улиц;</w:t>
      </w:r>
    </w:p>
    <w:bookmarkEnd w:id="329"/>
    <w:bookmarkStart w:name="z337" w:id="330"/>
    <w:p>
      <w:pPr>
        <w:spacing w:after="0"/>
        <w:ind w:left="0"/>
        <w:jc w:val="both"/>
      </w:pPr>
      <w:r>
        <w:rPr>
          <w:rFonts w:ascii="Times New Roman"/>
          <w:b w:val="false"/>
          <w:i w:val="false"/>
          <w:color w:val="000000"/>
          <w:sz w:val="28"/>
        </w:rPr>
        <w:t>
      озеленение территории города, санитарно-защитных зон;</w:t>
      </w:r>
    </w:p>
    <w:bookmarkEnd w:id="330"/>
    <w:bookmarkStart w:name="z338" w:id="331"/>
    <w:p>
      <w:pPr>
        <w:spacing w:after="0"/>
        <w:ind w:left="0"/>
        <w:jc w:val="both"/>
      </w:pPr>
      <w:r>
        <w:rPr>
          <w:rFonts w:ascii="Times New Roman"/>
          <w:b w:val="false"/>
          <w:i w:val="false"/>
          <w:color w:val="000000"/>
          <w:sz w:val="28"/>
        </w:rPr>
        <w:t>
      организация санитарно-защитных зон промышленных предприятий;</w:t>
      </w:r>
    </w:p>
    <w:bookmarkEnd w:id="331"/>
    <w:bookmarkStart w:name="z339" w:id="332"/>
    <w:p>
      <w:pPr>
        <w:spacing w:after="0"/>
        <w:ind w:left="0"/>
        <w:jc w:val="both"/>
      </w:pPr>
      <w:r>
        <w:rPr>
          <w:rFonts w:ascii="Times New Roman"/>
          <w:b w:val="false"/>
          <w:i w:val="false"/>
          <w:color w:val="000000"/>
          <w:sz w:val="28"/>
        </w:rPr>
        <w:t>
      создание непрерывной системы озеленения (парки, скверы, бульвары, аллеи, придорожные лесополосы, озеленение санитарно-защитных и прибрежных территорий).</w:t>
      </w:r>
    </w:p>
    <w:bookmarkEnd w:id="332"/>
    <w:bookmarkStart w:name="z340" w:id="333"/>
    <w:p>
      <w:pPr>
        <w:spacing w:after="0"/>
        <w:ind w:left="0"/>
        <w:jc w:val="both"/>
      </w:pPr>
      <w:r>
        <w:rPr>
          <w:rFonts w:ascii="Times New Roman"/>
          <w:b w:val="false"/>
          <w:i w:val="false"/>
          <w:color w:val="000000"/>
          <w:sz w:val="28"/>
        </w:rPr>
        <w:t>
      в селитебной части ограничение движения грузового транспорта;</w:t>
      </w:r>
    </w:p>
    <w:bookmarkEnd w:id="333"/>
    <w:bookmarkStart w:name="z341" w:id="334"/>
    <w:p>
      <w:pPr>
        <w:spacing w:after="0"/>
        <w:ind w:left="0"/>
        <w:jc w:val="both"/>
      </w:pPr>
      <w:r>
        <w:rPr>
          <w:rFonts w:ascii="Times New Roman"/>
          <w:b w:val="false"/>
          <w:i w:val="false"/>
          <w:color w:val="000000"/>
          <w:sz w:val="28"/>
        </w:rPr>
        <w:t>
      пропуск транзитного транспорта по объездным дорогам в обход селитебной территории;</w:t>
      </w:r>
    </w:p>
    <w:bookmarkEnd w:id="334"/>
    <w:bookmarkStart w:name="z342" w:id="335"/>
    <w:p>
      <w:pPr>
        <w:spacing w:after="0"/>
        <w:ind w:left="0"/>
        <w:jc w:val="both"/>
      </w:pPr>
      <w:r>
        <w:rPr>
          <w:rFonts w:ascii="Times New Roman"/>
          <w:b w:val="false"/>
          <w:i w:val="false"/>
          <w:color w:val="000000"/>
          <w:sz w:val="28"/>
        </w:rPr>
        <w:t>
      рациональное размещение автобусных парков, конечных остановочных пунктов внутригородских маршрутов, автовокзала, АЗС, СТО, моечных установок;</w:t>
      </w:r>
    </w:p>
    <w:bookmarkEnd w:id="335"/>
    <w:bookmarkStart w:name="z343" w:id="336"/>
    <w:p>
      <w:pPr>
        <w:spacing w:after="0"/>
        <w:ind w:left="0"/>
        <w:jc w:val="both"/>
      </w:pPr>
      <w:r>
        <w:rPr>
          <w:rFonts w:ascii="Times New Roman"/>
          <w:b w:val="false"/>
          <w:i w:val="false"/>
          <w:color w:val="000000"/>
          <w:sz w:val="28"/>
        </w:rPr>
        <w:t>
      формирование поперечных профилей магистралей, запроектированных в соответствии с нормативными требованиями, в зависимости от их классификации, что позволит снизить уровень транспортного шума до нормативных пределов 70 ДБА;</w:t>
      </w:r>
    </w:p>
    <w:bookmarkEnd w:id="336"/>
    <w:bookmarkStart w:name="z344" w:id="337"/>
    <w:p>
      <w:pPr>
        <w:spacing w:after="0"/>
        <w:ind w:left="0"/>
        <w:jc w:val="both"/>
      </w:pPr>
      <w:r>
        <w:rPr>
          <w:rFonts w:ascii="Times New Roman"/>
          <w:b w:val="false"/>
          <w:i w:val="false"/>
          <w:color w:val="000000"/>
          <w:sz w:val="28"/>
        </w:rPr>
        <w:t>
      строительство мостовых переходов, путепроводных развязок позволит осуществлять безостановочный пропуск транспортных потоков, снизить уровень загазованности.</w:t>
      </w:r>
    </w:p>
    <w:bookmarkEnd w:id="337"/>
    <w:bookmarkStart w:name="z345" w:id="338"/>
    <w:p>
      <w:pPr>
        <w:spacing w:after="0"/>
        <w:ind w:left="0"/>
        <w:jc w:val="both"/>
      </w:pPr>
      <w:r>
        <w:rPr>
          <w:rFonts w:ascii="Times New Roman"/>
          <w:b w:val="false"/>
          <w:i w:val="false"/>
          <w:color w:val="000000"/>
          <w:sz w:val="28"/>
        </w:rPr>
        <w:t>
      Инженерно-технические и технологические мероприятия включают:</w:t>
      </w:r>
    </w:p>
    <w:bookmarkEnd w:id="338"/>
    <w:bookmarkStart w:name="z346" w:id="339"/>
    <w:p>
      <w:pPr>
        <w:spacing w:after="0"/>
        <w:ind w:left="0"/>
        <w:jc w:val="both"/>
      </w:pPr>
      <w:r>
        <w:rPr>
          <w:rFonts w:ascii="Times New Roman"/>
          <w:b w:val="false"/>
          <w:i w:val="false"/>
          <w:color w:val="000000"/>
          <w:sz w:val="28"/>
        </w:rPr>
        <w:t>
      модернизацию действующих предприятий с внедрением новейшего оборудования и технологических процессов с меньшим уровнем выбросов, сбросов и отходов в окружающую среду;</w:t>
      </w:r>
    </w:p>
    <w:bookmarkEnd w:id="339"/>
    <w:bookmarkStart w:name="z347" w:id="340"/>
    <w:p>
      <w:pPr>
        <w:spacing w:after="0"/>
        <w:ind w:left="0"/>
        <w:jc w:val="both"/>
      </w:pPr>
      <w:r>
        <w:rPr>
          <w:rFonts w:ascii="Times New Roman"/>
          <w:b w:val="false"/>
          <w:i w:val="false"/>
          <w:color w:val="000000"/>
          <w:sz w:val="28"/>
        </w:rPr>
        <w:t>
      строительство новых экологически чистых производств;</w:t>
      </w:r>
    </w:p>
    <w:bookmarkEnd w:id="340"/>
    <w:bookmarkStart w:name="z348" w:id="341"/>
    <w:p>
      <w:pPr>
        <w:spacing w:after="0"/>
        <w:ind w:left="0"/>
        <w:jc w:val="both"/>
      </w:pPr>
      <w:r>
        <w:rPr>
          <w:rFonts w:ascii="Times New Roman"/>
          <w:b w:val="false"/>
          <w:i w:val="false"/>
          <w:color w:val="000000"/>
          <w:sz w:val="28"/>
        </w:rPr>
        <w:t>
       установку на всех источниках выбросов эффективных пыле- и газоочистных сооружений;</w:t>
      </w:r>
    </w:p>
    <w:bookmarkEnd w:id="341"/>
    <w:bookmarkStart w:name="z349" w:id="342"/>
    <w:p>
      <w:pPr>
        <w:spacing w:after="0"/>
        <w:ind w:left="0"/>
        <w:jc w:val="both"/>
      </w:pPr>
      <w:r>
        <w:rPr>
          <w:rFonts w:ascii="Times New Roman"/>
          <w:b w:val="false"/>
          <w:i w:val="false"/>
          <w:color w:val="000000"/>
          <w:sz w:val="28"/>
        </w:rPr>
        <w:t>
      рекультивацию хвостохранилища Кошкар-Ата;</w:t>
      </w:r>
    </w:p>
    <w:bookmarkEnd w:id="342"/>
    <w:bookmarkStart w:name="z350" w:id="343"/>
    <w:p>
      <w:pPr>
        <w:spacing w:after="0"/>
        <w:ind w:left="0"/>
        <w:jc w:val="both"/>
      </w:pPr>
      <w:r>
        <w:rPr>
          <w:rFonts w:ascii="Times New Roman"/>
          <w:b w:val="false"/>
          <w:i w:val="false"/>
          <w:color w:val="000000"/>
          <w:sz w:val="28"/>
        </w:rPr>
        <w:t>
      оснащение объектов промышленности, энергетики и городского хозяйства современным газоочистным, пылеулавливающим и водоочистным оборудованием;</w:t>
      </w:r>
    </w:p>
    <w:bookmarkEnd w:id="343"/>
    <w:bookmarkStart w:name="z351" w:id="344"/>
    <w:p>
      <w:pPr>
        <w:spacing w:after="0"/>
        <w:ind w:left="0"/>
        <w:jc w:val="both"/>
      </w:pPr>
      <w:r>
        <w:rPr>
          <w:rFonts w:ascii="Times New Roman"/>
          <w:b w:val="false"/>
          <w:i w:val="false"/>
          <w:color w:val="000000"/>
          <w:sz w:val="28"/>
        </w:rPr>
        <w:t>
      стимулирование технического перевооружения транспортных средств с обеспечением выхода на уровень стандартов ЕВРО-4 и ЕВРО-5 по выбросам загрязняющих веществ;</w:t>
      </w:r>
    </w:p>
    <w:bookmarkEnd w:id="344"/>
    <w:bookmarkStart w:name="z352" w:id="345"/>
    <w:p>
      <w:pPr>
        <w:spacing w:after="0"/>
        <w:ind w:left="0"/>
        <w:jc w:val="both"/>
      </w:pPr>
      <w:r>
        <w:rPr>
          <w:rFonts w:ascii="Times New Roman"/>
          <w:b w:val="false"/>
          <w:i w:val="false"/>
          <w:color w:val="000000"/>
          <w:sz w:val="28"/>
        </w:rPr>
        <w:t>
      стимулирование перехода на энергосберегающие технологии;</w:t>
      </w:r>
    </w:p>
    <w:bookmarkEnd w:id="345"/>
    <w:bookmarkStart w:name="z353" w:id="346"/>
    <w:p>
      <w:pPr>
        <w:spacing w:after="0"/>
        <w:ind w:left="0"/>
        <w:jc w:val="both"/>
      </w:pPr>
      <w:r>
        <w:rPr>
          <w:rFonts w:ascii="Times New Roman"/>
          <w:b w:val="false"/>
          <w:i w:val="false"/>
          <w:color w:val="000000"/>
          <w:sz w:val="28"/>
        </w:rPr>
        <w:t>
      перевод не менее 45 % автомобильного парка на работу с газовым топливом и электротранспорт.</w:t>
      </w:r>
    </w:p>
    <w:bookmarkEnd w:id="346"/>
    <w:bookmarkStart w:name="z354" w:id="347"/>
    <w:p>
      <w:pPr>
        <w:spacing w:after="0"/>
        <w:ind w:left="0"/>
        <w:jc w:val="both"/>
      </w:pPr>
      <w:r>
        <w:rPr>
          <w:rFonts w:ascii="Times New Roman"/>
          <w:b w:val="false"/>
          <w:i w:val="false"/>
          <w:color w:val="000000"/>
          <w:sz w:val="28"/>
        </w:rPr>
        <w:t>
      Организационные мероприятия включают:</w:t>
      </w:r>
    </w:p>
    <w:bookmarkEnd w:id="347"/>
    <w:bookmarkStart w:name="z355" w:id="348"/>
    <w:p>
      <w:pPr>
        <w:spacing w:after="0"/>
        <w:ind w:left="0"/>
        <w:jc w:val="both"/>
      </w:pPr>
      <w:r>
        <w:rPr>
          <w:rFonts w:ascii="Times New Roman"/>
          <w:b w:val="false"/>
          <w:i w:val="false"/>
          <w:color w:val="000000"/>
          <w:sz w:val="28"/>
        </w:rPr>
        <w:t>
      внедрение системы международных стандартов управления качеством окружающей среды и качеством продукции (ИСО 14001, ИСО 9001);</w:t>
      </w:r>
    </w:p>
    <w:bookmarkEnd w:id="348"/>
    <w:bookmarkStart w:name="z356" w:id="349"/>
    <w:p>
      <w:pPr>
        <w:spacing w:after="0"/>
        <w:ind w:left="0"/>
        <w:jc w:val="both"/>
      </w:pPr>
      <w:r>
        <w:rPr>
          <w:rFonts w:ascii="Times New Roman"/>
          <w:b w:val="false"/>
          <w:i w:val="false"/>
          <w:color w:val="000000"/>
          <w:sz w:val="28"/>
        </w:rPr>
        <w:t>
      введение системы экономического стимулирования (включая санкции), ориентированные на рациональное природопользование;</w:t>
      </w:r>
    </w:p>
    <w:bookmarkEnd w:id="349"/>
    <w:bookmarkStart w:name="z357" w:id="350"/>
    <w:p>
      <w:pPr>
        <w:spacing w:after="0"/>
        <w:ind w:left="0"/>
        <w:jc w:val="both"/>
      </w:pPr>
      <w:r>
        <w:rPr>
          <w:rFonts w:ascii="Times New Roman"/>
          <w:b w:val="false"/>
          <w:i w:val="false"/>
          <w:color w:val="000000"/>
          <w:sz w:val="28"/>
        </w:rPr>
        <w:t>
      регулирование и сокращение вредных выбросов производственных объектов в атмосферу в периоды неблагоприятных метеорологических условий (НМУ);</w:t>
      </w:r>
    </w:p>
    <w:bookmarkEnd w:id="350"/>
    <w:bookmarkStart w:name="z358" w:id="351"/>
    <w:p>
      <w:pPr>
        <w:spacing w:after="0"/>
        <w:ind w:left="0"/>
        <w:jc w:val="both"/>
      </w:pPr>
      <w:r>
        <w:rPr>
          <w:rFonts w:ascii="Times New Roman"/>
          <w:b w:val="false"/>
          <w:i w:val="false"/>
          <w:color w:val="000000"/>
          <w:sz w:val="28"/>
        </w:rPr>
        <w:t>
      расширение мониторинга атмосферного воздуха – организация новых стационарных пунктов наблюдений за атмосферным воздухом и оснащение их современным оборудованием и приборами.</w:t>
      </w:r>
    </w:p>
    <w:bookmarkEnd w:id="351"/>
    <w:bookmarkStart w:name="z359" w:id="352"/>
    <w:p>
      <w:pPr>
        <w:spacing w:after="0"/>
        <w:ind w:left="0"/>
        <w:jc w:val="both"/>
      </w:pPr>
      <w:r>
        <w:rPr>
          <w:rFonts w:ascii="Times New Roman"/>
          <w:b w:val="false"/>
          <w:i w:val="false"/>
          <w:color w:val="000000"/>
          <w:sz w:val="28"/>
        </w:rPr>
        <w:t>
      Охрана почвенно-растительного покрова:</w:t>
      </w:r>
    </w:p>
    <w:bookmarkEnd w:id="352"/>
    <w:bookmarkStart w:name="z360" w:id="353"/>
    <w:p>
      <w:pPr>
        <w:spacing w:after="0"/>
        <w:ind w:left="0"/>
        <w:jc w:val="both"/>
      </w:pPr>
      <w:r>
        <w:rPr>
          <w:rFonts w:ascii="Times New Roman"/>
          <w:b w:val="false"/>
          <w:i w:val="false"/>
          <w:color w:val="000000"/>
          <w:sz w:val="28"/>
        </w:rPr>
        <w:t>
      организация единой, взаимоувязанной системы зеленых насаждений общего пользования с санитарно-защитными, водоохранными и ветрозащитными полосами зеленых насаждений, способствующих улучшению микроклиматических условий в городе;</w:t>
      </w:r>
    </w:p>
    <w:bookmarkEnd w:id="353"/>
    <w:bookmarkStart w:name="z361" w:id="354"/>
    <w:p>
      <w:pPr>
        <w:spacing w:after="0"/>
        <w:ind w:left="0"/>
        <w:jc w:val="both"/>
      </w:pPr>
      <w:r>
        <w:rPr>
          <w:rFonts w:ascii="Times New Roman"/>
          <w:b w:val="false"/>
          <w:i w:val="false"/>
          <w:color w:val="000000"/>
          <w:sz w:val="28"/>
        </w:rPr>
        <w:t>
      в целях защиты и сохранения видового разнообразия флоры и фауны проектируемой территории проектом рекомендованы увеличение площадей зеленых насаждений, озеленение территорий административно-общественных объектов, промышленных предприятий, вокруг больниц, школ, детских учреждений, земель, подверженных опустыниванию и другим неблагоприятным экологическим факторам.</w:t>
      </w:r>
    </w:p>
    <w:bookmarkEnd w:id="354"/>
    <w:bookmarkStart w:name="z362" w:id="355"/>
    <w:p>
      <w:pPr>
        <w:spacing w:after="0"/>
        <w:ind w:left="0"/>
        <w:jc w:val="both"/>
      </w:pPr>
      <w:r>
        <w:rPr>
          <w:rFonts w:ascii="Times New Roman"/>
          <w:b w:val="false"/>
          <w:i w:val="false"/>
          <w:color w:val="000000"/>
          <w:sz w:val="28"/>
        </w:rPr>
        <w:t xml:space="preserve">
      Охрана водных поверхностей Каспийского моря и водных объектов за счет создания системы предотвращения сброса поверхностных вод путем устройства арычной сети вдоль улиц, дождевой канализации и пунктов сбора и очистки поверхностных вод с последующим использованием очищенных вод на полив зеленых насаждений. </w:t>
      </w:r>
    </w:p>
    <w:bookmarkEnd w:id="355"/>
    <w:bookmarkStart w:name="z363" w:id="356"/>
    <w:p>
      <w:pPr>
        <w:spacing w:after="0"/>
        <w:ind w:left="0"/>
        <w:jc w:val="left"/>
      </w:pPr>
      <w:r>
        <w:rPr>
          <w:rFonts w:ascii="Times New Roman"/>
          <w:b/>
          <w:i w:val="false"/>
          <w:color w:val="000000"/>
        </w:rPr>
        <w:t xml:space="preserve"> Глава 15. Основные технико-экономические показатели Генерального плана города Актау Мангистауской области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Единица</w:t>
            </w:r>
          </w:p>
          <w:bookmarkEnd w:id="357"/>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срок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населенного пункта в пределах городской, черты,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и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них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и блокированной застройки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малоэтажными многоквартирными жилыми домами (1-3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среднеэтажными многоквартирными жилыми домами (4-5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многоэтажными многоквартирными жилыми домами (6-12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застройки многоквартирными жилыми домами повышенной этажности (свыше 12-ти 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и коммунально-складской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транспорта, связи, инженерных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внешнего транспорта (железнодорожного, автомобильного, речного, морского, воздушного и трубопроводного)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инженерных сетей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памятников природы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 и лесопарков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и акваторий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 естественных и искусственных водоемов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 (94,64221)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водоохранных полос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 и виноградников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садоводческих товариществ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 дорог, проездов,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водоемов, пляжей, набережных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 скверов, бульваров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территориальные объекты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селитебных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развития промышленно-производственных и коммунальных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r>
    </w:tbl>
    <w:p>
      <w:pPr>
        <w:spacing w:after="0"/>
        <w:ind w:left="0"/>
        <w:jc w:val="both"/>
      </w:pPr>
      <w:bookmarkStart w:name="z365" w:id="358"/>
      <w:r>
        <w:rPr>
          <w:rFonts w:ascii="Times New Roman"/>
          <w:b w:val="false"/>
          <w:i w:val="false"/>
          <w:color w:val="000000"/>
          <w:sz w:val="28"/>
        </w:rPr>
        <w:t>
      _______________________________________</w:t>
      </w:r>
    </w:p>
    <w:bookmarkEnd w:id="35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Включенная территория в город Актау согласно постановлениям Правительства РК от 28 декабря 2023 года № 1223 и от 17 мая 2024 года № 387 (</w:t>
      </w:r>
      <w:r>
        <w:rPr>
          <w:rFonts w:ascii="Times New Roman"/>
          <w:b w:val="false"/>
          <w:i/>
          <w:color w:val="000000"/>
          <w:sz w:val="28"/>
        </w:rPr>
        <w:t>Об изменении границ Мангистауской области</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рекреационных и иных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режимные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количества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коммунальной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 учетом подчиненных населенных пунктов,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города (поселок, сельский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естественного движения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миграции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селитебной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территории городской, поселковой и сельской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в трудоспособном возрасте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16-62 года, женщины 16-57года)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старше трудоспособного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 и одиноких жителей,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одиноких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активное население,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в отраслях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градообразующей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обслуживающей группе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не активное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в трудоспособном возрасте, обучающиеся с отрывом от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Трудоспособное население в трудоспособном возрасте, не занятое экономической деятельностью и учебой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найму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занятое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вошедшие в состав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 в % от трудовых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2</w:t>
            </w:r>
            <w:r>
              <w:rPr>
                <w:rFonts w:ascii="Times New Roman"/>
                <w:b w:val="false"/>
                <w:i w:val="false"/>
                <w:color w:val="000000"/>
                <w:sz w:val="20"/>
              </w:rPr>
              <w:t xml:space="preserve"> общей площади / % / *ед. домов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многоквартирных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домах усадебного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874,8/5,3</w:t>
            </w:r>
          </w:p>
        </w:tc>
      </w:tr>
    </w:tbl>
    <w:p>
      <w:pPr>
        <w:spacing w:after="0"/>
        <w:ind w:left="0"/>
        <w:jc w:val="both"/>
      </w:pPr>
      <w:bookmarkStart w:name="z366" w:id="359"/>
      <w:r>
        <w:rPr>
          <w:rFonts w:ascii="Times New Roman"/>
          <w:b w:val="false"/>
          <w:i w:val="false"/>
          <w:color w:val="000000"/>
          <w:sz w:val="28"/>
        </w:rPr>
        <w:t>
      _________________________________________</w:t>
      </w:r>
    </w:p>
    <w:bookmarkEnd w:id="359"/>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Трудовой баланс подсчитан с учетом приведенных категорий указанных в методологических пояснениях Бюро Национальной статистики, а также приведенные понятия и определения основаны на стандартах и методологических подходах Международной Организации Труда (МОТ)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фонд с износом более 70%,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Сохраняемый жилищный фонд,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жилищного фонда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застройке: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техническому состоянию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 (переоборудование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Убыль жилищного фонда по отношению: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существующему жилому фонду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новому строительству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жилищное строительство, всего в том числе за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домов (квартир) /тыс. кв. м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нового жилищного строительства по этажности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малоэтажный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усадебной (коттеджного типа) с земельным участком при доме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блокированной с земельным участком при квартире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этажный без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среднеэтажный (4-5 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многоэтажный многоквартирный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объема нового жилищного строительства размещается: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свободных территориях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реконструкции существующей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общей площади нового жилищного фонда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газовыми плитами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горячей водой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обеспеченность населения общей площадью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 социального и культурно-бытового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дошкольные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учреждения,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социального обеспечения (дома интернаты) -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длительного отдыха (дома отдыха, пансионаты, лагеря для школьников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Физкультурно-спортивные сооружения всего/1000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Зрелищно-культурные учреждения (театры, клубы, кинотеатры, музеи, выставочные залы и т.п.),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торговли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 всего/на 1000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посадочное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бытового обслуживания, всего/на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Пожарное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пост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Объектное пожарное депо ТОО "МАЭК"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Объектное пожарное депо АО "КазАзот"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постов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 социального и культурно-бытового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 интернаты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место на 1 тыс. чел.</w:t>
            </w:r>
          </w:p>
          <w:bookmarkEnd w:id="360"/>
          <w:p>
            <w:pPr>
              <w:spacing w:after="20"/>
              <w:ind w:left="20"/>
              <w:jc w:val="both"/>
            </w:pPr>
            <w:r>
              <w:rPr>
                <w:rFonts w:ascii="Times New Roman"/>
                <w:b w:val="false"/>
                <w:i w:val="false"/>
                <w:color w:val="000000"/>
                <w:sz w:val="20"/>
              </w:rPr>
              <w:t>
(с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крытые и открытые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зеркала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залы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аттракционов и игровых автоматов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спортивно-зрелищные залы, в том числе с искусственным льдом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массовые библиотеки на 1 тыс. чел. зоны обслуживания при населении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белья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вещей в смену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линий пассажирского общественного транспорта,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электрифицированная железная дорога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двойного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магистральных улиц и дорог,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 скоростного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общегородского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магистралей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поселковые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пасс./год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улично-дорожной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городской; поселковой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границ пригородной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головных сооружений водопровода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источники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подземные водозаборы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подземных вод Куюлус-Меловое (Кайлыс-Меловое)-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из поверхностных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децентрализованные водоисточники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запасы подземных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в среднем на 1 человека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использование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поступление сточных вод,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/сут.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канализационных очистных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канализационных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потребление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Электропотребление в среднем на 1 человека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покрытия нагрузок,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ТЭЦ, ГРЭС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ТЭЦ-1 – 75 МВт</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ТЭЦ-2 – 630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ТЭС – 625 МВт</w:t>
            </w:r>
          </w:p>
          <w:p>
            <w:pPr>
              <w:spacing w:after="20"/>
              <w:ind w:left="20"/>
              <w:jc w:val="both"/>
            </w:pPr>
            <w:r>
              <w:rPr>
                <w:rFonts w:ascii="Times New Roman"/>
                <w:b w:val="false"/>
                <w:i w:val="false"/>
                <w:color w:val="000000"/>
                <w:sz w:val="20"/>
              </w:rPr>
              <w:t>
Всего 1330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энергосеть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централизованных источников,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квартальные котельные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локальных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на отопление,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горячее водоснабжение,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локальных источников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природного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сжиженного газа,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коммунально-бытовые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подачи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газа в топливном балансе города, другого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2"/>
          <w:p>
            <w:pPr>
              <w:spacing w:after="20"/>
              <w:ind w:left="20"/>
              <w:jc w:val="both"/>
            </w:pPr>
            <w:r>
              <w:rPr>
                <w:rFonts w:ascii="Times New Roman"/>
                <w:b w:val="false"/>
                <w:i w:val="false"/>
                <w:color w:val="000000"/>
                <w:sz w:val="20"/>
              </w:rPr>
              <w:t>
Мг - 428</w:t>
            </w:r>
          </w:p>
          <w:bookmarkEnd w:id="362"/>
          <w:p>
            <w:pPr>
              <w:spacing w:after="20"/>
              <w:ind w:left="20"/>
              <w:jc w:val="both"/>
            </w:pPr>
            <w:r>
              <w:rPr>
                <w:rFonts w:ascii="Times New Roman"/>
                <w:b w:val="false"/>
                <w:i w:val="false"/>
                <w:color w:val="000000"/>
                <w:sz w:val="20"/>
              </w:rPr>
              <w:t>
Рг –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3"/>
          <w:p>
            <w:pPr>
              <w:spacing w:after="20"/>
              <w:ind w:left="20"/>
              <w:jc w:val="both"/>
            </w:pPr>
            <w:r>
              <w:rPr>
                <w:rFonts w:ascii="Times New Roman"/>
                <w:b w:val="false"/>
                <w:i w:val="false"/>
                <w:color w:val="000000"/>
                <w:sz w:val="20"/>
              </w:rPr>
              <w:t>
Мг– 449</w:t>
            </w:r>
          </w:p>
          <w:bookmarkEnd w:id="363"/>
          <w:p>
            <w:pPr>
              <w:spacing w:after="20"/>
              <w:ind w:left="20"/>
              <w:jc w:val="both"/>
            </w:pPr>
            <w:r>
              <w:rPr>
                <w:rFonts w:ascii="Times New Roman"/>
                <w:b w:val="false"/>
                <w:i w:val="false"/>
                <w:color w:val="000000"/>
                <w:sz w:val="20"/>
              </w:rPr>
              <w:t>
Рг –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4"/>
          <w:p>
            <w:pPr>
              <w:spacing w:after="20"/>
              <w:ind w:left="20"/>
              <w:jc w:val="both"/>
            </w:pPr>
            <w:r>
              <w:rPr>
                <w:rFonts w:ascii="Times New Roman"/>
                <w:b w:val="false"/>
                <w:i w:val="false"/>
                <w:color w:val="000000"/>
                <w:sz w:val="20"/>
              </w:rPr>
              <w:t>
Мг - 449</w:t>
            </w:r>
          </w:p>
          <w:bookmarkEnd w:id="364"/>
          <w:p>
            <w:pPr>
              <w:spacing w:after="20"/>
              <w:ind w:left="20"/>
              <w:jc w:val="both"/>
            </w:pPr>
            <w:r>
              <w:rPr>
                <w:rFonts w:ascii="Times New Roman"/>
                <w:b w:val="false"/>
                <w:i w:val="false"/>
                <w:color w:val="000000"/>
                <w:sz w:val="20"/>
              </w:rPr>
              <w:t>
Рг –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телевизионным вещанием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телефонной сетью общего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номеров на 100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подготовка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ливневой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территории от затопления: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защитных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Намыв и подсыпка, всего объем и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Берегоукрепление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грунтовых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мероприятия по инженерной подготовке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Ритуальное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кладбищ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крематориев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выбросов вредных веществ в атмосферный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по данным департамента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на этапе разработки ПДВ для каждого предприятия уполномоченным органом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определено на этапе разработки ПДВ для каждого предприятия уполномоченным органом в области охраны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сброса загрязненных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по проекту рекультивации хвостохранилища Кошкар-Ата" I этап, 4279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рекультивации хвостохранилища, площадь территории будет определена на этапе разработки проекта рекультивации и ПСД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рекультивации хвостохранилища, площадь территории будет определена на этапе разработки проекта рекультивации и ПСД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с уровнем шума свыше 65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автомагистралей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неблагополучные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5"/>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p>
          <w:bookmarkEnd w:id="365"/>
          <w:p>
            <w:pPr>
              <w:spacing w:after="20"/>
              <w:ind w:left="20"/>
              <w:jc w:val="both"/>
            </w:pPr>
            <w:r>
              <w:rPr>
                <w:rFonts w:ascii="Times New Roman"/>
                <w:b w:val="false"/>
                <w:i w:val="false"/>
                <w:color w:val="000000"/>
                <w:sz w:val="20"/>
              </w:rPr>
              <w:t>
Площадь размещенных отходов-66км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r>
              <w:rPr>
                <w:rFonts w:ascii="Times New Roman"/>
                <w:b w:val="false"/>
                <w:i w:val="false"/>
                <w:color w:val="000000"/>
                <w:sz w:val="20"/>
              </w:rPr>
              <w:t>, предусматривается постепенная рекультивация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хвостохранилище Кошкар-ата, расположено на прилегающей к городу территории, площадь общая – 77км</w:t>
            </w:r>
            <w:r>
              <w:rPr>
                <w:rFonts w:ascii="Times New Roman"/>
                <w:b w:val="false"/>
                <w:i w:val="false"/>
                <w:color w:val="000000"/>
                <w:vertAlign w:val="superscript"/>
              </w:rPr>
              <w:t>2</w:t>
            </w:r>
            <w:r>
              <w:rPr>
                <w:rFonts w:ascii="Times New Roman"/>
                <w:b w:val="false"/>
                <w:i w:val="false"/>
                <w:color w:val="000000"/>
                <w:sz w:val="20"/>
              </w:rPr>
              <w:t>, предусматривается постепенная рекультивация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проживающее в санитарно-защитных зонах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территории ИЖС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6"/>
          <w:p>
            <w:pPr>
              <w:spacing w:after="20"/>
              <w:ind w:left="20"/>
              <w:jc w:val="both"/>
            </w:pPr>
            <w:r>
              <w:rPr>
                <w:rFonts w:ascii="Times New Roman"/>
                <w:b w:val="false"/>
                <w:i w:val="false"/>
                <w:color w:val="000000"/>
                <w:sz w:val="20"/>
              </w:rPr>
              <w:t>
жилой массив Рауан – 6 га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село Омирзак – 12,6 га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Приморский – 66,8 га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массив Приозерный-2 – 11,6 га</w:t>
            </w:r>
          </w:p>
          <w:p>
            <w:pPr>
              <w:spacing w:after="20"/>
              <w:ind w:left="20"/>
              <w:jc w:val="both"/>
            </w:pPr>
            <w:r>
              <w:rPr>
                <w:rFonts w:ascii="Times New Roman"/>
                <w:b w:val="false"/>
                <w:i w:val="false"/>
                <w:color w:val="000000"/>
                <w:sz w:val="20"/>
              </w:rPr>
              <w:t>
0,9 га, 3 га, 2 га – в разных участках промзоны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Приморский – 52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 санитарно-защитных и водоохранных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га в южной части хвостохранилища Кошкар-ата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озеленение территории южной части хвостохранилища, озеленение территории СЗЗ промпредприятий в зависимости от класса опасности (40-60 %) согласно санитарным правилам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озеленение территории хвостохранилища, озеленение территории СЗЗ промпредприятий в зависимости от класса опасности (40-60 %) согласно санитарным правилам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почв и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мероприятия, в т.ч. санитарная очистка территории и рекультивация хвостохранилища Кошкар-ата, озеленение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предусмотрены мероприятия, в т.ч. санитарная очистка территории и рекультивация хвостохранилища Кошкар-ата, озеленение территории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бытовых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65607</w:t>
            </w:r>
          </w:p>
          <w:bookmarkEnd w:id="367"/>
          <w:p>
            <w:pPr>
              <w:spacing w:after="20"/>
              <w:ind w:left="20"/>
              <w:jc w:val="both"/>
            </w:pPr>
            <w:r>
              <w:rPr>
                <w:rFonts w:ascii="Times New Roman"/>
                <w:b w:val="false"/>
                <w:i w:val="false"/>
                <w:color w:val="000000"/>
                <w:sz w:val="20"/>
              </w:rPr>
              <w:t>
по данным Департамента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138900</w:t>
            </w:r>
          </w:p>
          <w:bookmarkEnd w:id="368"/>
          <w:p>
            <w:pPr>
              <w:spacing w:after="20"/>
              <w:ind w:left="20"/>
              <w:jc w:val="both"/>
            </w:pPr>
            <w:r>
              <w:rPr>
                <w:rFonts w:ascii="Times New Roman"/>
                <w:b w:val="false"/>
                <w:i w:val="false"/>
                <w:color w:val="000000"/>
                <w:sz w:val="20"/>
              </w:rPr>
              <w:t>
определено проектом согласно численности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205600</w:t>
            </w:r>
          </w:p>
          <w:bookmarkEnd w:id="369"/>
          <w:p>
            <w:pPr>
              <w:spacing w:after="20"/>
              <w:ind w:left="20"/>
              <w:jc w:val="both"/>
            </w:pPr>
            <w:r>
              <w:rPr>
                <w:rFonts w:ascii="Times New Roman"/>
                <w:b w:val="false"/>
                <w:i w:val="false"/>
                <w:color w:val="000000"/>
                <w:sz w:val="20"/>
              </w:rPr>
              <w:t>
определено проектом согласно численности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дифференцированного сбора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в качестве дешевого топлива, 5 % – в виде металла во вторчермете, 20 % – инертной массы в дорожном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в качестве дешевого топлива, 5 % – в виде металла во вторчермете, 20 % – инертной массы в дорожном строительстве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единиц/тыс. т.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предложено строительство мусороперерабатывающего завода, местоположение и мощность будут определены на соответствующей стадии проектирования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предложено строительство мусороперерабатывающего завода, местоположение и мощность будут определены на соответствующей стадии проектирования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Мусоросжигательные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Мусороперегрузочные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Усовершенствованные свалки (полигоны)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 27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на территории Мунайлинского района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свалок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стихийных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мероприятия по охране природы и рациональному природопользованию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единицы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территории, строительство дорог и усовершенствование дорожного покрытия, строительство инженерных сетей и сооружений, строительство объектов социального обеспечения и рекреации, стимулирование использования ВИЭ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территории, строительство дорог и усовершенствование дорожного покрытия, строительство инженерных сетей и сооружений, строительство объектов социального обеспечения и рекреации, стимулирование использования ВИЭ и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объем инвестиций по I этапу реализации проектных решений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 Показатели рекомендательного характера</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Технико-экономические показатели генерального плана города, поселка и сельского населенного пункта приводятся на следующие этапы:</w:t>
            </w:r>
          </w:p>
          <w:p>
            <w:pPr>
              <w:spacing w:after="20"/>
              <w:ind w:left="20"/>
              <w:jc w:val="both"/>
            </w:pPr>
            <w:r>
              <w:rPr>
                <w:rFonts w:ascii="Times New Roman"/>
                <w:b w:val="false"/>
                <w:i w:val="false"/>
                <w:color w:val="000000"/>
                <w:sz w:val="20"/>
              </w:rPr>
              <w:t>
</w:t>
            </w:r>
            <w:r>
              <w:rPr>
                <w:rFonts w:ascii="Times New Roman"/>
                <w:b w:val="false"/>
                <w:i w:val="false"/>
                <w:color w:val="000000"/>
                <w:sz w:val="20"/>
              </w:rPr>
              <w:t>– исходный год нового генерального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расчетный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Показатели по потребности в электроэнергии, тепловой энергии, воде, газе на коммунально-бытовые и производственные нужды и по объему сброса сточных вод принимаются по данным соответствующих областных и районных служб.</w:t>
            </w:r>
          </w:p>
          <w:p>
            <w:pPr>
              <w:spacing w:after="20"/>
              <w:ind w:left="20"/>
              <w:jc w:val="both"/>
            </w:pPr>
            <w:r>
              <w:rPr>
                <w:rFonts w:ascii="Times New Roman"/>
                <w:b w:val="false"/>
                <w:i w:val="false"/>
                <w:color w:val="000000"/>
                <w:sz w:val="20"/>
              </w:rPr>
              <w:t>
3. Оценка воздействия на окружающую среду в соответствии с требованиями уполномоченного органа в области охраны окружающей среды.</w:t>
            </w:r>
          </w:p>
        </w:tc>
      </w:tr>
    </w:tbl>
    <w:bookmarkStart w:name="z389" w:id="371"/>
    <w:p>
      <w:pPr>
        <w:spacing w:after="0"/>
        <w:ind w:left="0"/>
        <w:jc w:val="both"/>
      </w:pPr>
      <w:r>
        <w:rPr>
          <w:rFonts w:ascii="Times New Roman"/>
          <w:b w:val="false"/>
          <w:i w:val="false"/>
          <w:color w:val="000000"/>
          <w:sz w:val="28"/>
        </w:rPr>
        <w:t>
      ______________________________</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Генеральному плану города Актау</w:t>
            </w:r>
            <w:r>
              <w:br/>
            </w:r>
            <w:r>
              <w:rPr>
                <w:rFonts w:ascii="Times New Roman"/>
                <w:b w:val="false"/>
                <w:i w:val="false"/>
                <w:color w:val="000000"/>
                <w:sz w:val="20"/>
              </w:rPr>
              <w:t>Мангистауской области</w:t>
            </w:r>
            <w:r>
              <w:br/>
            </w:r>
            <w:r>
              <w:rPr>
                <w:rFonts w:ascii="Times New Roman"/>
                <w:b w:val="false"/>
                <w:i w:val="false"/>
                <w:color w:val="000000"/>
                <w:sz w:val="20"/>
              </w:rPr>
              <w:t>(включая основные положения)</w:t>
            </w:r>
          </w:p>
        </w:tc>
      </w:tr>
    </w:tbl>
    <w:bookmarkStart w:name="z39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810500" cy="1170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70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73"/>
    <w:p>
      <w:pPr>
        <w:spacing w:after="0"/>
        <w:ind w:left="0"/>
        <w:jc w:val="both"/>
      </w:pPr>
      <w:r>
        <w:rPr>
          <w:rFonts w:ascii="Times New Roman"/>
          <w:b w:val="false"/>
          <w:i w:val="false"/>
          <w:color w:val="000000"/>
          <w:sz w:val="28"/>
        </w:rPr>
        <w:t>
      ______________________________</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