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4213" w14:textId="9da4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мая 2013 года № 543 "Об определении дивидендной политики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2025 года №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2013 года № 543 "Об определении дивидендной политики акционерного общества "Фонд национального благосостояния "Самрук-Қазына"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дивидендной политике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акционерного общества "Фонд национального благосостояния "Самрук-Қазына",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учет объема финансирования Фондом проектов в соответствии с решениями единственного акционера Фонда при расчете размера дивидендов к выплате.";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Совет директоров Фонда представляет единственному акционеру предложение о порядке распределения консолидированного чистого дохода Фонда и размера дивиденда в расчете на одну простую акцию Фонда.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ежегодных дивидендов к начислению единственному акционеру с учетом объема финансирования Фондом проектов в соответствии с решениями единственного акционера Фонда в отчетном периоде составляет не менее 50 (пятьдесят) процентов от дивидендов, полученных за отчетный период от юридических лиц, акции (доли участия) которых принадлежат Фонду.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суммы дивидендов в пользу единственного акционера не учитываются дивиденды от юридических лиц, акции (доли участия) которых принадлежат Фонду, выплаченные Фонду в результате сделок по передаче активов группы Фонда в конкурентную среду и направленные в Национальный фонд.";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распространяется на правоотношения, возникшие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