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213" w14:textId="9da4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мая 2013 года № 543 "Об определении дивидендной политики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2025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2013 года № 543 "Об определении дивидендной политики акционерного общества "Фонд национального благосостояния "Самрук-Қазына"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дивидендной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учет объема финансирования Фондом проектов в соответствии с решениями единственного акционера Фонда при расчете размера дивидендов к выплате.";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Совет директоров Фонда представляет единственному акционеру предложение о порядке распределения консолидированного чистого дохода Фонда и размера дивиденда в расчете на одну простую акцию Фонда.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ежегодных дивидендов к начислению единственному акционеру с учетом объема финансирования Фондом проектов в соответствии с решениями единственного акционера Фонда в отчетном периоде составляет не менее 50 (пятьдесят) процентов от дивидендов, полученных за отчетный период от юридических лиц, акции (доли участия) которых принадлежат Фонду.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суммы дивидендов в пользу единственного акционера не учитываются дивиденды от юридических лиц, акции (доли участия) которых принадлежат Фонду, выплаченные Фонду в результате сделок по передаче активов группы Фонда в конкурентную среду и направленные в Национальный фонд.";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