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f4c" w14:textId="0a3d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января 2024 года № 16 "Об утверждении Правил формирования и учета целевых требований, целевых накоплений и выплат целевых накоплений, а также начисления целевых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2025 года № 342.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2024 года № 16 "Об утверждении Правил формирования и учета целевых требований, целевых накоплений и выплат целевых накоплений, а также начисления целевых требований"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7-4 Закона Республики Казахстан "О правах ребенка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учета целевых требований, целевых накоплений и выплат целевых накоплений, а также начисления целевых требований,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формирования и учета целевых требований, целевых накоплений и выплат целевых накоплений, а также начисления целевых требований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(далее – Бюджетный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7-4 Закона Республики Казахстан "О правах ребенка в Республике Казахстан" (далее – Закон) и определяют порядок формирования и учета целевых требований и целевых накоплений, зачисления, выплат, возвратов выплат целевых накоплений и их использования.";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доходностью валютных активов Нацфонда за отдельно взятый год в рамках настоящих Правил понимается выраженная в процентах, взвешенная по времени доходность валютной части Нацфонда, рассчитанная на основе данных, предоставляемых глобальным кастодианом по валютным активам, и отражаемая в годовом отчете о формировании и использовании Нацфонда, составляемом Правительством Республики Казахстан совместно с НБ РК в соответствии с Бюджетным кодексом.";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"Покрытие расходов ЕНПФ по оплате банковских услуг, связанных с переводами, зачислениями и выплатами целевых накоплений, осуществляется в соответствии с Бюджетным кодексом.";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и учета целевых требований, целевых накоплений и выплат целевых накоплений, а также начисления целевых требований дополнить строками, порядковые номера 6.1, 6.2, 6.3, 6.4 и 6.5, следующего содержания: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итогам прошлого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Утратившие гражданство Республики Казахстан либо вышедшие из гражданства Республики Казахстан в отчетном году (учтены в графе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учтенные, имевшие право быть участником целевых требований (учтены в графе 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учтенные, не имевшие право быть участниками целевых требований (учтены в графе 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учетом изменений, указанных в графах 6.1 – 6.4 (графы 6.1 - 6.2 + 6.3 - 6.4)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