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046e" w14:textId="e200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апреля 2012 года № 493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 военнослужащим, военнообязанным, призванным на воинские сборы,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2025 года № 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493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 военнослужащим, военнообязанным, призванным на воинские сборы,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 военнослужащим,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Установить расходы, связанные с подготовкой к перевозке тела, перевозкой тела, погребением, изготовлением и установкой надгробного памятника военнослужащим,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службы, в размере восьмидесятикратного месячного расчетного показателя.".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19 мая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