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ff58" w14:textId="c9df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25 декабря 2023 года № 1180 "Об утверждении Плана развития акционерного общества "Национальный управляющий холдинг "Байтерек" на 2024 – 2033 годы"</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2025 года № 285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2023 года № 1180 "Об утверждении Плана развития акционерного общества "Национальный управляющий холдинг "Байтерек" на 2024 – 2033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"Национальный управляющий холдинг "Байтерек" на 2024 – 2033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1180</w:t>
            </w:r>
          </w:p>
        </w:tc>
      </w:tr>
    </w:tbl>
    <w:bookmarkStart w:name="z10" w:id="3"/>
    <w:p>
      <w:pPr>
        <w:spacing w:after="0"/>
        <w:ind w:left="0"/>
        <w:jc w:val="left"/>
      </w:pPr>
      <w:r>
        <w:rPr>
          <w:rFonts w:ascii="Times New Roman"/>
          <w:b/>
          <w:i w:val="false"/>
          <w:color w:val="000000"/>
        </w:rPr>
        <w:t xml:space="preserve"> План развития акционерного общества </w:t>
      </w:r>
      <w:r>
        <w:br/>
      </w:r>
      <w:r>
        <w:rPr>
          <w:rFonts w:ascii="Times New Roman"/>
          <w:b/>
          <w:i w:val="false"/>
          <w:color w:val="000000"/>
        </w:rPr>
        <w:t>"Национальный управляющий холдинг "Байтерек" на 2024 – 2033 годы</w:t>
      </w:r>
    </w:p>
    <w:bookmarkEnd w:id="3"/>
    <w:p>
      <w:pPr>
        <w:spacing w:after="0"/>
        <w:ind w:left="0"/>
        <w:jc w:val="both"/>
      </w:pPr>
      <w:r>
        <w:rPr>
          <w:rFonts w:ascii="Times New Roman"/>
          <w:b w:val="false"/>
          <w:i w:val="false"/>
          <w:color w:val="000000"/>
          <w:sz w:val="28"/>
        </w:rPr>
        <w:t>
      Введение</w:t>
      </w:r>
    </w:p>
    <w:p>
      <w:pPr>
        <w:spacing w:after="0"/>
        <w:ind w:left="0"/>
        <w:jc w:val="both"/>
      </w:pPr>
      <w:r>
        <w:rPr>
          <w:rFonts w:ascii="Times New Roman"/>
          <w:b w:val="false"/>
          <w:i w:val="false"/>
          <w:color w:val="000000"/>
          <w:sz w:val="28"/>
        </w:rPr>
        <w:t>
      Раздел 1. Анализ текущего состояния АО "НУХ "Байтерек"</w:t>
      </w:r>
    </w:p>
    <w:p>
      <w:pPr>
        <w:spacing w:after="0"/>
        <w:ind w:left="0"/>
        <w:jc w:val="both"/>
      </w:pPr>
      <w:r>
        <w:rPr>
          <w:rFonts w:ascii="Times New Roman"/>
          <w:b w:val="false"/>
          <w:i w:val="false"/>
          <w:color w:val="000000"/>
          <w:sz w:val="28"/>
        </w:rPr>
        <w:t>
      Подраздел 1. Анализ внешней среды</w:t>
      </w:r>
    </w:p>
    <w:bookmarkStart w:name="z14" w:id="4"/>
    <w:p>
      <w:pPr>
        <w:spacing w:after="0"/>
        <w:ind w:left="0"/>
        <w:jc w:val="both"/>
      </w:pPr>
      <w:r>
        <w:rPr>
          <w:rFonts w:ascii="Times New Roman"/>
          <w:b w:val="false"/>
          <w:i w:val="false"/>
          <w:color w:val="000000"/>
          <w:sz w:val="28"/>
        </w:rPr>
        <w:t>
      Глава 1. Анализ текущей ситуации и влияние</w:t>
      </w:r>
    </w:p>
    <w:bookmarkEnd w:id="4"/>
    <w:bookmarkStart w:name="z15" w:id="5"/>
    <w:p>
      <w:pPr>
        <w:spacing w:after="0"/>
        <w:ind w:left="0"/>
        <w:jc w:val="both"/>
      </w:pPr>
      <w:r>
        <w:rPr>
          <w:rFonts w:ascii="Times New Roman"/>
          <w:b w:val="false"/>
          <w:i w:val="false"/>
          <w:color w:val="000000"/>
          <w:sz w:val="28"/>
        </w:rPr>
        <w:t>
      глобальных факторов внешней среды</w:t>
      </w:r>
    </w:p>
    <w:bookmarkEnd w:id="5"/>
    <w:bookmarkStart w:name="z16" w:id="6"/>
    <w:p>
      <w:pPr>
        <w:spacing w:after="0"/>
        <w:ind w:left="0"/>
        <w:jc w:val="both"/>
      </w:pPr>
      <w:r>
        <w:rPr>
          <w:rFonts w:ascii="Times New Roman"/>
          <w:b w:val="false"/>
          <w:i w:val="false"/>
          <w:color w:val="000000"/>
          <w:sz w:val="28"/>
        </w:rPr>
        <w:t>
      Параграф 1. Макроэкономические тенденции</w:t>
      </w:r>
    </w:p>
    <w:bookmarkEnd w:id="6"/>
    <w:bookmarkStart w:name="z17" w:id="7"/>
    <w:p>
      <w:pPr>
        <w:spacing w:after="0"/>
        <w:ind w:left="0"/>
        <w:jc w:val="both"/>
      </w:pPr>
      <w:r>
        <w:rPr>
          <w:rFonts w:ascii="Times New Roman"/>
          <w:b w:val="false"/>
          <w:i w:val="false"/>
          <w:color w:val="000000"/>
          <w:sz w:val="28"/>
        </w:rPr>
        <w:t>
      Параграф 2. Мегатренды</w:t>
      </w:r>
    </w:p>
    <w:bookmarkEnd w:id="7"/>
    <w:bookmarkStart w:name="z18" w:id="8"/>
    <w:p>
      <w:pPr>
        <w:spacing w:after="0"/>
        <w:ind w:left="0"/>
        <w:jc w:val="both"/>
      </w:pPr>
      <w:r>
        <w:rPr>
          <w:rFonts w:ascii="Times New Roman"/>
          <w:b w:val="false"/>
          <w:i w:val="false"/>
          <w:color w:val="000000"/>
          <w:sz w:val="28"/>
        </w:rPr>
        <w:t>
      Параграф 3. Бенчмаркинг</w:t>
      </w:r>
    </w:p>
    <w:bookmarkEnd w:id="8"/>
    <w:bookmarkStart w:name="z19" w:id="9"/>
    <w:p>
      <w:pPr>
        <w:spacing w:after="0"/>
        <w:ind w:left="0"/>
        <w:jc w:val="both"/>
      </w:pPr>
      <w:r>
        <w:rPr>
          <w:rFonts w:ascii="Times New Roman"/>
          <w:b w:val="false"/>
          <w:i w:val="false"/>
          <w:color w:val="000000"/>
          <w:sz w:val="28"/>
        </w:rPr>
        <w:t>
      Глава 2. Правовые и политические факторы внешней среды. Основные направления государственной экономической политики</w:t>
      </w:r>
    </w:p>
    <w:bookmarkEnd w:id="9"/>
    <w:bookmarkStart w:name="z20" w:id="10"/>
    <w:p>
      <w:pPr>
        <w:spacing w:after="0"/>
        <w:ind w:left="0"/>
        <w:jc w:val="both"/>
      </w:pPr>
      <w:r>
        <w:rPr>
          <w:rFonts w:ascii="Times New Roman"/>
          <w:b w:val="false"/>
          <w:i w:val="false"/>
          <w:color w:val="000000"/>
          <w:sz w:val="28"/>
        </w:rPr>
        <w:t>
      Параграф 1. Участие АО "НУХ "Байтерек" в реализации государственных программных документов</w:t>
      </w:r>
    </w:p>
    <w:bookmarkEnd w:id="10"/>
    <w:bookmarkStart w:name="z21" w:id="11"/>
    <w:p>
      <w:pPr>
        <w:spacing w:after="0"/>
        <w:ind w:left="0"/>
        <w:jc w:val="both"/>
      </w:pPr>
      <w:r>
        <w:rPr>
          <w:rFonts w:ascii="Times New Roman"/>
          <w:b w:val="false"/>
          <w:i w:val="false"/>
          <w:color w:val="000000"/>
          <w:sz w:val="28"/>
        </w:rPr>
        <w:t>
      Подраздел 2. Анализ внутренней среды</w:t>
      </w:r>
    </w:p>
    <w:bookmarkEnd w:id="11"/>
    <w:bookmarkStart w:name="z22" w:id="12"/>
    <w:p>
      <w:pPr>
        <w:spacing w:after="0"/>
        <w:ind w:left="0"/>
        <w:jc w:val="both"/>
      </w:pPr>
      <w:r>
        <w:rPr>
          <w:rFonts w:ascii="Times New Roman"/>
          <w:b w:val="false"/>
          <w:i w:val="false"/>
          <w:color w:val="000000"/>
          <w:sz w:val="28"/>
        </w:rPr>
        <w:t>
      Глава 3. Текущая структура АО "НУХ "Байтерек" и ДО</w:t>
      </w:r>
    </w:p>
    <w:bookmarkEnd w:id="12"/>
    <w:bookmarkStart w:name="z23" w:id="13"/>
    <w:p>
      <w:pPr>
        <w:spacing w:after="0"/>
        <w:ind w:left="0"/>
        <w:jc w:val="both"/>
      </w:pPr>
      <w:r>
        <w:rPr>
          <w:rFonts w:ascii="Times New Roman"/>
          <w:b w:val="false"/>
          <w:i w:val="false"/>
          <w:color w:val="000000"/>
          <w:sz w:val="28"/>
        </w:rPr>
        <w:t>
      Глава 4. Анализ сильных и слабых сторон в деятельности компании</w:t>
      </w:r>
    </w:p>
    <w:bookmarkEnd w:id="13"/>
    <w:bookmarkStart w:name="z24" w:id="14"/>
    <w:p>
      <w:pPr>
        <w:spacing w:after="0"/>
        <w:ind w:left="0"/>
        <w:jc w:val="both"/>
      </w:pPr>
      <w:r>
        <w:rPr>
          <w:rFonts w:ascii="Times New Roman"/>
          <w:b w:val="false"/>
          <w:i w:val="false"/>
          <w:color w:val="000000"/>
          <w:sz w:val="28"/>
        </w:rPr>
        <w:t xml:space="preserve">
      Раздел 2. Миссия и видение АО "НУХ "Байтерек" </w:t>
      </w:r>
    </w:p>
    <w:bookmarkEnd w:id="14"/>
    <w:bookmarkStart w:name="z25" w:id="15"/>
    <w:p>
      <w:pPr>
        <w:spacing w:after="0"/>
        <w:ind w:left="0"/>
        <w:jc w:val="both"/>
      </w:pPr>
      <w:r>
        <w:rPr>
          <w:rFonts w:ascii="Times New Roman"/>
          <w:b w:val="false"/>
          <w:i w:val="false"/>
          <w:color w:val="000000"/>
          <w:sz w:val="28"/>
        </w:rPr>
        <w:t>
      Раздел 3. Стратегические направления деятельности АО "НУХ "Байтерек"</w:t>
      </w:r>
    </w:p>
    <w:bookmarkEnd w:id="15"/>
    <w:bookmarkStart w:name="z26" w:id="16"/>
    <w:p>
      <w:pPr>
        <w:spacing w:after="0"/>
        <w:ind w:left="0"/>
        <w:jc w:val="both"/>
      </w:pPr>
      <w:r>
        <w:rPr>
          <w:rFonts w:ascii="Times New Roman"/>
          <w:b w:val="false"/>
          <w:i w:val="false"/>
          <w:color w:val="000000"/>
          <w:sz w:val="28"/>
        </w:rPr>
        <w:t>
      Глава 5. Стратегическое направление деятельности № 1 – Поддержка предпринимательства</w:t>
      </w:r>
    </w:p>
    <w:bookmarkEnd w:id="16"/>
    <w:bookmarkStart w:name="z27" w:id="17"/>
    <w:p>
      <w:pPr>
        <w:spacing w:after="0"/>
        <w:ind w:left="0"/>
        <w:jc w:val="both"/>
      </w:pPr>
      <w:r>
        <w:rPr>
          <w:rFonts w:ascii="Times New Roman"/>
          <w:b w:val="false"/>
          <w:i w:val="false"/>
          <w:color w:val="000000"/>
          <w:sz w:val="28"/>
        </w:rPr>
        <w:t>
      Параграф 1. Развитие промышленности</w:t>
      </w:r>
    </w:p>
    <w:bookmarkEnd w:id="17"/>
    <w:bookmarkStart w:name="z28" w:id="18"/>
    <w:p>
      <w:pPr>
        <w:spacing w:after="0"/>
        <w:ind w:left="0"/>
        <w:jc w:val="both"/>
      </w:pPr>
      <w:r>
        <w:rPr>
          <w:rFonts w:ascii="Times New Roman"/>
          <w:b w:val="false"/>
          <w:i w:val="false"/>
          <w:color w:val="000000"/>
          <w:sz w:val="28"/>
        </w:rPr>
        <w:t>
      Параграф 2. Поддержка микро, малого и среднего предпринимательства</w:t>
      </w:r>
    </w:p>
    <w:bookmarkEnd w:id="18"/>
    <w:bookmarkStart w:name="z29" w:id="19"/>
    <w:p>
      <w:pPr>
        <w:spacing w:after="0"/>
        <w:ind w:left="0"/>
        <w:jc w:val="both"/>
      </w:pPr>
      <w:r>
        <w:rPr>
          <w:rFonts w:ascii="Times New Roman"/>
          <w:b w:val="false"/>
          <w:i w:val="false"/>
          <w:color w:val="000000"/>
          <w:sz w:val="28"/>
        </w:rPr>
        <w:t>
      Параграф 3. Повышение экспортного потенциала</w:t>
      </w:r>
    </w:p>
    <w:bookmarkEnd w:id="19"/>
    <w:bookmarkStart w:name="z30" w:id="20"/>
    <w:p>
      <w:pPr>
        <w:spacing w:after="0"/>
        <w:ind w:left="0"/>
        <w:jc w:val="both"/>
      </w:pPr>
      <w:r>
        <w:rPr>
          <w:rFonts w:ascii="Times New Roman"/>
          <w:b w:val="false"/>
          <w:i w:val="false"/>
          <w:color w:val="000000"/>
          <w:sz w:val="28"/>
        </w:rPr>
        <w:t>
      Параграф 4. Развитие АПК</w:t>
      </w:r>
    </w:p>
    <w:bookmarkEnd w:id="20"/>
    <w:bookmarkStart w:name="z31" w:id="21"/>
    <w:p>
      <w:pPr>
        <w:spacing w:after="0"/>
        <w:ind w:left="0"/>
        <w:jc w:val="both"/>
      </w:pPr>
      <w:r>
        <w:rPr>
          <w:rFonts w:ascii="Times New Roman"/>
          <w:b w:val="false"/>
          <w:i w:val="false"/>
          <w:color w:val="000000"/>
          <w:sz w:val="28"/>
        </w:rPr>
        <w:t>
      Глава 6. Стратегическое направление деятельности № 2 – Развитие экосистемы долевого финансирования</w:t>
      </w:r>
    </w:p>
    <w:bookmarkEnd w:id="21"/>
    <w:bookmarkStart w:name="z32" w:id="22"/>
    <w:p>
      <w:pPr>
        <w:spacing w:after="0"/>
        <w:ind w:left="0"/>
        <w:jc w:val="both"/>
      </w:pPr>
      <w:r>
        <w:rPr>
          <w:rFonts w:ascii="Times New Roman"/>
          <w:b w:val="false"/>
          <w:i w:val="false"/>
          <w:color w:val="000000"/>
          <w:sz w:val="28"/>
        </w:rPr>
        <w:t>
      Параграф 1. Развитие рынка долевого финансирования</w:t>
      </w:r>
    </w:p>
    <w:bookmarkEnd w:id="22"/>
    <w:bookmarkStart w:name="z33" w:id="23"/>
    <w:p>
      <w:pPr>
        <w:spacing w:after="0"/>
        <w:ind w:left="0"/>
        <w:jc w:val="both"/>
      </w:pPr>
      <w:r>
        <w:rPr>
          <w:rFonts w:ascii="Times New Roman"/>
          <w:b w:val="false"/>
          <w:i w:val="false"/>
          <w:color w:val="000000"/>
          <w:sz w:val="28"/>
        </w:rPr>
        <w:t>
      Параграф 2. Развитие кэптивных управляющих компаний</w:t>
      </w:r>
    </w:p>
    <w:bookmarkEnd w:id="23"/>
    <w:bookmarkStart w:name="z34" w:id="24"/>
    <w:p>
      <w:pPr>
        <w:spacing w:after="0"/>
        <w:ind w:left="0"/>
        <w:jc w:val="both"/>
      </w:pPr>
      <w:r>
        <w:rPr>
          <w:rFonts w:ascii="Times New Roman"/>
          <w:b w:val="false"/>
          <w:i w:val="false"/>
          <w:color w:val="000000"/>
          <w:sz w:val="28"/>
        </w:rPr>
        <w:t>
      Параграф 3. Развитие рынка венчурного финансирования</w:t>
      </w:r>
    </w:p>
    <w:bookmarkEnd w:id="24"/>
    <w:bookmarkStart w:name="z35" w:id="25"/>
    <w:p>
      <w:pPr>
        <w:spacing w:after="0"/>
        <w:ind w:left="0"/>
        <w:jc w:val="both"/>
      </w:pPr>
      <w:r>
        <w:rPr>
          <w:rFonts w:ascii="Times New Roman"/>
          <w:b w:val="false"/>
          <w:i w:val="false"/>
          <w:color w:val="000000"/>
          <w:sz w:val="28"/>
        </w:rPr>
        <w:t>
      Параграф 4. Развитие рынка стрессовых активов</w:t>
      </w:r>
    </w:p>
    <w:bookmarkEnd w:id="25"/>
    <w:bookmarkStart w:name="z36" w:id="26"/>
    <w:p>
      <w:pPr>
        <w:spacing w:after="0"/>
        <w:ind w:left="0"/>
        <w:jc w:val="both"/>
      </w:pPr>
      <w:r>
        <w:rPr>
          <w:rFonts w:ascii="Times New Roman"/>
          <w:b w:val="false"/>
          <w:i w:val="false"/>
          <w:color w:val="000000"/>
          <w:sz w:val="28"/>
        </w:rPr>
        <w:t>
      Глава 7. Стратегическое направление деятельности № 3 – Обеспечение населения жильем</w:t>
      </w:r>
    </w:p>
    <w:bookmarkEnd w:id="26"/>
    <w:bookmarkStart w:name="z37" w:id="27"/>
    <w:p>
      <w:pPr>
        <w:spacing w:after="0"/>
        <w:ind w:left="0"/>
        <w:jc w:val="both"/>
      </w:pPr>
      <w:r>
        <w:rPr>
          <w:rFonts w:ascii="Times New Roman"/>
          <w:b w:val="false"/>
          <w:i w:val="false"/>
          <w:color w:val="000000"/>
          <w:sz w:val="28"/>
        </w:rPr>
        <w:t>
      Глава 8. Стратегические цели и задачи в рамках трех направлений деятельности</w:t>
      </w:r>
    </w:p>
    <w:bookmarkEnd w:id="27"/>
    <w:bookmarkStart w:name="z38" w:id="28"/>
    <w:p>
      <w:pPr>
        <w:spacing w:after="0"/>
        <w:ind w:left="0"/>
        <w:jc w:val="both"/>
      </w:pPr>
      <w:r>
        <w:rPr>
          <w:rFonts w:ascii="Times New Roman"/>
          <w:b w:val="false"/>
          <w:i w:val="false"/>
          <w:color w:val="000000"/>
          <w:sz w:val="28"/>
        </w:rPr>
        <w:t>
      Параграф 1. Переход к "зеленой" и углеродно-нейтральной экономике</w:t>
      </w:r>
    </w:p>
    <w:bookmarkEnd w:id="28"/>
    <w:bookmarkStart w:name="z39" w:id="29"/>
    <w:p>
      <w:pPr>
        <w:spacing w:after="0"/>
        <w:ind w:left="0"/>
        <w:jc w:val="both"/>
      </w:pPr>
      <w:r>
        <w:rPr>
          <w:rFonts w:ascii="Times New Roman"/>
          <w:b w:val="false"/>
          <w:i w:val="false"/>
          <w:color w:val="000000"/>
          <w:sz w:val="28"/>
        </w:rPr>
        <w:t>
      Параграф 2. Оптимизация портфеля функций ДО</w:t>
      </w:r>
    </w:p>
    <w:bookmarkEnd w:id="29"/>
    <w:bookmarkStart w:name="z40" w:id="30"/>
    <w:p>
      <w:pPr>
        <w:spacing w:after="0"/>
        <w:ind w:left="0"/>
        <w:jc w:val="both"/>
      </w:pPr>
      <w:r>
        <w:rPr>
          <w:rFonts w:ascii="Times New Roman"/>
          <w:b w:val="false"/>
          <w:i w:val="false"/>
          <w:color w:val="000000"/>
          <w:sz w:val="28"/>
        </w:rPr>
        <w:t>
      Параграф 3. Децентрализация функций управления с корпоративного центра на советы директоров и правления ДО</w:t>
      </w:r>
    </w:p>
    <w:bookmarkEnd w:id="30"/>
    <w:bookmarkStart w:name="z41" w:id="31"/>
    <w:p>
      <w:pPr>
        <w:spacing w:after="0"/>
        <w:ind w:left="0"/>
        <w:jc w:val="both"/>
      </w:pPr>
      <w:r>
        <w:rPr>
          <w:rFonts w:ascii="Times New Roman"/>
          <w:b w:val="false"/>
          <w:i w:val="false"/>
          <w:color w:val="000000"/>
          <w:sz w:val="28"/>
        </w:rPr>
        <w:t>
      Параграф 4. Развитие новых компетенций и методов организации работы</w:t>
      </w:r>
    </w:p>
    <w:bookmarkEnd w:id="31"/>
    <w:bookmarkStart w:name="z42" w:id="32"/>
    <w:p>
      <w:pPr>
        <w:spacing w:after="0"/>
        <w:ind w:left="0"/>
        <w:jc w:val="both"/>
      </w:pPr>
      <w:r>
        <w:rPr>
          <w:rFonts w:ascii="Times New Roman"/>
          <w:b w:val="false"/>
          <w:i w:val="false"/>
          <w:color w:val="000000"/>
          <w:sz w:val="28"/>
        </w:rPr>
        <w:t xml:space="preserve">
      Параграф 5. Стратегия управления внешним долгом АО "НУХ "Байтерек" </w:t>
      </w:r>
    </w:p>
    <w:bookmarkEnd w:id="32"/>
    <w:bookmarkStart w:name="z43" w:id="33"/>
    <w:p>
      <w:pPr>
        <w:spacing w:after="0"/>
        <w:ind w:left="0"/>
        <w:jc w:val="both"/>
      </w:pPr>
      <w:r>
        <w:rPr>
          <w:rFonts w:ascii="Times New Roman"/>
          <w:b w:val="false"/>
          <w:i w:val="false"/>
          <w:color w:val="000000"/>
          <w:sz w:val="28"/>
        </w:rPr>
        <w:t>
      Раздел 4. КПД АО "НУХ "Байтерек" до 2033 года</w:t>
      </w:r>
    </w:p>
    <w:bookmarkEnd w:id="33"/>
    <w:bookmarkStart w:name="z44" w:id="34"/>
    <w:p>
      <w:pPr>
        <w:spacing w:after="0"/>
        <w:ind w:left="0"/>
        <w:jc w:val="both"/>
      </w:pPr>
      <w:r>
        <w:rPr>
          <w:rFonts w:ascii="Times New Roman"/>
          <w:b w:val="false"/>
          <w:i w:val="false"/>
          <w:color w:val="000000"/>
          <w:sz w:val="28"/>
        </w:rPr>
        <w:t>
      Приложение 1 к Плану развития акционерного общества "Национальный управляющий холдинг "Байтерек" на 2024 – 2033 годы</w:t>
      </w:r>
    </w:p>
    <w:bookmarkEnd w:id="34"/>
    <w:bookmarkStart w:name="z45" w:id="35"/>
    <w:p>
      <w:pPr>
        <w:spacing w:after="0"/>
        <w:ind w:left="0"/>
        <w:jc w:val="both"/>
      </w:pPr>
      <w:r>
        <w:rPr>
          <w:rFonts w:ascii="Times New Roman"/>
          <w:b w:val="false"/>
          <w:i w:val="false"/>
          <w:color w:val="000000"/>
          <w:sz w:val="28"/>
        </w:rPr>
        <w:t>
      Приложение 2 к Плану развития акционерного общества "Национальный управляющий холдинг "Байтерек" на 2024 – 2033 годы</w:t>
      </w:r>
    </w:p>
    <w:bookmarkEnd w:id="35"/>
    <w:bookmarkStart w:name="z46" w:id="36"/>
    <w:p>
      <w:pPr>
        <w:spacing w:after="0"/>
        <w:ind w:left="0"/>
        <w:jc w:val="left"/>
      </w:pPr>
      <w:r>
        <w:rPr>
          <w:rFonts w:ascii="Times New Roman"/>
          <w:b/>
          <w:i w:val="false"/>
          <w:color w:val="000000"/>
        </w:rPr>
        <w:t xml:space="preserve"> Введение</w:t>
      </w:r>
    </w:p>
    <w:bookmarkEnd w:id="36"/>
    <w:bookmarkStart w:name="z47" w:id="37"/>
    <w:p>
      <w:pPr>
        <w:spacing w:after="0"/>
        <w:ind w:left="0"/>
        <w:jc w:val="both"/>
      </w:pPr>
      <w:r>
        <w:rPr>
          <w:rFonts w:ascii="Times New Roman"/>
          <w:b w:val="false"/>
          <w:i w:val="false"/>
          <w:color w:val="000000"/>
          <w:sz w:val="28"/>
        </w:rPr>
        <w:t xml:space="preserve">
      Акционерное общество "Национальный управляющий холдинг "Байтерек" (далее – АО "НУХ "Байтерек", холдинг)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22 мая 2013 года № 571 "О некоторых мерах по оптимизации системы управления институтами развития</w:t>
      </w:r>
      <w:r>
        <w:rPr>
          <w:rFonts w:ascii="Times New Roman"/>
          <w:b w:val="false"/>
          <w:i w:val="false"/>
          <w:color w:val="000000"/>
          <w:vertAlign w:val="superscript"/>
        </w:rPr>
        <w:t>1</w:t>
      </w:r>
      <w:r>
        <w:rPr>
          <w:rFonts w:ascii="Times New Roman"/>
          <w:b w:val="false"/>
          <w:i w:val="false"/>
          <w:color w:val="000000"/>
          <w:sz w:val="28"/>
        </w:rPr>
        <w:t xml:space="preserve">, финансовыми организациями и развития национальной экономики"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w:t>
      </w:r>
    </w:p>
    <w:bookmarkEnd w:id="37"/>
    <w:bookmarkStart w:name="z48" w:id="38"/>
    <w:p>
      <w:pPr>
        <w:spacing w:after="0"/>
        <w:ind w:left="0"/>
        <w:jc w:val="both"/>
      </w:pPr>
      <w:r>
        <w:rPr>
          <w:rFonts w:ascii="Times New Roman"/>
          <w:b w:val="false"/>
          <w:i w:val="false"/>
          <w:color w:val="000000"/>
          <w:sz w:val="28"/>
        </w:rPr>
        <w:t>
      Единственным акционером АО "НУХ "Байтерек" является Правительство Республики Казахстан.</w:t>
      </w:r>
    </w:p>
    <w:bookmarkEnd w:id="38"/>
    <w:bookmarkStart w:name="z49" w:id="39"/>
    <w:p>
      <w:pPr>
        <w:spacing w:after="0"/>
        <w:ind w:left="0"/>
        <w:jc w:val="both"/>
      </w:pPr>
      <w:r>
        <w:rPr>
          <w:rFonts w:ascii="Times New Roman"/>
          <w:b w:val="false"/>
          <w:i w:val="false"/>
          <w:color w:val="000000"/>
          <w:sz w:val="28"/>
        </w:rPr>
        <w:t xml:space="preserve">
      Первый десятилетний План развития АО "НУХ "Байтерек" на 2014 - 2023 годы был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июня 2014 года № 674 и дважды актуализирован в связи с произошедшим за 10 лет деятельности холдинга рядом изменений в документах системы государственного планирования, в реализации которых участвует АО "НУХ "Байтерек", а также рядом социально-экономических событий.</w:t>
      </w:r>
    </w:p>
    <w:bookmarkEnd w:id="39"/>
    <w:bookmarkStart w:name="z50" w:id="40"/>
    <w:p>
      <w:pPr>
        <w:spacing w:after="0"/>
        <w:ind w:left="0"/>
        <w:jc w:val="both"/>
      </w:pPr>
      <w:r>
        <w:rPr>
          <w:rFonts w:ascii="Times New Roman"/>
          <w:b w:val="false"/>
          <w:i w:val="false"/>
          <w:color w:val="000000"/>
          <w:sz w:val="28"/>
        </w:rPr>
        <w:t xml:space="preserve">
      Настоящий План развития является очередным стратегическим документом на второй десятилетний период (2024 - 2033 годы) и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зарегистрированным в реестре государственной регистрации нормативных правовых актов Республики Казахстан 9 апреля 2015 года под № 10663.</w:t>
      </w:r>
    </w:p>
    <w:bookmarkEnd w:id="40"/>
    <w:bookmarkStart w:name="z51" w:id="41"/>
    <w:p>
      <w:pPr>
        <w:spacing w:after="0"/>
        <w:ind w:left="0"/>
        <w:jc w:val="both"/>
      </w:pPr>
      <w:r>
        <w:rPr>
          <w:rFonts w:ascii="Times New Roman"/>
          <w:b w:val="false"/>
          <w:i w:val="false"/>
          <w:color w:val="000000"/>
          <w:sz w:val="28"/>
        </w:rPr>
        <w:t>
      План развития учитывает поручения, данные АО "НУХ "Байтерек" в рамках посланий Президента Республики Казахстан о положении в стране и основных направлениях внутренней и внешней политики, положений в стратегических и программных документах системы государственного планирования, а также изменений внутренней и внешней среды, имеющих существенный эффект на деятельность АО "НУХ "Байтерек":</w:t>
      </w:r>
    </w:p>
    <w:bookmarkEnd w:id="41"/>
    <w:bookmarkStart w:name="z52" w:id="42"/>
    <w:p>
      <w:pPr>
        <w:spacing w:after="0"/>
        <w:ind w:left="0"/>
        <w:jc w:val="both"/>
      </w:pPr>
      <w:r>
        <w:rPr>
          <w:rFonts w:ascii="Times New Roman"/>
          <w:b w:val="false"/>
          <w:i w:val="false"/>
          <w:color w:val="000000"/>
          <w:sz w:val="28"/>
        </w:rPr>
        <w:t>
      1) ожидание замедления темпов роста мировой экономики, в особенности развивающихся рынков, по ряду причин: снижение цен на энергоресурсы; изменение торговых маршрутов и санкций из-за нестабильной геополитической ситуации вокруг России и Украины, обострение соответствующих санкций, что оказывает давление на регион и национальные валюты;</w:t>
      </w:r>
    </w:p>
    <w:bookmarkEnd w:id="42"/>
    <w:bookmarkStart w:name="z53" w:id="43"/>
    <w:p>
      <w:pPr>
        <w:spacing w:after="0"/>
        <w:ind w:left="0"/>
        <w:jc w:val="both"/>
      </w:pPr>
      <w:r>
        <w:rPr>
          <w:rFonts w:ascii="Times New Roman"/>
          <w:b w:val="false"/>
          <w:i w:val="false"/>
          <w:color w:val="000000"/>
          <w:sz w:val="28"/>
        </w:rPr>
        <w:t>
      2) пять глобальных мегатрендов, озвученных Главой государства на Астанинском экономическом форуме в 2018 году;</w:t>
      </w:r>
    </w:p>
    <w:bookmarkEnd w:id="43"/>
    <w:bookmarkStart w:name="z54" w:id="44"/>
    <w:p>
      <w:pPr>
        <w:spacing w:after="0"/>
        <w:ind w:left="0"/>
        <w:jc w:val="both"/>
      </w:pPr>
      <w:r>
        <w:rPr>
          <w:rFonts w:ascii="Times New Roman"/>
          <w:b w:val="false"/>
          <w:i w:val="false"/>
          <w:color w:val="000000"/>
          <w:sz w:val="28"/>
        </w:rPr>
        <w:t>
      3) участие в реализации посланий Главы государства и национальных проектов:</w:t>
      </w:r>
    </w:p>
    <w:bookmarkEnd w:id="44"/>
    <w:bookmarkStart w:name="z55" w:id="45"/>
    <w:p>
      <w:pPr>
        <w:spacing w:after="0"/>
        <w:ind w:left="0"/>
        <w:jc w:val="both"/>
      </w:pPr>
      <w:r>
        <w:rPr>
          <w:rFonts w:ascii="Times New Roman"/>
          <w:b w:val="false"/>
          <w:i w:val="false"/>
          <w:color w:val="000000"/>
          <w:sz w:val="28"/>
        </w:rPr>
        <w:t>
      Национальный план развития Республики Казахстан до 2029 года;</w:t>
      </w:r>
    </w:p>
    <w:bookmarkEnd w:id="45"/>
    <w:bookmarkStart w:name="z56" w:id="46"/>
    <w:p>
      <w:pPr>
        <w:spacing w:after="0"/>
        <w:ind w:left="0"/>
        <w:jc w:val="both"/>
      </w:pPr>
      <w:r>
        <w:rPr>
          <w:rFonts w:ascii="Times New Roman"/>
          <w:b w:val="false"/>
          <w:i w:val="false"/>
          <w:color w:val="000000"/>
          <w:sz w:val="28"/>
        </w:rPr>
        <w:t>
       Послание Главы государства от 31 января 2017 года "Третья модернизация Казахстана: глобальная конкурентоспособность";</w:t>
      </w:r>
    </w:p>
    <w:bookmarkEnd w:id="46"/>
    <w:bookmarkStart w:name="z57" w:id="47"/>
    <w:p>
      <w:pPr>
        <w:spacing w:after="0"/>
        <w:ind w:left="0"/>
        <w:jc w:val="both"/>
      </w:pPr>
      <w:r>
        <w:rPr>
          <w:rFonts w:ascii="Times New Roman"/>
          <w:b w:val="false"/>
          <w:i w:val="false"/>
          <w:color w:val="000000"/>
          <w:sz w:val="28"/>
        </w:rPr>
        <w:t>
       Послание Главы государства от 10 января 2018 года "Новые возможности развития в условиях четвертой промышленной революции";</w:t>
      </w:r>
    </w:p>
    <w:bookmarkEnd w:id="47"/>
    <w:bookmarkStart w:name="z58" w:id="48"/>
    <w:p>
      <w:pPr>
        <w:spacing w:after="0"/>
        <w:ind w:left="0"/>
        <w:jc w:val="both"/>
      </w:pPr>
      <w:r>
        <w:rPr>
          <w:rFonts w:ascii="Times New Roman"/>
          <w:b w:val="false"/>
          <w:i w:val="false"/>
          <w:color w:val="000000"/>
          <w:sz w:val="28"/>
        </w:rPr>
        <w:t>
       Послание Главы государства от 5 октября 2018 года "Рост благосостояния казахстанцев: повышение доходов и качества жизни";</w:t>
      </w:r>
    </w:p>
    <w:bookmarkEnd w:id="48"/>
    <w:bookmarkStart w:name="z59" w:id="49"/>
    <w:p>
      <w:pPr>
        <w:spacing w:after="0"/>
        <w:ind w:left="0"/>
        <w:jc w:val="both"/>
      </w:pPr>
      <w:r>
        <w:rPr>
          <w:rFonts w:ascii="Times New Roman"/>
          <w:b w:val="false"/>
          <w:i w:val="false"/>
          <w:color w:val="000000"/>
          <w:sz w:val="28"/>
        </w:rPr>
        <w:t>
       Послание Главы государства от 2 сентября 2019 года "Конструктивный общественный диалог – основа стабильности и процветания Казахстана";</w:t>
      </w:r>
    </w:p>
    <w:bookmarkEnd w:id="49"/>
    <w:bookmarkStart w:name="z60" w:id="50"/>
    <w:p>
      <w:pPr>
        <w:spacing w:after="0"/>
        <w:ind w:left="0"/>
        <w:jc w:val="both"/>
      </w:pPr>
      <w:r>
        <w:rPr>
          <w:rFonts w:ascii="Times New Roman"/>
          <w:b w:val="false"/>
          <w:i w:val="false"/>
          <w:color w:val="000000"/>
          <w:sz w:val="28"/>
        </w:rPr>
        <w:t>
       Послание Главы государства от 1 сентября 2020 года "Казахстан в новой реальности: время действий";</w:t>
      </w:r>
    </w:p>
    <w:bookmarkEnd w:id="50"/>
    <w:bookmarkStart w:name="z61" w:id="51"/>
    <w:p>
      <w:pPr>
        <w:spacing w:after="0"/>
        <w:ind w:left="0"/>
        <w:jc w:val="both"/>
      </w:pPr>
      <w:r>
        <w:rPr>
          <w:rFonts w:ascii="Times New Roman"/>
          <w:b w:val="false"/>
          <w:i w:val="false"/>
          <w:color w:val="000000"/>
          <w:sz w:val="28"/>
        </w:rPr>
        <w:t>
       Послание Главы государства от 1 сентября 2021 года "Единство народа и системные реформы – прочная основа процветания страны";</w:t>
      </w:r>
    </w:p>
    <w:bookmarkEnd w:id="51"/>
    <w:bookmarkStart w:name="z62" w:id="52"/>
    <w:p>
      <w:pPr>
        <w:spacing w:after="0"/>
        <w:ind w:left="0"/>
        <w:jc w:val="both"/>
      </w:pPr>
      <w:r>
        <w:rPr>
          <w:rFonts w:ascii="Times New Roman"/>
          <w:b w:val="false"/>
          <w:i w:val="false"/>
          <w:color w:val="000000"/>
          <w:sz w:val="28"/>
        </w:rPr>
        <w:t>
       Послание Главы государства от 16 марта 2022 года "Новый Казахстан: путь обновления и модернизации";</w:t>
      </w:r>
    </w:p>
    <w:bookmarkEnd w:id="52"/>
    <w:bookmarkStart w:name="z63" w:id="53"/>
    <w:p>
      <w:pPr>
        <w:spacing w:after="0"/>
        <w:ind w:left="0"/>
        <w:jc w:val="both"/>
      </w:pPr>
      <w:r>
        <w:rPr>
          <w:rFonts w:ascii="Times New Roman"/>
          <w:b w:val="false"/>
          <w:i w:val="false"/>
          <w:color w:val="000000"/>
          <w:sz w:val="28"/>
        </w:rPr>
        <w:t>
       Послание Главы государства от 1 сентября 2022 года "Справедливое государство. Единая нация. Благополучное общество";</w:t>
      </w:r>
    </w:p>
    <w:bookmarkEnd w:id="53"/>
    <w:bookmarkStart w:name="z64" w:id="54"/>
    <w:p>
      <w:pPr>
        <w:spacing w:after="0"/>
        <w:ind w:left="0"/>
        <w:jc w:val="both"/>
      </w:pPr>
      <w:r>
        <w:rPr>
          <w:rFonts w:ascii="Times New Roman"/>
          <w:b w:val="false"/>
          <w:i w:val="false"/>
          <w:color w:val="000000"/>
          <w:sz w:val="28"/>
        </w:rPr>
        <w:t>
       Послание Главы государства от 1 сентября 2023 года "Экономический курс Справедливого Казахстана";</w:t>
      </w:r>
    </w:p>
    <w:bookmarkEnd w:id="54"/>
    <w:bookmarkStart w:name="z65" w:id="55"/>
    <w:p>
      <w:pPr>
        <w:spacing w:after="0"/>
        <w:ind w:left="0"/>
        <w:jc w:val="both"/>
      </w:pPr>
      <w:r>
        <w:rPr>
          <w:rFonts w:ascii="Times New Roman"/>
          <w:b w:val="false"/>
          <w:i w:val="false"/>
          <w:color w:val="000000"/>
          <w:sz w:val="28"/>
        </w:rPr>
        <w:t>
       Послание Главы государства от 2 сентября 2024 года "Справедливый Казахстан: закон и порядок, экономический рост, общественный оптимизм";</w:t>
      </w:r>
    </w:p>
    <w:bookmarkEnd w:id="55"/>
    <w:bookmarkStart w:name="z66" w:id="56"/>
    <w:p>
      <w:pPr>
        <w:spacing w:after="0"/>
        <w:ind w:left="0"/>
        <w:jc w:val="both"/>
      </w:pPr>
      <w:r>
        <w:rPr>
          <w:rFonts w:ascii="Times New Roman"/>
          <w:b w:val="false"/>
          <w:i w:val="false"/>
          <w:color w:val="000000"/>
          <w:sz w:val="28"/>
        </w:rPr>
        <w:t xml:space="preserve">
       Концепции развития: </w:t>
      </w:r>
      <w:r>
        <w:rPr>
          <w:rFonts w:ascii="Times New Roman"/>
          <w:b w:val="false"/>
          <w:i w:val="false"/>
          <w:color w:val="000000"/>
          <w:sz w:val="28"/>
        </w:rPr>
        <w:t>Концепция</w:t>
      </w:r>
      <w:r>
        <w:rPr>
          <w:rFonts w:ascii="Times New Roman"/>
          <w:b w:val="false"/>
          <w:i w:val="false"/>
          <w:color w:val="000000"/>
          <w:sz w:val="28"/>
        </w:rPr>
        <w:t xml:space="preserve"> развития малого и среднего предпринимательства в Республике Казахстан до 2030 года, утвержденная постановлением Правительства Республики Казахстан от 27 апреля 2022 года № 250; </w:t>
      </w:r>
      <w:r>
        <w:rPr>
          <w:rFonts w:ascii="Times New Roman"/>
          <w:b w:val="false"/>
          <w:i w:val="false"/>
          <w:color w:val="000000"/>
          <w:sz w:val="28"/>
        </w:rPr>
        <w:t>Концепция</w:t>
      </w:r>
      <w:r>
        <w:rPr>
          <w:rFonts w:ascii="Times New Roman"/>
          <w:b w:val="false"/>
          <w:i w:val="false"/>
          <w:color w:val="000000"/>
          <w:sz w:val="28"/>
        </w:rPr>
        <w:t xml:space="preserve"> развития агропромышленного комплекса Республики Казахстан на 2021 – 2030 годы, утвержденная постановлением Правительства Республики Казахстан от 30 декабря 2021 года № 960; </w:t>
      </w:r>
      <w:r>
        <w:rPr>
          <w:rFonts w:ascii="Times New Roman"/>
          <w:b w:val="false"/>
          <w:i w:val="false"/>
          <w:color w:val="000000"/>
          <w:sz w:val="28"/>
        </w:rPr>
        <w:t>Концепция</w:t>
      </w:r>
      <w:r>
        <w:rPr>
          <w:rFonts w:ascii="Times New Roman"/>
          <w:b w:val="false"/>
          <w:i w:val="false"/>
          <w:color w:val="000000"/>
          <w:sz w:val="28"/>
        </w:rPr>
        <w:t xml:space="preserve"> развития обрабатывающей промышленности Республики Казахстан на 2023 – 2029 годы, утвержденная постановлением Правительства Республики Казахстан от 20 декабря 2018 года № 846; </w:t>
      </w:r>
      <w:r>
        <w:rPr>
          <w:rFonts w:ascii="Times New Roman"/>
          <w:b w:val="false"/>
          <w:i w:val="false"/>
          <w:color w:val="000000"/>
          <w:sz w:val="28"/>
        </w:rPr>
        <w:t>Концепция</w:t>
      </w:r>
      <w:r>
        <w:rPr>
          <w:rFonts w:ascii="Times New Roman"/>
          <w:b w:val="false"/>
          <w:i w:val="false"/>
          <w:color w:val="000000"/>
          <w:sz w:val="28"/>
        </w:rPr>
        <w:t xml:space="preserve"> развития жилищно-коммунальной инфраструктуры на 2023 – 2029 годы, утвержденная постановлением Правительства Республики Казахстан от 23 сентября 2022 года № 736;</w:t>
      </w:r>
    </w:p>
    <w:bookmarkEnd w:id="56"/>
    <w:bookmarkStart w:name="z6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Национальный проект</w:t>
      </w:r>
      <w:r>
        <w:rPr>
          <w:rFonts w:ascii="Times New Roman"/>
          <w:b w:val="false"/>
          <w:i w:val="false"/>
          <w:color w:val="000000"/>
          <w:sz w:val="28"/>
        </w:rPr>
        <w:t xml:space="preserve"> "Модернизация энергетического и коммунального секторов", утвержденный постановлением Правительства Республики Казахстан от 25 декабря 2024 года № 1102.</w:t>
      </w:r>
    </w:p>
    <w:bookmarkEnd w:id="57"/>
    <w:bookmarkStart w:name="z68" w:id="58"/>
    <w:p>
      <w:pPr>
        <w:spacing w:after="0"/>
        <w:ind w:left="0"/>
        <w:jc w:val="both"/>
      </w:pPr>
      <w:r>
        <w:rPr>
          <w:rFonts w:ascii="Times New Roman"/>
          <w:b w:val="false"/>
          <w:i w:val="false"/>
          <w:color w:val="000000"/>
          <w:sz w:val="28"/>
        </w:rPr>
        <w:t>
      Данный документ разработан с учетом основных направлений государственной политики в промышленно-инновационной, социально-экономической, иных сферах по направлениям деятельности АО "НУХ "Байтерек" и определяет его миссию, видение, стратегические направления, цели и задачи на 2024 – 2033 годы.</w:t>
      </w:r>
    </w:p>
    <w:bookmarkEnd w:id="58"/>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Институты развития представляют собой специализированные организации, которые созданы для поддержки развития частного сектора в развивающихся странах. Данные институты, как правило, принадлежат правительству и финансируются из национальных или международных фондов развития или через использование государственных гарантий, обеспечивая их кредитоспособность и позволяя привлекать большие суммы денег на международных рынках капитала на очень выгодных условиях. Институты развития являются одним из инструментов государственной политики, стимулирующих рост экономики, инновационные процессы и развитие инфраструктуры, в том числе с использованием механизмов государственно-частного партнерства. Основная цель институтов развития – преодоление так называемых "провалов рынка" для решения задач, которые не могут быть оптимально реализованы рыночными механизмами, для обеспечения устойчивого экономического роста и диверсификации экономики. Институты развития выступают в качестве катализатора частных инвестиций в приоритетных секторах и отраслях экономики и создают условия для формирования инфраструктуры, обеспечивающей доступ предприятиям, функционирующим в приоритетных сферах экономики, к необходимым финансовым и информационным ресурсам. (Источник: ОБСЕ)</w:t>
      </w:r>
    </w:p>
    <w:bookmarkStart w:name="z69" w:id="59"/>
    <w:p>
      <w:pPr>
        <w:spacing w:after="0"/>
        <w:ind w:left="0"/>
        <w:jc w:val="left"/>
      </w:pPr>
      <w:r>
        <w:rPr>
          <w:rFonts w:ascii="Times New Roman"/>
          <w:b/>
          <w:i w:val="false"/>
          <w:color w:val="000000"/>
        </w:rPr>
        <w:t xml:space="preserve"> Раздел 1. Анализ текущего состояния АО "НУХ "Байтерек"</w:t>
      </w:r>
    </w:p>
    <w:bookmarkEnd w:id="59"/>
    <w:bookmarkStart w:name="z70" w:id="60"/>
    <w:p>
      <w:pPr>
        <w:spacing w:after="0"/>
        <w:ind w:left="0"/>
        <w:jc w:val="left"/>
      </w:pPr>
      <w:r>
        <w:rPr>
          <w:rFonts w:ascii="Times New Roman"/>
          <w:b/>
          <w:i w:val="false"/>
          <w:color w:val="000000"/>
        </w:rPr>
        <w:t xml:space="preserve"> Подраздел 1. Анализ внешней среды</w:t>
      </w:r>
    </w:p>
    <w:bookmarkEnd w:id="60"/>
    <w:bookmarkStart w:name="z71" w:id="61"/>
    <w:p>
      <w:pPr>
        <w:spacing w:after="0"/>
        <w:ind w:left="0"/>
        <w:jc w:val="left"/>
      </w:pPr>
      <w:r>
        <w:rPr>
          <w:rFonts w:ascii="Times New Roman"/>
          <w:b/>
          <w:i w:val="false"/>
          <w:color w:val="000000"/>
        </w:rPr>
        <w:t xml:space="preserve"> Глава 1. Анализ влияния глобальных факторов внешней среды</w:t>
      </w:r>
    </w:p>
    <w:bookmarkEnd w:id="61"/>
    <w:bookmarkStart w:name="z72" w:id="62"/>
    <w:p>
      <w:pPr>
        <w:spacing w:after="0"/>
        <w:ind w:left="0"/>
        <w:jc w:val="left"/>
      </w:pPr>
      <w:r>
        <w:rPr>
          <w:rFonts w:ascii="Times New Roman"/>
          <w:b/>
          <w:i w:val="false"/>
          <w:color w:val="000000"/>
        </w:rPr>
        <w:t xml:space="preserve"> Параграф 1. Макроэкономические тенденции</w:t>
      </w:r>
    </w:p>
    <w:bookmarkEnd w:id="62"/>
    <w:bookmarkStart w:name="z73" w:id="63"/>
    <w:p>
      <w:pPr>
        <w:spacing w:after="0"/>
        <w:ind w:left="0"/>
        <w:jc w:val="both"/>
      </w:pPr>
      <w:r>
        <w:rPr>
          <w:rFonts w:ascii="Times New Roman"/>
          <w:b w:val="false"/>
          <w:i w:val="false"/>
          <w:color w:val="000000"/>
          <w:sz w:val="28"/>
        </w:rPr>
        <w:t>
      По данным Всемирного банка</w:t>
      </w:r>
      <w:r>
        <w:rPr>
          <w:rFonts w:ascii="Times New Roman"/>
          <w:b w:val="false"/>
          <w:i w:val="false"/>
          <w:color w:val="000000"/>
          <w:vertAlign w:val="superscript"/>
        </w:rPr>
        <w:t>2</w:t>
      </w:r>
      <w:r>
        <w:rPr>
          <w:rFonts w:ascii="Times New Roman"/>
          <w:b w:val="false"/>
          <w:i w:val="false"/>
          <w:color w:val="000000"/>
          <w:sz w:val="28"/>
        </w:rPr>
        <w:t xml:space="preserve"> темпы экономического роста в регионе Европы и Центральной Азии (далее – ЕЦА) в 2024 году снизились до 3,2 %, а в 2025 году прогнозируется замедление до 2,5 % с последующим увеличением до 2,7 % в 2026 году. В свою очередь, в Центральной Азии ожидается, что рост укрепится до 5 % в 2025 году, а затем замедлится до 4,2 % в 2026 году. Ожидается, что рост Казахстана, поддерживаемый ростом добычи нефти, будет иметь стабильный характер в ближайшие несколько лет.</w:t>
      </w:r>
    </w:p>
    <w:bookmarkEnd w:id="63"/>
    <w:bookmarkStart w:name="z74" w:id="64"/>
    <w:p>
      <w:pPr>
        <w:spacing w:after="0"/>
        <w:ind w:left="0"/>
        <w:jc w:val="both"/>
      </w:pPr>
      <w:r>
        <w:rPr>
          <w:rFonts w:ascii="Times New Roman"/>
          <w:b w:val="false"/>
          <w:i w:val="false"/>
          <w:color w:val="000000"/>
          <w:sz w:val="28"/>
        </w:rPr>
        <w:t>
      Прогноз Международного валютного фонда по среднегодовому росту мировой экономики до 2027 года составляет 3 %. Темпы роста мировой экономики замедлятся и окажутся одними из самых низких за последние почти тридцать лет, уступая лишь показателям, отмеченным во время глобальных рецессий 2009 и 2020 годов. Ожидается, что в странах с формирующимся рынком и развивающейся экономикой темпы роста инвестиций будут оставаться ниже среднего уровня за последние два десятилетия. Особенно уязвимыми к экономическим шокам являются государства, зависимые от внешней торговли, слабой диверсификации экономики, высокого уровня долга и подверженности стихийным бедствиям. Таким образом, Казахстан находится в зоне риска, за исключением риска высокого уровня государственного долга, который оценивается как умеренный (24% от ВВП в 2024 году).</w:t>
      </w:r>
    </w:p>
    <w:bookmarkEnd w:id="64"/>
    <w:bookmarkStart w:name="z75" w:id="65"/>
    <w:p>
      <w:pPr>
        <w:spacing w:after="0"/>
        <w:ind w:left="0"/>
        <w:jc w:val="both"/>
      </w:pPr>
      <w:r>
        <w:rPr>
          <w:rFonts w:ascii="Times New Roman"/>
          <w:b w:val="false"/>
          <w:i w:val="false"/>
          <w:color w:val="000000"/>
          <w:sz w:val="28"/>
        </w:rPr>
        <w:t xml:space="preserve">
      Соотношение рисков в прогнозе указывает на возможное снижение темпов экономического роста. Сохраняется повышенная глобальная неопределенность относительно экономической политики: риски неблагоприятных изменений в торговой политике представляют угрозу для торговли, движения капитала и перспектив экономического роста в регионе. Введение дополнительных торговых ограничений может еще больше усугубить ситуацию в сфере торговли и негативно отразиться на экономических показателях. Во всех странах ЕЦА увеличились военные расходы, и любая дальнейшая эскалация конфликта может привести к еще более значительному ухудшению ситуации в регионе. </w:t>
      </w:r>
    </w:p>
    <w:bookmarkEnd w:id="65"/>
    <w:bookmarkStart w:name="z76" w:id="66"/>
    <w:p>
      <w:pPr>
        <w:spacing w:after="0"/>
        <w:ind w:left="0"/>
        <w:jc w:val="both"/>
      </w:pPr>
      <w:r>
        <w:rPr>
          <w:rFonts w:ascii="Times New Roman"/>
          <w:b w:val="false"/>
          <w:i w:val="false"/>
          <w:color w:val="000000"/>
          <w:sz w:val="28"/>
        </w:rPr>
        <w:t>
      По данным Международного валютного фонда, достигнув 5,1 процента в 2023 году, экономический рост Казахстана оставался устойчивым в 2024 году, а инфляция продолжала постепенно снижаться. В среднесрочной перспективе прогнозируется стабилизация роста на уровне около 3,5 процента, в то время как инфляция будет снижаться и достигнет своего целевого показателя в 5 процентов к 2028 году.</w:t>
      </w:r>
    </w:p>
    <w:bookmarkEnd w:id="66"/>
    <w:bookmarkStart w:name="z77" w:id="67"/>
    <w:p>
      <w:pPr>
        <w:spacing w:after="0"/>
        <w:ind w:left="0"/>
        <w:jc w:val="both"/>
      </w:pPr>
      <w:r>
        <w:rPr>
          <w:rFonts w:ascii="Times New Roman"/>
          <w:b w:val="false"/>
          <w:i w:val="false"/>
          <w:color w:val="000000"/>
          <w:sz w:val="28"/>
        </w:rPr>
        <w:t>
      В частности, необходим отход от программ широких субсидий к более целевой поддержке. Например, финансовый сектор может играть ключевую роль в подъеме роста, но государственное вмешательство в этот сектор должно быть сокращено и перебалансировано от прямого вмешательства к целевым механизмам распределения рисков, как это показано на примере перехода акционерным обществом "Фонд развития предпринимательства "Даму" (далее – Даму) к поддержке МСБ через механизмы гарантирования и обусловленное размещение средств в финансирующих организациях.</w:t>
      </w:r>
    </w:p>
    <w:bookmarkEnd w:id="67"/>
    <w:bookmarkStart w:name="z78" w:id="68"/>
    <w:p>
      <w:pPr>
        <w:spacing w:after="0"/>
        <w:ind w:left="0"/>
        <w:jc w:val="both"/>
      </w:pPr>
      <w:r>
        <w:rPr>
          <w:rFonts w:ascii="Times New Roman"/>
          <w:b w:val="false"/>
          <w:i w:val="false"/>
          <w:color w:val="000000"/>
          <w:sz w:val="28"/>
        </w:rPr>
        <w:t>
      Следует сосредоточиться на защите уязвимых групп населения посредством сочетания целевых социальных расходов, стимулов для модернизации сельского хозяйства.</w:t>
      </w:r>
    </w:p>
    <w:bookmarkEnd w:id="68"/>
    <w:bookmarkStart w:name="z79" w:id="69"/>
    <w:p>
      <w:pPr>
        <w:spacing w:after="0"/>
        <w:ind w:left="0"/>
        <w:jc w:val="both"/>
      </w:pPr>
      <w:r>
        <w:rPr>
          <w:rFonts w:ascii="Times New Roman"/>
          <w:b w:val="false"/>
          <w:i w:val="false"/>
          <w:color w:val="000000"/>
          <w:sz w:val="28"/>
        </w:rPr>
        <w:t>
      Риски включают внешние риски, связанные с замедлением роста основных экономик, усилением региональных конфликтов, вторичными санкциями и более высокой волатильностью цен на сырьевые товары или перебоями в работе экспортных трубопроводов. На внутреннем фронте основными рисками являются задержки в крупных инфраструктурных проектах в краткосрочной перспективе, неспособность восстановить фискальную дисциплину.</w:t>
      </w:r>
    </w:p>
    <w:bookmarkEnd w:id="69"/>
    <w:bookmarkStart w:name="z80" w:id="70"/>
    <w:p>
      <w:pPr>
        <w:spacing w:after="0"/>
        <w:ind w:left="0"/>
        <w:jc w:val="both"/>
      </w:pPr>
      <w:r>
        <w:rPr>
          <w:rFonts w:ascii="Times New Roman"/>
          <w:b w:val="false"/>
          <w:i w:val="false"/>
          <w:color w:val="000000"/>
          <w:sz w:val="28"/>
        </w:rPr>
        <w:t xml:space="preserve">
      Учитывая все более серьезные проблемы, связанные с изменением климата, необходимы более комплексные меры политики для ускорения перехода к устойчивой и гибкой экономической модели и выполнения обязательств властей по сокращению выбросов углерода. Опираясь на недавний прогресс, в том числе в реализации национальной стратегии углеродной нейтральности, приоритетами являются модернизация энергетической и коммунальной инфраструктуры, повышение энергоэффективности и принятие мер по преобразованию секторов с высоким уровнем выбросов и удовлетворение потребностей уязвимых групп. </w:t>
      </w:r>
    </w:p>
    <w:bookmarkEnd w:id="70"/>
    <w:bookmarkStart w:name="z81" w:id="71"/>
    <w:p>
      <w:pPr>
        <w:spacing w:after="0"/>
        <w:ind w:left="0"/>
        <w:jc w:val="both"/>
      </w:pPr>
      <w:r>
        <w:rPr>
          <w:rFonts w:ascii="Times New Roman"/>
          <w:b w:val="false"/>
          <w:i w:val="false"/>
          <w:color w:val="000000"/>
          <w:sz w:val="28"/>
        </w:rPr>
        <w:t>
      Среди региональных рисков можно отметить работу Каспийского трубопроводного консорциума, по которому транспортируется большая часть экспортируемой нефти, а также сохраняющуюся высокую инфляцию, снижающую реальную потребительскую корзину домохозяйств с низким уровнем дохода.</w:t>
      </w:r>
      <w:r>
        <w:rPr>
          <w:rFonts w:ascii="Times New Roman"/>
          <w:b w:val="false"/>
          <w:i w:val="false"/>
          <w:color w:val="000000"/>
          <w:vertAlign w:val="superscript"/>
        </w:rPr>
        <w:t>2</w:t>
      </w:r>
      <w:r>
        <w:rPr>
          <w:rFonts w:ascii="Times New Roman"/>
          <w:b w:val="false"/>
          <w:i w:val="false"/>
          <w:color w:val="000000"/>
          <w:sz w:val="28"/>
        </w:rPr>
        <w:t xml:space="preserve"> </w:t>
      </w:r>
    </w:p>
    <w:bookmarkEnd w:id="71"/>
    <w:bookmarkStart w:name="z82" w:id="72"/>
    <w:p>
      <w:pPr>
        <w:spacing w:after="0"/>
        <w:ind w:left="0"/>
        <w:jc w:val="both"/>
      </w:pPr>
      <w:r>
        <w:rPr>
          <w:rFonts w:ascii="Times New Roman"/>
          <w:b w:val="false"/>
          <w:i w:val="false"/>
          <w:color w:val="000000"/>
          <w:sz w:val="28"/>
        </w:rPr>
        <w:t xml:space="preserve">
      Согласно прогнозу социально-экономического развития Республики Казахстан на 2025 – 2029 годы в среднесрочной перспективе экономика Казахстана будет расти в среднем на уровне 6 % в основном за счет роста обрабатывающей промышленности, строительства и производства услуг. Для обеспечения ежегодного 6 %-го роста уровень кредитования экономики Казахстана должен быть в среднем на уровне 14 %. При этом прогноз уровня инфляции к 2027 году замедлится с 7,5 % до 5 % и сохранится на этом уровне. </w:t>
      </w:r>
    </w:p>
    <w:bookmarkEnd w:id="72"/>
    <w:bookmarkStart w:name="z83" w:id="73"/>
    <w:p>
      <w:pPr>
        <w:spacing w:after="0"/>
        <w:ind w:left="0"/>
        <w:jc w:val="both"/>
      </w:pPr>
      <w:r>
        <w:rPr>
          <w:rFonts w:ascii="Times New Roman"/>
          <w:b w:val="false"/>
          <w:i w:val="false"/>
          <w:color w:val="000000"/>
          <w:sz w:val="28"/>
        </w:rPr>
        <w:t>
      Однако необходимо учитывать данные прогнозы только при сохранении цены на нефть не ниже 75 долл. США за баррель.</w:t>
      </w:r>
    </w:p>
    <w:bookmarkEnd w:id="73"/>
    <w:bookmarkStart w:name="z84" w:id="74"/>
    <w:p>
      <w:pPr>
        <w:spacing w:after="0"/>
        <w:ind w:left="0"/>
        <w:jc w:val="both"/>
      </w:pPr>
      <w:r>
        <w:rPr>
          <w:rFonts w:ascii="Times New Roman"/>
          <w:b w:val="false"/>
          <w:i w:val="false"/>
          <w:color w:val="000000"/>
          <w:sz w:val="28"/>
        </w:rPr>
        <w:t>
      В то же время в перспективе до 2030 года ожидается давление на цену на нефть за счет планов по увеличению добычи нефти основными производителями. Так, ОПЕК+ планирует увеличивать ежегодные объемы добычи нефти, начиная с 138 тыс. баррелей в сутки до 106,6 млн баррелей в сутки, а Администрация Президента США – увеличить объем добычи нефти в 2026 году на 140 тыс. баррелей – до 13,7 млн баррелей в сутки, увеличивая данный показатель до более 14 млн баррелей в сутки к 2030 году. Таким образом, по прогнозам аналитиков Reuters цена на нефть в ближайшие 5 лет может снизиться до 55-60 долл. США за баррель.</w:t>
      </w:r>
    </w:p>
    <w:bookmarkEnd w:id="74"/>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Отчет Всемирного Банка, "Перспективы мировой экономики: Европа и Центральная Азия", Январь 2025 года</w:t>
      </w:r>
    </w:p>
    <w:bookmarkStart w:name="z85" w:id="75"/>
    <w:p>
      <w:pPr>
        <w:spacing w:after="0"/>
        <w:ind w:left="0"/>
        <w:jc w:val="left"/>
      </w:pPr>
      <w:r>
        <w:rPr>
          <w:rFonts w:ascii="Times New Roman"/>
          <w:b/>
          <w:i w:val="false"/>
          <w:color w:val="000000"/>
        </w:rPr>
        <w:t xml:space="preserve"> Параграф 2. Мегатренды</w:t>
      </w:r>
    </w:p>
    <w:bookmarkEnd w:id="75"/>
    <w:bookmarkStart w:name="z86" w:id="76"/>
    <w:p>
      <w:pPr>
        <w:spacing w:after="0"/>
        <w:ind w:left="0"/>
        <w:jc w:val="both"/>
      </w:pPr>
      <w:r>
        <w:rPr>
          <w:rFonts w:ascii="Times New Roman"/>
          <w:b w:val="false"/>
          <w:i w:val="false"/>
          <w:color w:val="000000"/>
          <w:sz w:val="28"/>
        </w:rPr>
        <w:t>
      Глобальные тренды могут оказать значительное влияние на долгосрочное развитие мировой экономики. В настоящее время актуальны современные мегатренды, которые способны определить вектор развития мировой экономики:</w:t>
      </w:r>
    </w:p>
    <w:bookmarkEnd w:id="76"/>
    <w:bookmarkStart w:name="z87" w:id="77"/>
    <w:p>
      <w:pPr>
        <w:spacing w:after="0"/>
        <w:ind w:left="0"/>
        <w:jc w:val="both"/>
      </w:pPr>
      <w:r>
        <w:rPr>
          <w:rFonts w:ascii="Times New Roman"/>
          <w:b w:val="false"/>
          <w:i w:val="false"/>
          <w:color w:val="000000"/>
          <w:sz w:val="28"/>
        </w:rPr>
        <w:t>
      1. Устойчивое развитие – это развитие, которое удовлетворяет потребности нынешнего поколения и при этом не ставит под угрозу способность будущих поколений удовлетворять свои собственные потребности.</w:t>
      </w:r>
    </w:p>
    <w:bookmarkEnd w:id="77"/>
    <w:bookmarkStart w:name="z88" w:id="78"/>
    <w:p>
      <w:pPr>
        <w:spacing w:after="0"/>
        <w:ind w:left="0"/>
        <w:jc w:val="both"/>
      </w:pPr>
      <w:r>
        <w:rPr>
          <w:rFonts w:ascii="Times New Roman"/>
          <w:b w:val="false"/>
          <w:i w:val="false"/>
          <w:color w:val="000000"/>
          <w:sz w:val="28"/>
        </w:rPr>
        <w:t>
      Развитые страны мира через институты развития стремятся способствовать устойчивому развитию своих экономик, все больше уделяя внимание экологическим и социальным аспектам при предоставлении финансовой поддержки, которые являются основополагающими для достижения социально значимых результатов.</w:t>
      </w:r>
    </w:p>
    <w:bookmarkEnd w:id="78"/>
    <w:bookmarkStart w:name="z89" w:id="79"/>
    <w:p>
      <w:pPr>
        <w:spacing w:after="0"/>
        <w:ind w:left="0"/>
        <w:jc w:val="both"/>
      </w:pPr>
      <w:r>
        <w:rPr>
          <w:rFonts w:ascii="Times New Roman"/>
          <w:b w:val="false"/>
          <w:i w:val="false"/>
          <w:color w:val="000000"/>
          <w:sz w:val="28"/>
        </w:rPr>
        <w:t xml:space="preserve">
      2. Индустрия 4.0: цифровизация всех сфер деятельности человечества. Изменения коснутся самых разных сторон жизни: рынок труда, жизненная среда, политические системы, технологический уклад, человеческая идентичность. Целями "цифровизации" являются ускорение темпов развития экономики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на принципиально новую траекторию развития, обеспечивающую создание цифровой экономики будущего в долгосрочной перспективе; </w:t>
      </w:r>
    </w:p>
    <w:bookmarkEnd w:id="79"/>
    <w:bookmarkStart w:name="z90" w:id="80"/>
    <w:p>
      <w:pPr>
        <w:spacing w:after="0"/>
        <w:ind w:left="0"/>
        <w:jc w:val="both"/>
      </w:pPr>
      <w:r>
        <w:rPr>
          <w:rFonts w:ascii="Times New Roman"/>
          <w:b w:val="false"/>
          <w:i w:val="false"/>
          <w:color w:val="000000"/>
          <w:sz w:val="28"/>
        </w:rPr>
        <w:t xml:space="preserve">
      3. Развитие искусственного интеллекта – это способность интеллектуальных машин выполнять творческие функции, которые традиционно считаются прерогативой человека. Искусственный интеллект относится к основным элементам Индустрии 4.0 и необходим для внедрения в отрасли экономики для повышения производительности труда путем внедрения автоматизации, роботизации производственных процессов. </w:t>
      </w:r>
    </w:p>
    <w:bookmarkEnd w:id="80"/>
    <w:bookmarkStart w:name="z91" w:id="81"/>
    <w:p>
      <w:pPr>
        <w:spacing w:after="0"/>
        <w:ind w:left="0"/>
        <w:jc w:val="both"/>
      </w:pPr>
      <w:r>
        <w:rPr>
          <w:rFonts w:ascii="Times New Roman"/>
          <w:b w:val="false"/>
          <w:i w:val="false"/>
          <w:color w:val="000000"/>
          <w:sz w:val="28"/>
        </w:rPr>
        <w:t xml:space="preserve">
      4. Повышение производительности является главным определяющим фактором развития экономики, которое необходимо для создания конкурентоспособной экономики. Рост производительности является основным двигателем устойчивого долгосрочного развития экономики Казахстана. Спад в росте производительности, который снижался в течение последних 20 лет, является главным фактором, обуславливающим низкие среднесрочные перспективы роста ВВП в Казахстане. </w:t>
      </w:r>
    </w:p>
    <w:bookmarkEnd w:id="81"/>
    <w:bookmarkStart w:name="z92" w:id="82"/>
    <w:p>
      <w:pPr>
        <w:spacing w:after="0"/>
        <w:ind w:left="0"/>
        <w:jc w:val="both"/>
      </w:pPr>
      <w:r>
        <w:rPr>
          <w:rFonts w:ascii="Times New Roman"/>
          <w:b w:val="false"/>
          <w:i w:val="false"/>
          <w:color w:val="000000"/>
          <w:sz w:val="28"/>
        </w:rPr>
        <w:t xml:space="preserve">
      Этот спад связан, главным образом, со снижением темпов роста внутриотраслевой производительности во всех основных секторах экономики – сельском хозяйстве, промышленности и услугах. Низкие темпы роста производительности объясняются небольшим размером частного сектора, высокой степенью концентрации рынка и отсутствием процесса "созидательного разрушения". </w:t>
      </w:r>
    </w:p>
    <w:bookmarkEnd w:id="82"/>
    <w:bookmarkStart w:name="z93" w:id="83"/>
    <w:p>
      <w:pPr>
        <w:spacing w:after="0"/>
        <w:ind w:left="0"/>
        <w:jc w:val="both"/>
      </w:pPr>
      <w:r>
        <w:rPr>
          <w:rFonts w:ascii="Times New Roman"/>
          <w:b w:val="false"/>
          <w:i w:val="false"/>
          <w:color w:val="000000"/>
          <w:sz w:val="28"/>
        </w:rPr>
        <w:t>
      В этой связи АО "НУХ "Байтерек" необходимо, принимая во внимание современные глобальные вызовы, влияющие на развитие экономики Казахстана, концентрироваться на конкретных мерах по развитию новых источников экономического роста как на внутреннем, так и на мировых рынках.</w:t>
      </w:r>
    </w:p>
    <w:bookmarkEnd w:id="83"/>
    <w:bookmarkStart w:name="z94" w:id="84"/>
    <w:p>
      <w:pPr>
        <w:spacing w:after="0"/>
        <w:ind w:left="0"/>
        <w:jc w:val="left"/>
      </w:pPr>
      <w:r>
        <w:rPr>
          <w:rFonts w:ascii="Times New Roman"/>
          <w:b/>
          <w:i w:val="false"/>
          <w:color w:val="000000"/>
        </w:rPr>
        <w:t xml:space="preserve"> Параграф 3. Бенчмаркинг</w:t>
      </w:r>
    </w:p>
    <w:bookmarkEnd w:id="84"/>
    <w:bookmarkStart w:name="z95" w:id="85"/>
    <w:p>
      <w:pPr>
        <w:spacing w:after="0"/>
        <w:ind w:left="0"/>
        <w:jc w:val="both"/>
      </w:pPr>
      <w:r>
        <w:rPr>
          <w:rFonts w:ascii="Times New Roman"/>
          <w:b w:val="false"/>
          <w:i w:val="false"/>
          <w:color w:val="000000"/>
          <w:sz w:val="28"/>
        </w:rPr>
        <w:t>
      В соответствии с одним из наиболее признанных определений институты развития – это специализированные финансовые институты, обеспечивающие долгосрочное финансирование проектов, которые создают значительные позитивные внешние эффекты (экономические и социальные), но при этом не могут быть полностью профинансированы частным сектором. В подавляющем большинстве случаев основным собственником институтов развития является государство.</w:t>
      </w:r>
    </w:p>
    <w:bookmarkEnd w:id="85"/>
    <w:bookmarkStart w:name="z96" w:id="86"/>
    <w:p>
      <w:pPr>
        <w:spacing w:after="0"/>
        <w:ind w:left="0"/>
        <w:jc w:val="both"/>
      </w:pPr>
      <w:r>
        <w:rPr>
          <w:rFonts w:ascii="Times New Roman"/>
          <w:b w:val="false"/>
          <w:i w:val="false"/>
          <w:color w:val="000000"/>
          <w:sz w:val="28"/>
        </w:rPr>
        <w:t xml:space="preserve">
      Сегодня в мире насчитывается около 750 институтов развития, деятельность которых охватывает большинство стран. Они играют важную роль в экономиках крупных стран, и на них приходятся значительная доля совокупных банковских активов в крупных регионах и странах мира (например, Южная Азия – 12 %, Латинская Америка – 10 %, Германия – 8 %), а также существенная доля выданных национальными банками кредитов (в странах Латинской Америки – в среднем 30 %). </w:t>
      </w:r>
    </w:p>
    <w:bookmarkEnd w:id="86"/>
    <w:bookmarkStart w:name="z97" w:id="87"/>
    <w:p>
      <w:pPr>
        <w:spacing w:after="0"/>
        <w:ind w:left="0"/>
        <w:jc w:val="both"/>
      </w:pPr>
      <w:r>
        <w:rPr>
          <w:rFonts w:ascii="Times New Roman"/>
          <w:b w:val="false"/>
          <w:i w:val="false"/>
          <w:color w:val="000000"/>
          <w:sz w:val="28"/>
        </w:rPr>
        <w:t>
      К секторам, на которые деятельность институтов развития оказывает наиболее сильное воздействие, относятся экономическая и социальная инфраструктура (энергетика, транспорт, связь, ирригация, жилищное строительство, здравоохранение, образование), капиталоемкие отрасли промышленности (нефтедобывающая, металлургия, химия и нефтехимия, тяжелое машиностроение и др.), сельское хозяйство.</w:t>
      </w:r>
    </w:p>
    <w:bookmarkEnd w:id="87"/>
    <w:bookmarkStart w:name="z98" w:id="88"/>
    <w:p>
      <w:pPr>
        <w:spacing w:after="0"/>
        <w:ind w:left="0"/>
        <w:jc w:val="both"/>
      </w:pPr>
      <w:r>
        <w:rPr>
          <w:rFonts w:ascii="Times New Roman"/>
          <w:b w:val="false"/>
          <w:i w:val="false"/>
          <w:color w:val="000000"/>
          <w:sz w:val="28"/>
        </w:rPr>
        <w:t xml:space="preserve">
      Деятельность институтов развития в различных странах нацелена на решение следующих задач: </w:t>
      </w:r>
    </w:p>
    <w:bookmarkEnd w:id="88"/>
    <w:bookmarkStart w:name="z99" w:id="89"/>
    <w:p>
      <w:pPr>
        <w:spacing w:after="0"/>
        <w:ind w:left="0"/>
        <w:jc w:val="both"/>
      </w:pPr>
      <w:r>
        <w:rPr>
          <w:rFonts w:ascii="Times New Roman"/>
          <w:b w:val="false"/>
          <w:i w:val="false"/>
          <w:color w:val="000000"/>
          <w:sz w:val="28"/>
        </w:rPr>
        <w:t xml:space="preserve">
      обеспечение национальным компаниям доступа к долгосрочному финансированию, формирование национальных рынков долгосрочного капитала; </w:t>
      </w:r>
    </w:p>
    <w:bookmarkEnd w:id="89"/>
    <w:bookmarkStart w:name="z100" w:id="90"/>
    <w:p>
      <w:pPr>
        <w:spacing w:after="0"/>
        <w:ind w:left="0"/>
        <w:jc w:val="both"/>
      </w:pPr>
      <w:r>
        <w:rPr>
          <w:rFonts w:ascii="Times New Roman"/>
          <w:b w:val="false"/>
          <w:i w:val="false"/>
          <w:color w:val="000000"/>
          <w:sz w:val="28"/>
        </w:rPr>
        <w:t xml:space="preserve">
      осуществление инвестиционных проектов в отраслях экономической и социальной инфраструктуры, а также в сельском хозяйстве; </w:t>
      </w:r>
    </w:p>
    <w:bookmarkEnd w:id="90"/>
    <w:bookmarkStart w:name="z101" w:id="91"/>
    <w:p>
      <w:pPr>
        <w:spacing w:after="0"/>
        <w:ind w:left="0"/>
        <w:jc w:val="both"/>
      </w:pPr>
      <w:r>
        <w:rPr>
          <w:rFonts w:ascii="Times New Roman"/>
          <w:b w:val="false"/>
          <w:i w:val="false"/>
          <w:color w:val="000000"/>
          <w:sz w:val="28"/>
        </w:rPr>
        <w:t>
      поддержка новых областей деятельности, развитие которых стратегически значимо для национальной конкурентоспособности, но сдерживается "провалами рынка";</w:t>
      </w:r>
    </w:p>
    <w:bookmarkEnd w:id="91"/>
    <w:bookmarkStart w:name="z102" w:id="92"/>
    <w:p>
      <w:pPr>
        <w:spacing w:after="0"/>
        <w:ind w:left="0"/>
        <w:jc w:val="both"/>
      </w:pPr>
      <w:r>
        <w:rPr>
          <w:rFonts w:ascii="Times New Roman"/>
          <w:b w:val="false"/>
          <w:i w:val="false"/>
          <w:color w:val="000000"/>
          <w:sz w:val="28"/>
        </w:rPr>
        <w:t xml:space="preserve">
      осуществление инвестиционных проектов, обеспечивающих выравнивание региональных диспропорций развития; </w:t>
      </w:r>
    </w:p>
    <w:bookmarkEnd w:id="92"/>
    <w:bookmarkStart w:name="z103" w:id="93"/>
    <w:p>
      <w:pPr>
        <w:spacing w:after="0"/>
        <w:ind w:left="0"/>
        <w:jc w:val="both"/>
      </w:pPr>
      <w:r>
        <w:rPr>
          <w:rFonts w:ascii="Times New Roman"/>
          <w:b w:val="false"/>
          <w:i w:val="false"/>
          <w:color w:val="000000"/>
          <w:sz w:val="28"/>
        </w:rPr>
        <w:t xml:space="preserve">
      создание малому и среднему бизнесу условий для доступа к финансированию и необходимым информационно-консультационным услугам; </w:t>
      </w:r>
    </w:p>
    <w:bookmarkEnd w:id="93"/>
    <w:bookmarkStart w:name="z104" w:id="94"/>
    <w:p>
      <w:pPr>
        <w:spacing w:after="0"/>
        <w:ind w:left="0"/>
        <w:jc w:val="both"/>
      </w:pPr>
      <w:r>
        <w:rPr>
          <w:rFonts w:ascii="Times New Roman"/>
          <w:b w:val="false"/>
          <w:i w:val="false"/>
          <w:color w:val="000000"/>
          <w:sz w:val="28"/>
        </w:rPr>
        <w:t xml:space="preserve">
      реализация инвестиционных проектов, предусмотренных программами международного сотрудничества; </w:t>
      </w:r>
    </w:p>
    <w:bookmarkEnd w:id="94"/>
    <w:bookmarkStart w:name="z105" w:id="95"/>
    <w:p>
      <w:pPr>
        <w:spacing w:after="0"/>
        <w:ind w:left="0"/>
        <w:jc w:val="both"/>
      </w:pPr>
      <w:r>
        <w:rPr>
          <w:rFonts w:ascii="Times New Roman"/>
          <w:b w:val="false"/>
          <w:i w:val="false"/>
          <w:color w:val="000000"/>
          <w:sz w:val="28"/>
        </w:rPr>
        <w:t>
      поддержание стабильности кредитных и финансовых рынков в условиях кризисов (компенсация сжатия частного сектора финансовых услуг).</w:t>
      </w:r>
    </w:p>
    <w:bookmarkEnd w:id="95"/>
    <w:bookmarkStart w:name="z106" w:id="96"/>
    <w:p>
      <w:pPr>
        <w:spacing w:after="0"/>
        <w:ind w:left="0"/>
        <w:jc w:val="both"/>
      </w:pPr>
      <w:r>
        <w:rPr>
          <w:rFonts w:ascii="Times New Roman"/>
          <w:b w:val="false"/>
          <w:i w:val="false"/>
          <w:color w:val="000000"/>
          <w:sz w:val="28"/>
        </w:rPr>
        <w:t>
      Ниже приводится сравнительный анализ деятельности холдинга и международных аналогов.</w:t>
      </w:r>
    </w:p>
    <w:bookmarkEnd w:id="96"/>
    <w:bookmarkStart w:name="z107" w:id="97"/>
    <w:p>
      <w:pPr>
        <w:spacing w:after="0"/>
        <w:ind w:left="0"/>
        <w:jc w:val="both"/>
      </w:pPr>
      <w:r>
        <w:rPr>
          <w:rFonts w:ascii="Times New Roman"/>
          <w:b w:val="false"/>
          <w:i w:val="false"/>
          <w:color w:val="000000"/>
          <w:sz w:val="28"/>
        </w:rPr>
        <w:t>
      Таблица 1. Сравнительный анализ холдинга и международных аналогов.</w:t>
      </w:r>
    </w:p>
    <w:bookmarkEnd w:id="97"/>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bookmarkStart w:name="z108" w:id="98"/>
          <w:p>
            <w:pPr>
              <w:spacing w:after="20"/>
              <w:ind w:left="20"/>
              <w:jc w:val="both"/>
            </w:pPr>
          </w:p>
          <w:bookmarkEnd w:id="98"/>
          <w:p>
            <w:pPr>
              <w:spacing w:after="20"/>
              <w:ind w:left="20"/>
              <w:jc w:val="both"/>
            </w:pPr>
            <w:r>
              <w:drawing>
                <wp:inline distT="0" distB="0" distL="0" distR="0">
                  <wp:extent cx="2159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250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АО "НУХ" Байтерек"</w:t>
            </w:r>
          </w:p>
          <w:p>
            <w:pPr>
              <w:spacing w:after="20"/>
              <w:ind w:left="20"/>
              <w:jc w:val="both"/>
            </w:pPr>
          </w:p>
        </w:tc>
        <w:tc>
          <w:tcPr>
            <w:tcW w:w="1757" w:type="dxa"/>
            <w:tcBorders/>
            <w:tcMar>
              <w:top w:w="15" w:type="dxa"/>
              <w:left w:w="15" w:type="dxa"/>
              <w:bottom w:w="15" w:type="dxa"/>
              <w:right w:w="15" w:type="dxa"/>
            </w:tcMar>
            <w:vAlign w:val="center"/>
          </w:tcPr>
          <w:bookmarkStart w:name="z109" w:id="99"/>
          <w:p>
            <w:pPr>
              <w:spacing w:after="20"/>
              <w:ind w:left="20"/>
              <w:jc w:val="both"/>
            </w:pPr>
          </w:p>
          <w:bookmarkEnd w:id="99"/>
          <w:p>
            <w:pPr>
              <w:spacing w:after="20"/>
              <w:ind w:left="20"/>
              <w:jc w:val="both"/>
            </w:pPr>
            <w:r>
              <w:drawing>
                <wp:inline distT="0" distB="0" distL="0" distR="0">
                  <wp:extent cx="19177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191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Qatar</w:t>
            </w:r>
            <w:r>
              <w:rPr>
                <w:rFonts w:ascii="Times New Roman"/>
                <w:b/>
                <w:i w:val="false"/>
                <w:color w:val="000000"/>
                <w:sz w:val="20"/>
              </w:rPr>
              <w:t xml:space="preserve"> Investment Authority</w:t>
            </w:r>
          </w:p>
          <w:p>
            <w:pPr>
              <w:spacing w:after="20"/>
              <w:ind w:left="20"/>
              <w:jc w:val="both"/>
            </w:pPr>
          </w:p>
        </w:tc>
        <w:tc>
          <w:tcPr>
            <w:tcW w:w="1757" w:type="dxa"/>
            <w:tcBorders/>
            <w:tcMar>
              <w:top w:w="15" w:type="dxa"/>
              <w:left w:w="15" w:type="dxa"/>
              <w:bottom w:w="15" w:type="dxa"/>
              <w:right w:w="15" w:type="dxa"/>
            </w:tcMar>
            <w:vAlign w:val="center"/>
          </w:tcPr>
          <w:bookmarkStart w:name="z110" w:id="100"/>
          <w:p>
            <w:pPr>
              <w:spacing w:after="20"/>
              <w:ind w:left="20"/>
              <w:jc w:val="both"/>
            </w:pPr>
          </w:p>
          <w:bookmarkEnd w:id="100"/>
          <w:p>
            <w:pPr>
              <w:spacing w:after="20"/>
              <w:ind w:left="20"/>
              <w:jc w:val="both"/>
            </w:pPr>
            <w:r>
              <w:drawing>
                <wp:inline distT="0" distB="0" distL="0" distR="0">
                  <wp:extent cx="24638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638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Mubadala</w:t>
            </w:r>
            <w:r>
              <w:rPr>
                <w:rFonts w:ascii="Times New Roman"/>
                <w:b/>
                <w:i w:val="false"/>
                <w:color w:val="000000"/>
                <w:sz w:val="20"/>
              </w:rPr>
              <w:t xml:space="preserve"> Investment Company</w:t>
            </w:r>
          </w:p>
          <w:p>
            <w:pPr>
              <w:spacing w:after="20"/>
              <w:ind w:left="20"/>
              <w:jc w:val="both"/>
            </w:pPr>
          </w:p>
        </w:tc>
        <w:tc>
          <w:tcPr>
            <w:tcW w:w="1757" w:type="dxa"/>
            <w:tcBorders/>
            <w:tcMar>
              <w:top w:w="15" w:type="dxa"/>
              <w:left w:w="15" w:type="dxa"/>
              <w:bottom w:w="15" w:type="dxa"/>
              <w:right w:w="15" w:type="dxa"/>
            </w:tcMar>
            <w:vAlign w:val="center"/>
          </w:tcPr>
          <w:bookmarkStart w:name="z111" w:id="101"/>
          <w:p>
            <w:pPr>
              <w:spacing w:after="20"/>
              <w:ind w:left="20"/>
              <w:jc w:val="both"/>
            </w:pPr>
          </w:p>
          <w:bookmarkEnd w:id="101"/>
          <w:p>
            <w:pPr>
              <w:spacing w:after="20"/>
              <w:ind w:left="20"/>
              <w:jc w:val="both"/>
            </w:pPr>
            <w:r>
              <w:drawing>
                <wp:inline distT="0" distB="0" distL="0" distR="0">
                  <wp:extent cx="977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Indonesia</w:t>
            </w:r>
            <w:r>
              <w:rPr>
                <w:rFonts w:ascii="Times New Roman"/>
                <w:b/>
                <w:i w:val="false"/>
                <w:color w:val="000000"/>
                <w:sz w:val="20"/>
              </w:rPr>
              <w:t xml:space="preserve"> Investment Authority</w:t>
            </w:r>
          </w:p>
          <w:p>
            <w:pPr>
              <w:spacing w:after="20"/>
              <w:ind w:left="20"/>
              <w:jc w:val="both"/>
            </w:pPr>
          </w:p>
        </w:tc>
        <w:tc>
          <w:tcPr>
            <w:tcW w:w="1757" w:type="dxa"/>
            <w:tcBorders/>
            <w:tcMar>
              <w:top w:w="15" w:type="dxa"/>
              <w:left w:w="15" w:type="dxa"/>
              <w:bottom w:w="15" w:type="dxa"/>
              <w:right w:w="15" w:type="dxa"/>
            </w:tcMar>
            <w:vAlign w:val="center"/>
          </w:tcPr>
          <w:bookmarkStart w:name="z112" w:id="102"/>
          <w:p>
            <w:pPr>
              <w:spacing w:after="20"/>
              <w:ind w:left="20"/>
              <w:jc w:val="both"/>
            </w:pPr>
          </w:p>
          <w:bookmarkEnd w:id="102"/>
          <w:p>
            <w:pPr>
              <w:spacing w:after="20"/>
              <w:ind w:left="20"/>
              <w:jc w:val="both"/>
            </w:pPr>
            <w:r>
              <w:drawing>
                <wp:inline distT="0" distB="0" distL="0" distR="0">
                  <wp:extent cx="800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01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Корейский Банк Развития</w:t>
            </w:r>
          </w:p>
          <w:p>
            <w:pPr>
              <w:spacing w:after="20"/>
              <w:ind w:left="20"/>
              <w:jc w:val="both"/>
            </w:pPr>
          </w:p>
        </w:tc>
        <w:tc>
          <w:tcPr>
            <w:tcW w:w="1758" w:type="dxa"/>
            <w:tcBorders/>
            <w:tcMar>
              <w:top w:w="15" w:type="dxa"/>
              <w:left w:w="15" w:type="dxa"/>
              <w:bottom w:w="15" w:type="dxa"/>
              <w:right w:w="15" w:type="dxa"/>
            </w:tcMar>
            <w:vAlign w:val="center"/>
          </w:tcPr>
          <w:bookmarkStart w:name="z113" w:id="103"/>
          <w:p>
            <w:pPr>
              <w:spacing w:after="20"/>
              <w:ind w:left="20"/>
              <w:jc w:val="both"/>
            </w:pPr>
          </w:p>
          <w:bookmarkEnd w:id="103"/>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Kreditanstalt</w:t>
            </w:r>
            <w:r>
              <w:rPr>
                <w:rFonts w:ascii="Times New Roman"/>
                <w:b w:val="false"/>
                <w:i w:val="false"/>
                <w:color w:val="000000"/>
                <w:sz w:val="20"/>
              </w:rPr>
              <w:t xml:space="preserve"> </w:t>
            </w:r>
            <w:r>
              <w:rPr>
                <w:rFonts w:ascii="Times New Roman"/>
                <w:b/>
                <w:i w:val="false"/>
                <w:color w:val="000000"/>
                <w:sz w:val="20"/>
              </w:rPr>
              <w:t>für</w:t>
            </w:r>
            <w:r>
              <w:rPr>
                <w:rFonts w:ascii="Times New Roman"/>
                <w:b w:val="false"/>
                <w:i w:val="false"/>
                <w:color w:val="000000"/>
                <w:sz w:val="20"/>
              </w:rPr>
              <w:t xml:space="preserve"> </w:t>
            </w:r>
            <w:r>
              <w:rPr>
                <w:rFonts w:ascii="Times New Roman"/>
                <w:b/>
                <w:i w:val="false"/>
                <w:color w:val="000000"/>
                <w:sz w:val="20"/>
              </w:rPr>
              <w:t>Wiederaufbau</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Отдельный Закон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2921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География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 и внеш.</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 и внеш.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суверенным фондом</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СД</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РК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ЗПМ Катара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ОАЭ</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Структура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Поддержка среднего и крупного предпринимательства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Поддержка микро, малого и среднего предпринимательства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825500"/>
                          </a:xfrm>
                          <a:prstGeom prst="rect">
                            <a:avLst/>
                          </a:prstGeom>
                        </pic:spPr>
                      </pic:pic>
                    </a:graphicData>
                  </a:graphic>
                </wp:inline>
              </w:drawing>
            </w:r>
          </w:p>
          <w:p>
            <w:pPr>
              <w:spacing w:after="20"/>
              <w:ind w:left="20"/>
              <w:jc w:val="both"/>
            </w:pPr>
          </w:p>
          <w:p>
            <w:pPr>
              <w:spacing w:after="20"/>
              <w:ind w:left="20"/>
              <w:jc w:val="both"/>
            </w:pPr>
          </w:p>
        </w:tc>
      </w:tr>
    </w:tbl>
    <w:bookmarkStart w:name="z114" w:id="104"/>
    <w:p>
      <w:pPr>
        <w:spacing w:after="0"/>
        <w:ind w:left="0"/>
        <w:jc w:val="both"/>
      </w:pPr>
      <w:r>
        <w:rPr>
          <w:rFonts w:ascii="Times New Roman"/>
          <w:b w:val="false"/>
          <w:i w:val="false"/>
          <w:color w:val="000000"/>
          <w:sz w:val="28"/>
        </w:rPr>
        <w:t>
      Qatar Investment Authority (далее – QIA)</w:t>
      </w:r>
    </w:p>
    <w:bookmarkEnd w:id="104"/>
    <w:bookmarkStart w:name="z115" w:id="105"/>
    <w:p>
      <w:pPr>
        <w:spacing w:after="0"/>
        <w:ind w:left="0"/>
        <w:jc w:val="both"/>
      </w:pPr>
      <w:r>
        <w:rPr>
          <w:rFonts w:ascii="Times New Roman"/>
          <w:b w:val="false"/>
          <w:i w:val="false"/>
          <w:color w:val="000000"/>
          <w:sz w:val="28"/>
        </w:rPr>
        <w:t>
      QIA является суверенным фондом благосостояния государства Катар, был создан в 2005 году для защиты и приумножения финансовых активов Катара и диверсификации экономики. В рамках стратегии по минимизации рисков, связанных с зависимостью Катара от цен на энергоносители, фонд в основном инвестирует на международных рынках (США, Европа и Азиатско-Тихоокеанский регион), а также в Катар за пределами энергетического сектора. К концу 2023 года активы QIA оценивались в 475 млрд долл. США. Основным источником фондирования является нефтегазовый фонд Катара.</w:t>
      </w:r>
    </w:p>
    <w:bookmarkEnd w:id="1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294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629400" cy="4559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4559300"/>
                          </a:xfrm>
                          <a:prstGeom prst="rect">
                            <a:avLst/>
                          </a:prstGeom>
                        </pic:spPr>
                      </pic:pic>
                    </a:graphicData>
                  </a:graphic>
                </wp:inline>
              </w:drawing>
            </w:r>
          </w:p>
          <w:p>
            <w:pPr>
              <w:spacing w:after="20"/>
              <w:ind w:left="20"/>
              <w:jc w:val="both"/>
            </w:pPr>
          </w:p>
          <w:p>
            <w:pPr>
              <w:spacing w:after="20"/>
              <w:ind w:left="20"/>
              <w:jc w:val="both"/>
            </w:pPr>
          </w:p>
        </w:tc>
      </w:tr>
    </w:tbl>
    <w:bookmarkStart w:name="z116" w:id="106"/>
    <w:p>
      <w:pPr>
        <w:spacing w:after="0"/>
        <w:ind w:left="0"/>
        <w:jc w:val="both"/>
      </w:pPr>
      <w:r>
        <w:rPr>
          <w:rFonts w:ascii="Times New Roman"/>
          <w:b w:val="false"/>
          <w:i w:val="false"/>
          <w:color w:val="000000"/>
          <w:sz w:val="28"/>
        </w:rPr>
        <w:t>
      Рисунок 1. Портфель QIA в разрезе географии и секторов.</w:t>
      </w:r>
    </w:p>
    <w:bookmarkEnd w:id="106"/>
    <w:bookmarkStart w:name="z117" w:id="107"/>
    <w:p>
      <w:pPr>
        <w:spacing w:after="0"/>
        <w:ind w:left="0"/>
        <w:jc w:val="both"/>
      </w:pPr>
      <w:r>
        <w:rPr>
          <w:rFonts w:ascii="Times New Roman"/>
          <w:b w:val="false"/>
          <w:i w:val="false"/>
          <w:color w:val="000000"/>
          <w:sz w:val="28"/>
        </w:rPr>
        <w:t>
      Mubadala Investment Company (далее – Mubadala)</w:t>
      </w:r>
    </w:p>
    <w:bookmarkEnd w:id="107"/>
    <w:bookmarkStart w:name="z118" w:id="108"/>
    <w:p>
      <w:pPr>
        <w:spacing w:after="0"/>
        <w:ind w:left="0"/>
        <w:jc w:val="both"/>
      </w:pPr>
      <w:r>
        <w:rPr>
          <w:rFonts w:ascii="Times New Roman"/>
          <w:b w:val="false"/>
          <w:i w:val="false"/>
          <w:color w:val="000000"/>
          <w:sz w:val="28"/>
        </w:rPr>
        <w:t xml:space="preserve">
      Mubadala – государственная холдинговая компания Объединенных Арабских Эмиратов, действующая как суверенный фонд благосостояния. Задача Mubadala заключается в содействии диверсификации экономики Абу-Даби за счет инвестирования средств нефтяного фонда Объединенных Арабских Эмиратов и управления разнообразным портфелем активов и инвестиций в Объединенных Арабских Эмиратах и за рубежом, чтобы получать устойчивую финансовую отдачу для своего акционера, правительства Абу-Даби. Активы под управлением Mubadala по итогам 2023 года составили 302 млрд долл. США. </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453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845300" cy="4622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156200" cy="4648200"/>
                          </a:xfrm>
                          <a:prstGeom prst="rect">
                            <a:avLst/>
                          </a:prstGeom>
                        </pic:spPr>
                      </pic:pic>
                    </a:graphicData>
                  </a:graphic>
                </wp:inline>
              </w:drawing>
            </w:r>
          </w:p>
          <w:p>
            <w:pPr>
              <w:spacing w:after="20"/>
              <w:ind w:left="20"/>
              <w:jc w:val="both"/>
            </w:pPr>
          </w:p>
          <w:p>
            <w:pPr>
              <w:spacing w:after="20"/>
              <w:ind w:left="20"/>
              <w:jc w:val="both"/>
            </w:pPr>
          </w:p>
        </w:tc>
      </w:tr>
    </w:tbl>
    <w:bookmarkStart w:name="z119" w:id="109"/>
    <w:p>
      <w:pPr>
        <w:spacing w:after="0"/>
        <w:ind w:left="0"/>
        <w:jc w:val="both"/>
      </w:pPr>
      <w:r>
        <w:rPr>
          <w:rFonts w:ascii="Times New Roman"/>
          <w:b w:val="false"/>
          <w:i w:val="false"/>
          <w:color w:val="000000"/>
          <w:sz w:val="28"/>
        </w:rPr>
        <w:t>
      Рисунок 2. Портфель Mubadala в разрезе географии и секторов.</w:t>
      </w:r>
    </w:p>
    <w:bookmarkEnd w:id="109"/>
    <w:bookmarkStart w:name="z120" w:id="110"/>
    <w:p>
      <w:pPr>
        <w:spacing w:after="0"/>
        <w:ind w:left="0"/>
        <w:jc w:val="both"/>
      </w:pPr>
      <w:r>
        <w:rPr>
          <w:rFonts w:ascii="Times New Roman"/>
          <w:b w:val="false"/>
          <w:i w:val="false"/>
          <w:color w:val="000000"/>
          <w:sz w:val="28"/>
        </w:rPr>
        <w:t>
      Korea Development Bank (далее – KDB)</w:t>
      </w:r>
    </w:p>
    <w:bookmarkEnd w:id="110"/>
    <w:bookmarkStart w:name="z121" w:id="111"/>
    <w:p>
      <w:pPr>
        <w:spacing w:after="0"/>
        <w:ind w:left="0"/>
        <w:jc w:val="both"/>
      </w:pPr>
      <w:r>
        <w:rPr>
          <w:rFonts w:ascii="Times New Roman"/>
          <w:b w:val="false"/>
          <w:i w:val="false"/>
          <w:color w:val="000000"/>
          <w:sz w:val="28"/>
        </w:rPr>
        <w:t>
      KDB – государственный банк Кореи, созданный в 1954 году для финансирования развития промышленности Южной Кореи, имеет отделения и представительства в 19 странах. Банк осуществляет финансирование проектов в сферах транспорта, электроэнергетики, жилой и офисной недвижимости, а также кредитует малый и средний бизнес. Банк занимает 11-е место по размеру активов пенсионных фондов под его управлением. Всего количество активов под управлением на конец 2023 года составило 234 млрд долл. США. Основным источником капитала является выпуск облигаций, в том числе на зарубежных рынках.</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28575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64400" cy="8496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2"/>
    <w:p>
      <w:pPr>
        <w:spacing w:after="0"/>
        <w:ind w:left="0"/>
        <w:jc w:val="both"/>
      </w:pPr>
      <w:r>
        <w:rPr>
          <w:rFonts w:ascii="Times New Roman"/>
          <w:b w:val="false"/>
          <w:i w:val="false"/>
          <w:color w:val="000000"/>
          <w:sz w:val="28"/>
        </w:rPr>
        <w:t>
      Рисунок 3. Портфель KDB в разрезе географии и видов транзакций (ед.).</w:t>
      </w:r>
    </w:p>
    <w:bookmarkEnd w:id="112"/>
    <w:bookmarkStart w:name="z123" w:id="113"/>
    <w:p>
      <w:pPr>
        <w:spacing w:after="0"/>
        <w:ind w:left="0"/>
        <w:jc w:val="left"/>
      </w:pPr>
      <w:r>
        <w:rPr>
          <w:rFonts w:ascii="Times New Roman"/>
          <w:b/>
          <w:i w:val="false"/>
          <w:color w:val="000000"/>
        </w:rPr>
        <w:t xml:space="preserve"> Глава 2. Правовые и политические факторы внешней среды. Основные направления государственной экономической политики</w:t>
      </w:r>
    </w:p>
    <w:bookmarkEnd w:id="113"/>
    <w:bookmarkStart w:name="z124" w:id="114"/>
    <w:p>
      <w:pPr>
        <w:spacing w:after="0"/>
        <w:ind w:left="0"/>
        <w:jc w:val="both"/>
      </w:pPr>
      <w:r>
        <w:rPr>
          <w:rFonts w:ascii="Times New Roman"/>
          <w:b w:val="false"/>
          <w:i w:val="false"/>
          <w:color w:val="000000"/>
          <w:sz w:val="28"/>
        </w:rPr>
        <w:t>
      АО "НУХ "Байтерек" в своей деятельности руководствуется основными направлениями государственной политики в сфере промышленно-инновационного развития, продвижения экспорта национальной продукции, развития малого и среднего предпринимательства, развития агропромышленного комплекса, реализации задач в жилищно-строительном секторе и повышения уровня благосостояния населения, а также другими задачами, поставленными Президентом и Правительством Республики Казахстан.</w:t>
      </w:r>
    </w:p>
    <w:bookmarkEnd w:id="114"/>
    <w:bookmarkStart w:name="z125" w:id="115"/>
    <w:p>
      <w:pPr>
        <w:spacing w:after="0"/>
        <w:ind w:left="0"/>
        <w:jc w:val="both"/>
      </w:pPr>
      <w:r>
        <w:rPr>
          <w:rFonts w:ascii="Times New Roman"/>
          <w:b w:val="false"/>
          <w:i w:val="false"/>
          <w:color w:val="000000"/>
          <w:sz w:val="28"/>
        </w:rPr>
        <w:t>
      В целях определения основных векторов развития государства в Национальном плане развития Республики Казахстан до 2029 года обозначен ряд стратегических направлений и общенациональных приоритетов.</w:t>
      </w:r>
    </w:p>
    <w:bookmarkEnd w:id="115"/>
    <w:bookmarkStart w:name="z126" w:id="116"/>
    <w:p>
      <w:pPr>
        <w:spacing w:after="0"/>
        <w:ind w:left="0"/>
        <w:jc w:val="both"/>
      </w:pPr>
      <w:r>
        <w:rPr>
          <w:rFonts w:ascii="Times New Roman"/>
          <w:b w:val="false"/>
          <w:i w:val="false"/>
          <w:color w:val="000000"/>
          <w:sz w:val="28"/>
        </w:rPr>
        <w:t>
      В частности, АО "НУХ "Байтерек" задействован в реализации следующих стратегических направлений:</w:t>
      </w:r>
    </w:p>
    <w:bookmarkEnd w:id="116"/>
    <w:bookmarkStart w:name="z127" w:id="117"/>
    <w:p>
      <w:pPr>
        <w:spacing w:after="0"/>
        <w:ind w:left="0"/>
        <w:jc w:val="both"/>
      </w:pPr>
      <w:r>
        <w:rPr>
          <w:rFonts w:ascii="Times New Roman"/>
          <w:b w:val="false"/>
          <w:i w:val="false"/>
          <w:color w:val="000000"/>
          <w:sz w:val="28"/>
        </w:rPr>
        <w:t>
      1) высокое качество жизни;</w:t>
      </w:r>
    </w:p>
    <w:bookmarkEnd w:id="117"/>
    <w:bookmarkStart w:name="z128" w:id="118"/>
    <w:p>
      <w:pPr>
        <w:spacing w:after="0"/>
        <w:ind w:left="0"/>
        <w:jc w:val="both"/>
      </w:pPr>
      <w:r>
        <w:rPr>
          <w:rFonts w:ascii="Times New Roman"/>
          <w:b w:val="false"/>
          <w:i w:val="false"/>
          <w:color w:val="000000"/>
          <w:sz w:val="28"/>
        </w:rPr>
        <w:t>
      2) крепкий фундамент экономики;</w:t>
      </w:r>
    </w:p>
    <w:bookmarkEnd w:id="118"/>
    <w:bookmarkStart w:name="z129" w:id="119"/>
    <w:p>
      <w:pPr>
        <w:spacing w:after="0"/>
        <w:ind w:left="0"/>
        <w:jc w:val="both"/>
      </w:pPr>
      <w:r>
        <w:rPr>
          <w:rFonts w:ascii="Times New Roman"/>
          <w:b w:val="false"/>
          <w:i w:val="false"/>
          <w:color w:val="000000"/>
          <w:sz w:val="28"/>
        </w:rPr>
        <w:t>
      3) новые точки роста;</w:t>
      </w:r>
    </w:p>
    <w:bookmarkEnd w:id="119"/>
    <w:bookmarkStart w:name="z130" w:id="120"/>
    <w:p>
      <w:pPr>
        <w:spacing w:after="0"/>
        <w:ind w:left="0"/>
        <w:jc w:val="both"/>
      </w:pPr>
      <w:r>
        <w:rPr>
          <w:rFonts w:ascii="Times New Roman"/>
          <w:b w:val="false"/>
          <w:i w:val="false"/>
          <w:color w:val="000000"/>
          <w:sz w:val="28"/>
        </w:rPr>
        <w:t>
      4) сквозные преобразования экономики и общества.</w:t>
      </w:r>
    </w:p>
    <w:bookmarkEnd w:id="120"/>
    <w:bookmarkStart w:name="z131" w:id="121"/>
    <w:p>
      <w:pPr>
        <w:spacing w:after="0"/>
        <w:ind w:left="0"/>
        <w:jc w:val="both"/>
      </w:pPr>
      <w:r>
        <w:rPr>
          <w:rFonts w:ascii="Times New Roman"/>
          <w:b w:val="false"/>
          <w:i w:val="false"/>
          <w:color w:val="000000"/>
          <w:sz w:val="28"/>
        </w:rPr>
        <w:t xml:space="preserve">
      Основами для экономического роста должны стать долгосрочный рост производительности труда, диверсификация производства и экспорта, а также развитие бизнес-секторов страны за счет привлечения внешних, внутренних ресурсов и их активного использования. </w:t>
      </w:r>
    </w:p>
    <w:bookmarkEnd w:id="121"/>
    <w:bookmarkStart w:name="z132" w:id="122"/>
    <w:p>
      <w:pPr>
        <w:spacing w:after="0"/>
        <w:ind w:left="0"/>
        <w:jc w:val="both"/>
      </w:pPr>
      <w:r>
        <w:rPr>
          <w:rFonts w:ascii="Times New Roman"/>
          <w:b w:val="false"/>
          <w:i w:val="false"/>
          <w:color w:val="000000"/>
          <w:sz w:val="28"/>
        </w:rPr>
        <w:t>
      Главой государства в посланиях народу Казахстана заданы стратегические ориентиры дальнейшего развития.</w:t>
      </w:r>
    </w:p>
    <w:bookmarkEnd w:id="122"/>
    <w:bookmarkStart w:name="z133" w:id="123"/>
    <w:p>
      <w:pPr>
        <w:spacing w:after="0"/>
        <w:ind w:left="0"/>
        <w:jc w:val="both"/>
      </w:pPr>
      <w:r>
        <w:rPr>
          <w:rFonts w:ascii="Times New Roman"/>
          <w:b w:val="false"/>
          <w:i w:val="false"/>
          <w:color w:val="000000"/>
          <w:sz w:val="28"/>
        </w:rPr>
        <w:t>
      Послание Главы государства от 2 сентября 2024 года "Справедливый Казахстан: закон и порядок, экономический рост, общественный оптимизм" предусматривает стимулирование банков к увеличению кредитования субъектов предпринимательства (в том числе малого и среднего бизнеса для устойчивости и поступательного роста экономики), увеличение объемов финансирования субъектов агропромышленного комплекса путем перехода от прямого субсидирования к обеспечению доступного кредитования, реализацию крупных проектов (с учетом максимального использования отечественного сырья и комплектующих, налаживания вокруг крупных системообразующих предприятий смежных производств), обеспечение долгосрочного финансирования строительства объектов новой и модернизации существующей тепло- и электрогенерации и сетей со стороны финансовых институтов, стимулирование использования водосберегающих технологий во всех сферах экономики, особенно в сельскохозяйственной отрасли.</w:t>
      </w:r>
    </w:p>
    <w:bookmarkEnd w:id="123"/>
    <w:bookmarkStart w:name="z134" w:id="124"/>
    <w:p>
      <w:pPr>
        <w:spacing w:after="0"/>
        <w:ind w:left="0"/>
        <w:jc w:val="both"/>
      </w:pPr>
      <w:r>
        <w:rPr>
          <w:rFonts w:ascii="Times New Roman"/>
          <w:b w:val="false"/>
          <w:i w:val="false"/>
          <w:color w:val="000000"/>
          <w:sz w:val="28"/>
        </w:rPr>
        <w:t>
      Кроме того, в Послании Главы государства от 1 сентября 2023 года "Экономический курс Справедливого Казахстана" в целях операционной эффективности государственной поддержки поручены осуществление структурной трансформации АО "НУХ "Байтерек" и его масштабной цифровизации; создание на базе акционерного общества "Экспортно-кредитное агентство Казахстана" (далее – ЭКА) полноценного института продвижения экспорта с консолидацией в нем необходимых инструментов; перезагрузка деятельности акционерного общества "Жилищный строительный сберегательный банк "Отбасы банк" (далее – Отбасы банк) (с переориентацией фокуса в работе на обеспечение жильем в районах, моногородах и крупных сельских населенных пунктах; разработка механизмов расширения возможности предоставления гарантий институтов развития при финансировании приоритетных проектов; а также предоставление синдицированного финансирования и софинансирования.</w:t>
      </w:r>
    </w:p>
    <w:bookmarkEnd w:id="124"/>
    <w:bookmarkStart w:name="z135" w:id="125"/>
    <w:p>
      <w:pPr>
        <w:spacing w:after="0"/>
        <w:ind w:left="0"/>
        <w:jc w:val="left"/>
      </w:pPr>
      <w:r>
        <w:rPr>
          <w:rFonts w:ascii="Times New Roman"/>
          <w:b/>
          <w:i w:val="false"/>
          <w:color w:val="000000"/>
        </w:rPr>
        <w:t xml:space="preserve"> Параграф 1. Участие АО "НУХ "Байтерек" в реализации государственных программных документов</w:t>
      </w:r>
    </w:p>
    <w:bookmarkEnd w:id="125"/>
    <w:bookmarkStart w:name="z136" w:id="126"/>
    <w:p>
      <w:pPr>
        <w:spacing w:after="0"/>
        <w:ind w:left="0"/>
        <w:jc w:val="both"/>
      </w:pPr>
      <w:r>
        <w:rPr>
          <w:rFonts w:ascii="Times New Roman"/>
          <w:b w:val="false"/>
          <w:i w:val="false"/>
          <w:color w:val="000000"/>
          <w:sz w:val="28"/>
        </w:rPr>
        <w:t xml:space="preserve">
      </w:t>
      </w:r>
      <w:r>
        <w:rPr>
          <w:rFonts w:ascii="Times New Roman"/>
          <w:b/>
          <w:i w:val="false"/>
          <w:color w:val="000000"/>
          <w:sz w:val="28"/>
        </w:rPr>
        <w:t>1. Концепция развития обрабатывающей промышленности Республики Казахстан на 2023 – 2029 годы</w:t>
      </w:r>
    </w:p>
    <w:bookmarkEnd w:id="126"/>
    <w:bookmarkStart w:name="z137" w:id="127"/>
    <w:p>
      <w:pPr>
        <w:spacing w:after="0"/>
        <w:ind w:left="0"/>
        <w:jc w:val="both"/>
      </w:pPr>
      <w:r>
        <w:rPr>
          <w:rFonts w:ascii="Times New Roman"/>
          <w:b w:val="false"/>
          <w:i w:val="false"/>
          <w:color w:val="000000"/>
          <w:sz w:val="28"/>
        </w:rPr>
        <w:t>
      Основной целью Концепции развития обрабатывающей промышленности Республики Казахстан на 2023 – 2029 годы является создание высокопроизводительной и экспортоориентированной обрабатывающей промышленности.</w:t>
      </w:r>
    </w:p>
    <w:bookmarkEnd w:id="127"/>
    <w:bookmarkStart w:name="z138" w:id="128"/>
    <w:p>
      <w:pPr>
        <w:spacing w:after="0"/>
        <w:ind w:left="0"/>
        <w:jc w:val="both"/>
      </w:pPr>
      <w:r>
        <w:rPr>
          <w:rFonts w:ascii="Times New Roman"/>
          <w:b w:val="false"/>
          <w:i w:val="false"/>
          <w:color w:val="000000"/>
          <w:sz w:val="28"/>
        </w:rPr>
        <w:t>
      В рамках данной Концепции развития АО "НУХ "Байтерек" выступает одним из основных операторов по реализации таких направлений как производительность труда и инвестиции в основной капитал в сфере обрабатывающей промышленности.</w:t>
      </w:r>
    </w:p>
    <w:bookmarkEnd w:id="128"/>
    <w:bookmarkStart w:name="z139" w:id="129"/>
    <w:p>
      <w:pPr>
        <w:spacing w:after="0"/>
        <w:ind w:left="0"/>
        <w:jc w:val="both"/>
      </w:pPr>
      <w:r>
        <w:rPr>
          <w:rFonts w:ascii="Times New Roman"/>
          <w:b w:val="false"/>
          <w:i w:val="false"/>
          <w:color w:val="000000"/>
          <w:sz w:val="28"/>
        </w:rPr>
        <w:t>
      В частности, АО "НУХ "Байтерек" продолжает быть оператором всех возвратных финансовых мер поддержки через дочерние организации, в полномочия которого входит привлечение ресурсов с внешних и внутренних рынков долга и капитала для обеспечения льготного кредитования предприятий обрабатывающей промышленности, а также предоставления иных финансовых и нефинансовых инструментов поддержки (в том числе экспортное кредитование, лизинговое финансирование, гарантирование кредитов банков второго уровня (далее – БВУ), инвестиции в основной капитал, мезонинное финансирование, консультативное сопровождение проектов, поиск инвесторов и другие). АО "НУХ "Байтерек" также будет проактивно расширять подход комплексной поддержки предприятий обрабатывающей промышленности, придерживаясь следующих принципов финансовой поддержки:</w:t>
      </w:r>
    </w:p>
    <w:bookmarkEnd w:id="129"/>
    <w:bookmarkStart w:name="z140" w:id="130"/>
    <w:p>
      <w:pPr>
        <w:spacing w:after="0"/>
        <w:ind w:left="0"/>
        <w:jc w:val="both"/>
      </w:pPr>
      <w:r>
        <w:rPr>
          <w:rFonts w:ascii="Times New Roman"/>
          <w:b w:val="false"/>
          <w:i w:val="false"/>
          <w:color w:val="000000"/>
          <w:sz w:val="28"/>
        </w:rPr>
        <w:t>
      1) пересмотр неэффективных и невостребованных мер поддержки;</w:t>
      </w:r>
    </w:p>
    <w:bookmarkEnd w:id="130"/>
    <w:bookmarkStart w:name="z141" w:id="131"/>
    <w:p>
      <w:pPr>
        <w:spacing w:after="0"/>
        <w:ind w:left="0"/>
        <w:jc w:val="both"/>
      </w:pPr>
      <w:r>
        <w:rPr>
          <w:rFonts w:ascii="Times New Roman"/>
          <w:b w:val="false"/>
          <w:i w:val="false"/>
          <w:color w:val="000000"/>
          <w:sz w:val="28"/>
        </w:rPr>
        <w:t>
      2) сокращение финансирования программ поддержки, искажающих рыночные цены и негативно влияющих на развитие частного сектора;</w:t>
      </w:r>
    </w:p>
    <w:bookmarkEnd w:id="131"/>
    <w:bookmarkStart w:name="z142" w:id="132"/>
    <w:p>
      <w:pPr>
        <w:spacing w:after="0"/>
        <w:ind w:left="0"/>
        <w:jc w:val="both"/>
      </w:pPr>
      <w:r>
        <w:rPr>
          <w:rFonts w:ascii="Times New Roman"/>
          <w:b w:val="false"/>
          <w:i w:val="false"/>
          <w:color w:val="000000"/>
          <w:sz w:val="28"/>
        </w:rPr>
        <w:t>
      3) преимущественная поддержка проектов, софинансируемых частным сектором, при финансировании из государственных средств.</w:t>
      </w:r>
    </w:p>
    <w:bookmarkEnd w:id="132"/>
    <w:bookmarkStart w:name="z143" w:id="133"/>
    <w:p>
      <w:pPr>
        <w:spacing w:after="0"/>
        <w:ind w:left="0"/>
        <w:jc w:val="both"/>
      </w:pPr>
      <w:r>
        <w:rPr>
          <w:rFonts w:ascii="Times New Roman"/>
          <w:b w:val="false"/>
          <w:i w:val="false"/>
          <w:color w:val="000000"/>
          <w:sz w:val="28"/>
        </w:rPr>
        <w:t>
      АО "НУХ "Байтерек" при оказании мер государственного стимулирования предприятиям обрабатывающей промышленности будет руководствоваться Концепцией развития обрабатывающей промышленности Республики Казахстан.</w:t>
      </w:r>
    </w:p>
    <w:bookmarkEnd w:id="133"/>
    <w:bookmarkStart w:name="z144" w:id="134"/>
    <w:p>
      <w:pPr>
        <w:spacing w:after="0"/>
        <w:ind w:left="0"/>
        <w:jc w:val="both"/>
      </w:pPr>
      <w:r>
        <w:rPr>
          <w:rFonts w:ascii="Times New Roman"/>
          <w:b w:val="false"/>
          <w:i w:val="false"/>
          <w:color w:val="000000"/>
          <w:sz w:val="28"/>
        </w:rPr>
        <w:t>
      Для достижения целевых индикаторов данной Концепции развития имеется необходимость охвата большого количества субъектов предпринимательства в сфере обрабатывающей промышленности путем расширения инструментария финансовой поддержки. В результате усиливается важность альтернативных источников финансирования, в том числе инструментов фондов прямых инвестиций. По данному направлению акционерное общество "Qazaqstan Investment Corporation" продолжит поддерживать казахстанские предприятия в сфере обрабатывающей промышленности через инструменты долевого финансирования.</w:t>
      </w:r>
    </w:p>
    <w:bookmarkEnd w:id="134"/>
    <w:bookmarkStart w:name="z145" w:id="135"/>
    <w:p>
      <w:pPr>
        <w:spacing w:after="0"/>
        <w:ind w:left="0"/>
        <w:jc w:val="both"/>
      </w:pPr>
      <w:r>
        <w:rPr>
          <w:rFonts w:ascii="Times New Roman"/>
          <w:b w:val="false"/>
          <w:i w:val="false"/>
          <w:color w:val="000000"/>
          <w:sz w:val="28"/>
        </w:rPr>
        <w:t xml:space="preserve">
      </w:t>
      </w:r>
      <w:r>
        <w:rPr>
          <w:rFonts w:ascii="Times New Roman"/>
          <w:b/>
          <w:i w:val="false"/>
          <w:color w:val="000000"/>
          <w:sz w:val="28"/>
        </w:rPr>
        <w:t>2. Концепция развития малого и среднего предпринимательства в Республике Казахстан до 2030 года</w:t>
      </w:r>
    </w:p>
    <w:bookmarkEnd w:id="135"/>
    <w:bookmarkStart w:name="z146" w:id="136"/>
    <w:p>
      <w:pPr>
        <w:spacing w:after="0"/>
        <w:ind w:left="0"/>
        <w:jc w:val="both"/>
      </w:pPr>
      <w:r>
        <w:rPr>
          <w:rFonts w:ascii="Times New Roman"/>
          <w:b w:val="false"/>
          <w:i w:val="false"/>
          <w:color w:val="000000"/>
          <w:sz w:val="28"/>
        </w:rPr>
        <w:t>
      Даму является финансовым агентством Концепции развития малого и среднего предпринимательства в Республике Казахстан до 2030 года и осуществляет поддержку субъектов микро, малого и среднего предпринимательства (далее – ММСП) путем субсидирования ставок вознаграждения по кредитам/долговым ценным бумагам и гарантирования кредитов БВУ/облигаций.</w:t>
      </w:r>
    </w:p>
    <w:bookmarkEnd w:id="136"/>
    <w:bookmarkStart w:name="z147"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Концепция развития жилищно-коммунальной инфраструктуры на 2023 </w:t>
      </w:r>
      <w:r>
        <w:rPr>
          <w:rFonts w:ascii="Times New Roman"/>
          <w:b/>
          <w:i w:val="false"/>
          <w:color w:val="000000"/>
          <w:sz w:val="28"/>
        </w:rPr>
        <w:t>–</w:t>
      </w:r>
      <w:r>
        <w:rPr>
          <w:rFonts w:ascii="Times New Roman"/>
          <w:b/>
          <w:i w:val="false"/>
          <w:color w:val="000000"/>
          <w:sz w:val="28"/>
        </w:rPr>
        <w:t xml:space="preserve"> 2029 годы</w:t>
      </w:r>
    </w:p>
    <w:bookmarkEnd w:id="137"/>
    <w:bookmarkStart w:name="z148" w:id="138"/>
    <w:p>
      <w:pPr>
        <w:spacing w:after="0"/>
        <w:ind w:left="0"/>
        <w:jc w:val="both"/>
      </w:pPr>
      <w:r>
        <w:rPr>
          <w:rFonts w:ascii="Times New Roman"/>
          <w:b w:val="false"/>
          <w:i w:val="false"/>
          <w:color w:val="000000"/>
          <w:sz w:val="28"/>
        </w:rPr>
        <w:t xml:space="preserve">
      В связи с высокой потребностью населения в жилье разработана Концепция развития жилищно-коммунальной инфраструктуры на 2023 – 2029 годы. Основное внимание акцентировано на вопросах подготовки инженерно-социальной инфраструктуры, привлечения частных инвестиций в жилищное строительство, эффективного использования системы жилищно-строительных сбережений и перевода строительства кредитного жилья на внебюджетное финансирование. </w:t>
      </w:r>
    </w:p>
    <w:bookmarkEnd w:id="138"/>
    <w:bookmarkStart w:name="z149" w:id="139"/>
    <w:p>
      <w:pPr>
        <w:spacing w:after="0"/>
        <w:ind w:left="0"/>
        <w:jc w:val="both"/>
      </w:pPr>
      <w:r>
        <w:rPr>
          <w:rFonts w:ascii="Times New Roman"/>
          <w:b w:val="false"/>
          <w:i w:val="false"/>
          <w:color w:val="000000"/>
          <w:sz w:val="28"/>
        </w:rPr>
        <w:t>
      Одним из трех стратегических направлений деятельности АО "НУХ "Байтерек" и его дочерних организаций (далее – ДО) является реализация вышеуказанной Концепции развития в целях повышения доступности и комфорта жилья. Достижение поставленных целей предусматривается посредством реализации единой жилищной политики через стимулирование спроса и предложения по следующим задачам:</w:t>
      </w:r>
    </w:p>
    <w:bookmarkEnd w:id="139"/>
    <w:bookmarkStart w:name="z150" w:id="140"/>
    <w:p>
      <w:pPr>
        <w:spacing w:after="0"/>
        <w:ind w:left="0"/>
        <w:jc w:val="both"/>
      </w:pPr>
      <w:r>
        <w:rPr>
          <w:rFonts w:ascii="Times New Roman"/>
          <w:b w:val="false"/>
          <w:i w:val="false"/>
          <w:color w:val="000000"/>
          <w:sz w:val="28"/>
        </w:rPr>
        <w:t>
      1) выдача льготных займов на покупку жилья и субсидирование части платы за жилье, арендованное в частном жилищном фонде, через Отбасы банк;</w:t>
      </w:r>
    </w:p>
    <w:bookmarkEnd w:id="140"/>
    <w:bookmarkStart w:name="z151" w:id="141"/>
    <w:p>
      <w:pPr>
        <w:spacing w:after="0"/>
        <w:ind w:left="0"/>
        <w:jc w:val="both"/>
      </w:pPr>
      <w:r>
        <w:rPr>
          <w:rFonts w:ascii="Times New Roman"/>
          <w:b w:val="false"/>
          <w:i w:val="false"/>
          <w:color w:val="000000"/>
          <w:sz w:val="28"/>
        </w:rPr>
        <w:t>
      2) финансирование строительства кредитного и социального жилья для очередников местных исполнительных органов (далее – МИО) и вкладчиков Отбасы банк путем приобретения ценных бумаг МИО, проектного финансирования частных застройщиков, привлечения средств международных финансовых организаций, микширования собственных средств с рыночным заимствованием и иных механизмов финансирования строительства жилья;</w:t>
      </w:r>
    </w:p>
    <w:bookmarkEnd w:id="141"/>
    <w:bookmarkStart w:name="z152" w:id="142"/>
    <w:p>
      <w:pPr>
        <w:spacing w:after="0"/>
        <w:ind w:left="0"/>
        <w:jc w:val="both"/>
      </w:pPr>
      <w:r>
        <w:rPr>
          <w:rFonts w:ascii="Times New Roman"/>
          <w:b w:val="false"/>
          <w:i w:val="false"/>
          <w:color w:val="000000"/>
          <w:sz w:val="28"/>
        </w:rPr>
        <w:t>
      3) стимулирование строительства жилья частными застройщиками за счет субсидирования ставки вознаграждения по коммерческим кредитам;</w:t>
      </w:r>
    </w:p>
    <w:bookmarkEnd w:id="142"/>
    <w:bookmarkStart w:name="z153" w:id="143"/>
    <w:p>
      <w:pPr>
        <w:spacing w:after="0"/>
        <w:ind w:left="0"/>
        <w:jc w:val="both"/>
      </w:pPr>
      <w:r>
        <w:rPr>
          <w:rFonts w:ascii="Times New Roman"/>
          <w:b w:val="false"/>
          <w:i w:val="false"/>
          <w:color w:val="000000"/>
          <w:sz w:val="28"/>
        </w:rPr>
        <w:t>
      4) реализация механизма защиты долевых вкладов населения через Единого оператора жилищного строительства – акционерное общество "Казахстанская жилищная компания" (далее – КЖК);</w:t>
      </w:r>
    </w:p>
    <w:bookmarkEnd w:id="143"/>
    <w:bookmarkStart w:name="z154" w:id="144"/>
    <w:p>
      <w:pPr>
        <w:spacing w:after="0"/>
        <w:ind w:left="0"/>
        <w:jc w:val="both"/>
      </w:pPr>
      <w:r>
        <w:rPr>
          <w:rFonts w:ascii="Times New Roman"/>
          <w:b w:val="false"/>
          <w:i w:val="false"/>
          <w:color w:val="000000"/>
          <w:sz w:val="28"/>
        </w:rPr>
        <w:t>
      5) развитие рынка арендного жилья с выкупом через КЖК;</w:t>
      </w:r>
    </w:p>
    <w:bookmarkEnd w:id="144"/>
    <w:bookmarkStart w:name="z155" w:id="145"/>
    <w:p>
      <w:pPr>
        <w:spacing w:after="0"/>
        <w:ind w:left="0"/>
        <w:jc w:val="both"/>
      </w:pPr>
      <w:r>
        <w:rPr>
          <w:rFonts w:ascii="Times New Roman"/>
          <w:b w:val="false"/>
          <w:i w:val="false"/>
          <w:color w:val="000000"/>
          <w:sz w:val="28"/>
        </w:rPr>
        <w:t>
      6) развитие информационных технологий и аналитических исследований.</w:t>
      </w:r>
    </w:p>
    <w:bookmarkEnd w:id="145"/>
    <w:bookmarkStart w:name="z156"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Концепция развития АПК Республики Казахстан на 2021 </w:t>
      </w:r>
      <w:r>
        <w:rPr>
          <w:rFonts w:ascii="Times New Roman"/>
          <w:b/>
          <w:i w:val="false"/>
          <w:color w:val="000000"/>
          <w:sz w:val="28"/>
        </w:rPr>
        <w:t>-</w:t>
      </w:r>
      <w:r>
        <w:rPr>
          <w:rFonts w:ascii="Times New Roman"/>
          <w:b/>
          <w:i w:val="false"/>
          <w:color w:val="000000"/>
          <w:sz w:val="28"/>
        </w:rPr>
        <w:t xml:space="preserve"> 2030 годы</w:t>
      </w:r>
    </w:p>
    <w:bookmarkEnd w:id="146"/>
    <w:bookmarkStart w:name="z157" w:id="147"/>
    <w:p>
      <w:pPr>
        <w:spacing w:after="0"/>
        <w:ind w:left="0"/>
        <w:jc w:val="both"/>
      </w:pPr>
      <w:r>
        <w:rPr>
          <w:rFonts w:ascii="Times New Roman"/>
          <w:b w:val="false"/>
          <w:i w:val="false"/>
          <w:color w:val="000000"/>
          <w:sz w:val="28"/>
        </w:rPr>
        <w:t>
      АО "НУХ "Байтерек" выполняет функцию оператора финансовых инструментов поддержки через акционерные общества "Аграрная кредитная корпорация (далее – АКК) и "КазАгроФинанс" (далее – КАФ). Данный документ нацелен на создание конкурентоспособного АПК путем повышения производительности труда, обновления сельскохозяйственной техники, обеспеченности продовольственными товарами отечественного производства, привлечения инвестиций в основной капитал, в сельское хозяйство и в производство продуктов питания.</w:t>
      </w:r>
    </w:p>
    <w:bookmarkEnd w:id="147"/>
    <w:bookmarkStart w:name="z158"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Национальный проект "Модернизация энергетического и коммунального секторов"</w:t>
      </w:r>
    </w:p>
    <w:bookmarkEnd w:id="148"/>
    <w:bookmarkStart w:name="z159" w:id="149"/>
    <w:p>
      <w:pPr>
        <w:spacing w:after="0"/>
        <w:ind w:left="0"/>
        <w:jc w:val="both"/>
      </w:pPr>
      <w:r>
        <w:rPr>
          <w:rFonts w:ascii="Times New Roman"/>
          <w:b w:val="false"/>
          <w:i w:val="false"/>
          <w:color w:val="000000"/>
          <w:sz w:val="28"/>
        </w:rPr>
        <w:t xml:space="preserve">
      АО "НУХ "Байтерек" как финансовый оператор через дочерние организации осуществляет функции по реализации механизмов прямого финансирования субъектов естественной монополии и финансирования субъектов естественной монополии через облигационные займы МИО в соответствии с действующей редакцией Бюджетного кодекса. </w:t>
      </w:r>
    </w:p>
    <w:bookmarkEnd w:id="149"/>
    <w:bookmarkStart w:name="z160" w:id="150"/>
    <w:p>
      <w:pPr>
        <w:spacing w:after="0"/>
        <w:ind w:left="0"/>
        <w:jc w:val="left"/>
      </w:pPr>
      <w:r>
        <w:rPr>
          <w:rFonts w:ascii="Times New Roman"/>
          <w:b/>
          <w:i w:val="false"/>
          <w:color w:val="000000"/>
        </w:rPr>
        <w:t xml:space="preserve"> Подраздел 2. Анализ внутренней среды</w:t>
      </w:r>
    </w:p>
    <w:bookmarkEnd w:id="150"/>
    <w:bookmarkStart w:name="z161" w:id="151"/>
    <w:p>
      <w:pPr>
        <w:spacing w:after="0"/>
        <w:ind w:left="0"/>
        <w:jc w:val="left"/>
      </w:pPr>
      <w:r>
        <w:rPr>
          <w:rFonts w:ascii="Times New Roman"/>
          <w:b/>
          <w:i w:val="false"/>
          <w:color w:val="000000"/>
        </w:rPr>
        <w:t xml:space="preserve"> Глава 3. Текущая структура АО "НУХ "Байтерек" и ДО</w:t>
      </w:r>
    </w:p>
    <w:bookmarkEnd w:id="151"/>
    <w:bookmarkStart w:name="z162" w:id="152"/>
    <w:p>
      <w:pPr>
        <w:spacing w:after="0"/>
        <w:ind w:left="0"/>
        <w:jc w:val="both"/>
      </w:pPr>
      <w:r>
        <w:rPr>
          <w:rFonts w:ascii="Times New Roman"/>
          <w:b w:val="false"/>
          <w:i w:val="false"/>
          <w:color w:val="000000"/>
          <w:sz w:val="28"/>
        </w:rPr>
        <w:t>
      В состав АО "НУХ "Байтерек" входит 7 ДО (приложение 2 к настоящему Плану), которые в прошлом находились под управлением различных государственных органов и/или субъектов квазигосударственного сектора.</w:t>
      </w:r>
    </w:p>
    <w:bookmarkEnd w:id="152"/>
    <w:bookmarkStart w:name="z163" w:id="153"/>
    <w:p>
      <w:pPr>
        <w:spacing w:after="0"/>
        <w:ind w:left="0"/>
        <w:jc w:val="both"/>
      </w:pPr>
      <w:r>
        <w:rPr>
          <w:rFonts w:ascii="Times New Roman"/>
          <w:b w:val="false"/>
          <w:i w:val="false"/>
          <w:color w:val="000000"/>
          <w:sz w:val="28"/>
        </w:rPr>
        <w:t>
      ДО АО "НУХ "Байтерек" осуществляют содействие развитию экономики Казахстана посредством предоставления различных инструментов поддержки. Все существующие в ДО АО "НУХ "Байтерек" инструменты поддержки (как финансовые, так и нефинансовые) можно условно разбить на 3 направления деятельности: развитие экосистемы долевого финансирования (PE), поддержка предпринимательства (в т.ч. развитие промышленности, поддержка экспорта, развитие ММСП, развитие АПК) и обеспечение населения жильем (см. рисунок 4 ниже).</w:t>
      </w:r>
    </w:p>
    <w:bookmarkEnd w:id="153"/>
    <w:bookmarkStart w:name="z164"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Реструктуризация задолженности, привлечение стратегических инвесторов</w:t>
      </w:r>
    </w:p>
    <w:bookmarkEnd w:id="155"/>
    <w:bookmarkStart w:name="z166" w:id="1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Включая обусловленное финансирование БВУ/МКО, субсидирование ставки БВУ/ЛК, гарантирование кредитов БВУ, заемное и долевое финансирование</w:t>
      </w:r>
    </w:p>
    <w:bookmarkEnd w:id="156"/>
    <w:bookmarkStart w:name="z167" w:id="157"/>
    <w:p>
      <w:pPr>
        <w:spacing w:after="0"/>
        <w:ind w:left="0"/>
        <w:jc w:val="both"/>
      </w:pPr>
      <w:r>
        <w:rPr>
          <w:rFonts w:ascii="Times New Roman"/>
          <w:b w:val="false"/>
          <w:i w:val="false"/>
          <w:color w:val="000000"/>
          <w:sz w:val="28"/>
        </w:rPr>
        <w:t xml:space="preserve">
      Рисунок 4. Матрица инструментов поддержки развития экономики в ДО АО "НУХ "Байтерек" </w:t>
      </w:r>
    </w:p>
    <w:bookmarkEnd w:id="157"/>
    <w:bookmarkStart w:name="z168" w:id="158"/>
    <w:p>
      <w:pPr>
        <w:spacing w:after="0"/>
        <w:ind w:left="0"/>
        <w:jc w:val="both"/>
      </w:pPr>
      <w:r>
        <w:rPr>
          <w:rFonts w:ascii="Times New Roman"/>
          <w:b w:val="false"/>
          <w:i w:val="false"/>
          <w:color w:val="000000"/>
          <w:sz w:val="28"/>
        </w:rPr>
        <w:t>
      Три упомянутых направления значительно отличаются друг от друга по ряду характеристик, таких как:</w:t>
      </w:r>
    </w:p>
    <w:bookmarkEnd w:id="158"/>
    <w:bookmarkStart w:name="z169" w:id="159"/>
    <w:p>
      <w:pPr>
        <w:spacing w:after="0"/>
        <w:ind w:left="0"/>
        <w:jc w:val="both"/>
      </w:pPr>
      <w:r>
        <w:rPr>
          <w:rFonts w:ascii="Times New Roman"/>
          <w:b w:val="false"/>
          <w:i w:val="false"/>
          <w:color w:val="000000"/>
          <w:sz w:val="28"/>
        </w:rPr>
        <w:t>
      1. Доля в портфеле активов АО "НУХ "Байтерек".</w:t>
      </w:r>
    </w:p>
    <w:bookmarkEnd w:id="159"/>
    <w:bookmarkStart w:name="z170" w:id="160"/>
    <w:p>
      <w:pPr>
        <w:spacing w:after="0"/>
        <w:ind w:left="0"/>
        <w:jc w:val="both"/>
      </w:pPr>
      <w:r>
        <w:rPr>
          <w:rFonts w:ascii="Times New Roman"/>
          <w:b w:val="false"/>
          <w:i w:val="false"/>
          <w:color w:val="000000"/>
          <w:sz w:val="28"/>
        </w:rPr>
        <w:t>
      2. Уровень доходности активов.</w:t>
      </w:r>
    </w:p>
    <w:bookmarkEnd w:id="160"/>
    <w:bookmarkStart w:name="z171" w:id="161"/>
    <w:p>
      <w:pPr>
        <w:spacing w:after="0"/>
        <w:ind w:left="0"/>
        <w:jc w:val="both"/>
      </w:pPr>
      <w:r>
        <w:rPr>
          <w:rFonts w:ascii="Times New Roman"/>
          <w:b w:val="false"/>
          <w:i w:val="false"/>
          <w:color w:val="000000"/>
          <w:sz w:val="28"/>
        </w:rPr>
        <w:t>
      3. Количество обслуживаемых клиентов.</w:t>
      </w:r>
    </w:p>
    <w:bookmarkEnd w:id="161"/>
    <w:bookmarkStart w:name="z172" w:id="162"/>
    <w:p>
      <w:pPr>
        <w:spacing w:after="0"/>
        <w:ind w:left="0"/>
        <w:jc w:val="both"/>
      </w:pPr>
      <w:r>
        <w:rPr>
          <w:rFonts w:ascii="Times New Roman"/>
          <w:b w:val="false"/>
          <w:i w:val="false"/>
          <w:color w:val="000000"/>
          <w:sz w:val="28"/>
        </w:rPr>
        <w:t>
      4. Горизонт инвестирования/поддержки.</w:t>
      </w:r>
    </w:p>
    <w:bookmarkEnd w:id="162"/>
    <w:bookmarkStart w:name="z173" w:id="163"/>
    <w:p>
      <w:pPr>
        <w:spacing w:after="0"/>
        <w:ind w:left="0"/>
        <w:jc w:val="both"/>
      </w:pPr>
      <w:r>
        <w:rPr>
          <w:rFonts w:ascii="Times New Roman"/>
          <w:b w:val="false"/>
          <w:i w:val="false"/>
          <w:color w:val="000000"/>
          <w:sz w:val="28"/>
        </w:rPr>
        <w:t>
      5. Типичная структура фондирования.</w:t>
      </w:r>
    </w:p>
    <w:bookmarkEnd w:id="163"/>
    <w:bookmarkStart w:name="z174" w:id="164"/>
    <w:p>
      <w:pPr>
        <w:spacing w:after="0"/>
        <w:ind w:left="0"/>
        <w:jc w:val="both"/>
      </w:pPr>
      <w:r>
        <w:rPr>
          <w:rFonts w:ascii="Times New Roman"/>
          <w:b w:val="false"/>
          <w:i w:val="false"/>
          <w:color w:val="000000"/>
          <w:sz w:val="28"/>
        </w:rPr>
        <w:t>
      6. Качество кредитного портфеля.</w:t>
      </w:r>
    </w:p>
    <w:bookmarkEnd w:id="164"/>
    <w:bookmarkStart w:name="z175" w:id="165"/>
    <w:p>
      <w:pPr>
        <w:spacing w:after="0"/>
        <w:ind w:left="0"/>
        <w:jc w:val="both"/>
      </w:pPr>
      <w:r>
        <w:rPr>
          <w:rFonts w:ascii="Times New Roman"/>
          <w:b w:val="false"/>
          <w:i w:val="false"/>
          <w:color w:val="000000"/>
          <w:sz w:val="28"/>
        </w:rPr>
        <w:t>
      7. Операционные расходы на управление активами.</w:t>
      </w:r>
    </w:p>
    <w:bookmarkEnd w:id="165"/>
    <w:bookmarkStart w:name="z176" w:id="166"/>
    <w:p>
      <w:pPr>
        <w:spacing w:after="0"/>
        <w:ind w:left="0"/>
        <w:jc w:val="both"/>
      </w:pPr>
      <w:r>
        <w:rPr>
          <w:rFonts w:ascii="Times New Roman"/>
          <w:b w:val="false"/>
          <w:i w:val="false"/>
          <w:color w:val="000000"/>
          <w:sz w:val="28"/>
        </w:rPr>
        <w:t>
      Более того, пять направлений деятельности АО "НУХ "Байтерек" реализуются в рамках связанных государственных программ развития экономики (см. рисунок 5 ниже).</w:t>
      </w:r>
    </w:p>
    <w:bookmarkEnd w:id="166"/>
    <w:bookmarkStart w:name="z17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68"/>
    <w:p>
      <w:pPr>
        <w:spacing w:after="0"/>
        <w:ind w:left="0"/>
        <w:jc w:val="both"/>
      </w:pPr>
      <w:r>
        <w:rPr>
          <w:rFonts w:ascii="Times New Roman"/>
          <w:b w:val="false"/>
          <w:i w:val="false"/>
          <w:color w:val="000000"/>
          <w:sz w:val="28"/>
        </w:rPr>
        <w:t>
      Рисунок 5. Сравнение направлений деятельности АО "НУХ "Байтерек" по ряду характеристик</w:t>
      </w:r>
    </w:p>
    <w:bookmarkEnd w:id="168"/>
    <w:bookmarkStart w:name="z179" w:id="169"/>
    <w:p>
      <w:pPr>
        <w:spacing w:after="0"/>
        <w:ind w:left="0"/>
        <w:jc w:val="both"/>
      </w:pPr>
      <w:r>
        <w:rPr>
          <w:rFonts w:ascii="Times New Roman"/>
          <w:b w:val="false"/>
          <w:i w:val="false"/>
          <w:color w:val="000000"/>
          <w:sz w:val="28"/>
        </w:rPr>
        <w:t>
      Источник: данные ДО (2024г. по предварительным данным)</w:t>
      </w:r>
    </w:p>
    <w:bookmarkEnd w:id="169"/>
    <w:bookmarkStart w:name="z180" w:id="170"/>
    <w:p>
      <w:pPr>
        <w:spacing w:after="0"/>
        <w:ind w:left="0"/>
        <w:jc w:val="both"/>
      </w:pPr>
      <w:r>
        <w:rPr>
          <w:rFonts w:ascii="Times New Roman"/>
          <w:b w:val="false"/>
          <w:i w:val="false"/>
          <w:color w:val="000000"/>
          <w:sz w:val="28"/>
        </w:rPr>
        <w:t xml:space="preserve">
       </w:t>
      </w:r>
    </w:p>
    <w:bookmarkEnd w:id="170"/>
    <w:bookmarkStart w:name="z181" w:id="171"/>
    <w:p>
      <w:pPr>
        <w:spacing w:after="0"/>
        <w:ind w:left="0"/>
        <w:jc w:val="both"/>
      </w:pPr>
      <w:r>
        <w:rPr>
          <w:rFonts w:ascii="Times New Roman"/>
          <w:b w:val="false"/>
          <w:i w:val="false"/>
          <w:color w:val="000000"/>
          <w:sz w:val="28"/>
        </w:rPr>
        <w:t xml:space="preserve">
      Сравнительный анализ международной практики указывает, что в результате объединения различных специфичных направлений деятельности АО "НУХ "Байтерек" является уникальным институтом развития, не имеющим аналогов. </w:t>
      </w:r>
    </w:p>
    <w:bookmarkEnd w:id="171"/>
    <w:bookmarkStart w:name="z182" w:id="172"/>
    <w:p>
      <w:pPr>
        <w:spacing w:after="0"/>
        <w:ind w:left="0"/>
        <w:jc w:val="both"/>
      </w:pPr>
      <w:r>
        <w:rPr>
          <w:rFonts w:ascii="Times New Roman"/>
          <w:b w:val="false"/>
          <w:i w:val="false"/>
          <w:color w:val="000000"/>
          <w:sz w:val="28"/>
        </w:rPr>
        <w:t>
      Учитывая существенные различия в характеристиках направлений деятельности и результаты сравнительного анализа, деятельность АО "НУХ "Байтерек" следует планировать, анализировать и оценивать в контексте указанных направлений.</w:t>
      </w:r>
    </w:p>
    <w:bookmarkEnd w:id="172"/>
    <w:bookmarkStart w:name="z183" w:id="173"/>
    <w:p>
      <w:pPr>
        <w:spacing w:after="0"/>
        <w:ind w:left="0"/>
        <w:jc w:val="left"/>
      </w:pPr>
      <w:r>
        <w:rPr>
          <w:rFonts w:ascii="Times New Roman"/>
          <w:b/>
          <w:i w:val="false"/>
          <w:color w:val="000000"/>
        </w:rPr>
        <w:t xml:space="preserve"> Глава 4. Анализ сильных и слабых сторон в деятельности компании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1) значительная поддержка АО "НУХ "Байтерек" и его ДО со стороны единственного акционера в лице Правительства Республики Казахстан;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развитая инфраструктура, существенный опыт поддержки экономики, опыт взаимодействия с частным бизнесом;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эффективное управление валютными, процентными, кредитными и другими рисками портфеля;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опыт привлечения финансирования на международном и местном рынках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широкий набор финансовых и нефинансовых инструментов поддержки в ДО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широкая клиентская база сельскохозяйственных товаропроизводителей (далее – СХТП), наработанный опыт работы ДО по поддержке субъектов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обширной региональной сети филиалов ДО;</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высокий уровень доверия целевых групп к деятельности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высокий уровень информированности целевых групп о деятельности АО "НУХ "Байтерек";</w:t>
            </w:r>
          </w:p>
          <w:p>
            <w:pPr>
              <w:spacing w:after="20"/>
              <w:ind w:left="20"/>
              <w:jc w:val="both"/>
            </w:pPr>
            <w:r>
              <w:rPr>
                <w:rFonts w:ascii="Times New Roman"/>
                <w:b w:val="false"/>
                <w:i w:val="false"/>
                <w:color w:val="000000"/>
                <w:sz w:val="20"/>
              </w:rPr>
              <w:t>
10) предоставление мер государственной поддержки с учетом анализа и проработки слабых сторон ранее предоставленных мер по итогам независимого опроса клиентов холдинга.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1) высокая длительность кредитования крупных проектов, что приводит к снижению эффективности деятельности предприятия в целом;</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услуг по технологической экспертизе на предмет готовности индустрии 4.0;</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недостаточная обратная связь от клиентов АО "НУХ "Байтерек" об удовлетворенности полученными мерами государственной 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негативные тренды в банковском секторе, к которому АО "НУХ "Байтерек" имеет высокий уровень кредитных требований;</w:t>
            </w:r>
          </w:p>
          <w:p>
            <w:pPr>
              <w:spacing w:after="20"/>
              <w:ind w:left="20"/>
              <w:jc w:val="both"/>
            </w:pPr>
            <w:r>
              <w:rPr>
                <w:rFonts w:ascii="Times New Roman"/>
                <w:b w:val="false"/>
                <w:i w:val="false"/>
                <w:color w:val="000000"/>
                <w:sz w:val="20"/>
              </w:rPr>
              <w:t>
5) зависимость сектора АПК от государственного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1) высокая потребность экономики Казахстана в финансовой и нефинансовой поддержке развития;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необходимость дальнейшего повышения конкурентоспособности казахстанских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необходимость наращивания инвестиций в развитие и модернизацию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возможность привлечения средств из негосударственных источников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расширение сотрудничества с частным сектором, в частности, софинансирование с частными финансовыми институтами;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возможность наращивания синергии между ДО;</w:t>
            </w:r>
          </w:p>
          <w:p>
            <w:pPr>
              <w:spacing w:after="20"/>
              <w:ind w:left="20"/>
              <w:jc w:val="both"/>
            </w:pPr>
            <w:r>
              <w:rPr>
                <w:rFonts w:ascii="Times New Roman"/>
                <w:b w:val="false"/>
                <w:i w:val="false"/>
                <w:color w:val="000000"/>
                <w:sz w:val="20"/>
              </w:rPr>
              <w:t>
7) развитие венчурного предпринимательства и инновационной инфраструктуры в виде венчурных фондов и стартап акселераторов.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1) ухудшение макроэкономической ситуации в стране из-за внешних факторов, что может привести к дальнейшему ослаблению национальной валюты и ухудшению страновых рисков;</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неразвитость фондового рынка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понижения кредитного рейтинга АО "НУХ "Байтерек" доступ к внешним источникам финансирования будет ограничен;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слабая инвестиционная привлекательность проектов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сохранение высокой доли проблемных кредитов в портфелях БВУ;</w:t>
            </w:r>
          </w:p>
          <w:p>
            <w:pPr>
              <w:spacing w:after="20"/>
              <w:ind w:left="20"/>
              <w:jc w:val="both"/>
            </w:pPr>
            <w:r>
              <w:rPr>
                <w:rFonts w:ascii="Times New Roman"/>
                <w:b w:val="false"/>
                <w:i w:val="false"/>
                <w:color w:val="000000"/>
                <w:sz w:val="20"/>
              </w:rPr>
              <w:t>
6) риски наложения вторичных санкций на клиентов ДО АО "НУХ "Байтерек".</w:t>
            </w:r>
          </w:p>
        </w:tc>
      </w:tr>
    </w:tbl>
    <w:bookmarkStart w:name="z208" w:id="178"/>
    <w:p>
      <w:pPr>
        <w:spacing w:after="0"/>
        <w:ind w:left="0"/>
        <w:jc w:val="both"/>
      </w:pPr>
      <w:r>
        <w:rPr>
          <w:rFonts w:ascii="Times New Roman"/>
          <w:b w:val="false"/>
          <w:i w:val="false"/>
          <w:color w:val="000000"/>
          <w:sz w:val="28"/>
        </w:rPr>
        <w:t>
      Таблица 3. SWOT-анализ</w:t>
      </w:r>
    </w:p>
    <w:bookmarkEnd w:id="178"/>
    <w:bookmarkStart w:name="z209" w:id="179"/>
    <w:p>
      <w:pPr>
        <w:spacing w:after="0"/>
        <w:ind w:left="0"/>
        <w:jc w:val="left"/>
      </w:pPr>
      <w:r>
        <w:rPr>
          <w:rFonts w:ascii="Times New Roman"/>
          <w:b/>
          <w:i w:val="false"/>
          <w:color w:val="000000"/>
        </w:rPr>
        <w:t xml:space="preserve"> Раздел 2. Миссия и видение АО "НУХ "Байтерек"</w:t>
      </w:r>
    </w:p>
    <w:bookmarkEnd w:id="179"/>
    <w:bookmarkStart w:name="z210" w:id="180"/>
    <w:p>
      <w:pPr>
        <w:spacing w:after="0"/>
        <w:ind w:left="0"/>
        <w:jc w:val="both"/>
      </w:pPr>
      <w:r>
        <w:rPr>
          <w:rFonts w:ascii="Times New Roman"/>
          <w:b w:val="false"/>
          <w:i w:val="false"/>
          <w:color w:val="000000"/>
          <w:sz w:val="28"/>
        </w:rPr>
        <w:t>
      Миссией АО "НУХ "Байтерек" является содействие устойчивому росту экономики Республики Казахстан через поддержку производства казахстанских товаров и услуг, модернизацию инфраструктуры и укрепление продовольственной безопасности на принципах ответственности перед обществом.</w:t>
      </w:r>
    </w:p>
    <w:bookmarkEnd w:id="180"/>
    <w:bookmarkStart w:name="z211" w:id="181"/>
    <w:p>
      <w:pPr>
        <w:spacing w:after="0"/>
        <w:ind w:left="0"/>
        <w:jc w:val="both"/>
      </w:pPr>
      <w:r>
        <w:rPr>
          <w:rFonts w:ascii="Times New Roman"/>
          <w:b w:val="false"/>
          <w:i w:val="false"/>
          <w:color w:val="000000"/>
          <w:sz w:val="28"/>
        </w:rPr>
        <w:t>
      Видение АО "НУХ "Байтерек" – проактивный управляющий холдинг, преобразующий структуру экономики Казахстана путем развития новых отраслевых "точек роста".</w:t>
      </w:r>
    </w:p>
    <w:bookmarkEnd w:id="181"/>
    <w:bookmarkStart w:name="z212" w:id="182"/>
    <w:p>
      <w:pPr>
        <w:spacing w:after="0"/>
        <w:ind w:left="0"/>
        <w:jc w:val="both"/>
      </w:pPr>
      <w:r>
        <w:rPr>
          <w:rFonts w:ascii="Times New Roman"/>
          <w:b w:val="false"/>
          <w:i w:val="false"/>
          <w:color w:val="000000"/>
          <w:sz w:val="28"/>
        </w:rPr>
        <w:t>
      Ключевыми задачами, которые решает АО "НУХ "Байтерек" в рамках реализации своей миссии, являются:</w:t>
      </w:r>
    </w:p>
    <w:bookmarkEnd w:id="182"/>
    <w:bookmarkStart w:name="z213" w:id="183"/>
    <w:p>
      <w:pPr>
        <w:spacing w:after="0"/>
        <w:ind w:left="0"/>
        <w:jc w:val="both"/>
      </w:pPr>
      <w:r>
        <w:rPr>
          <w:rFonts w:ascii="Times New Roman"/>
          <w:b w:val="false"/>
          <w:i w:val="false"/>
          <w:color w:val="000000"/>
          <w:sz w:val="28"/>
        </w:rPr>
        <w:t>
      1) развитие несырьевых отраслей экономики;</w:t>
      </w:r>
    </w:p>
    <w:bookmarkEnd w:id="183"/>
    <w:bookmarkStart w:name="z214" w:id="184"/>
    <w:p>
      <w:pPr>
        <w:spacing w:after="0"/>
        <w:ind w:left="0"/>
        <w:jc w:val="both"/>
      </w:pPr>
      <w:r>
        <w:rPr>
          <w:rFonts w:ascii="Times New Roman"/>
          <w:b w:val="false"/>
          <w:i w:val="false"/>
          <w:color w:val="000000"/>
          <w:sz w:val="28"/>
        </w:rPr>
        <w:t>
      2) развитие предпринимательства;</w:t>
      </w:r>
    </w:p>
    <w:bookmarkEnd w:id="184"/>
    <w:bookmarkStart w:name="z215" w:id="185"/>
    <w:p>
      <w:pPr>
        <w:spacing w:after="0"/>
        <w:ind w:left="0"/>
        <w:jc w:val="both"/>
      </w:pPr>
      <w:r>
        <w:rPr>
          <w:rFonts w:ascii="Times New Roman"/>
          <w:b w:val="false"/>
          <w:i w:val="false"/>
          <w:color w:val="000000"/>
          <w:sz w:val="28"/>
        </w:rPr>
        <w:t>
      3) развитие обрабатывающей промышленности;</w:t>
      </w:r>
    </w:p>
    <w:bookmarkEnd w:id="185"/>
    <w:bookmarkStart w:name="z216" w:id="186"/>
    <w:p>
      <w:pPr>
        <w:spacing w:after="0"/>
        <w:ind w:left="0"/>
        <w:jc w:val="both"/>
      </w:pPr>
      <w:r>
        <w:rPr>
          <w:rFonts w:ascii="Times New Roman"/>
          <w:b w:val="false"/>
          <w:i w:val="false"/>
          <w:color w:val="000000"/>
          <w:sz w:val="28"/>
        </w:rPr>
        <w:t>
      4) поддержка экспорта несырьевой продукции;</w:t>
      </w:r>
    </w:p>
    <w:bookmarkEnd w:id="186"/>
    <w:bookmarkStart w:name="z217" w:id="187"/>
    <w:p>
      <w:pPr>
        <w:spacing w:after="0"/>
        <w:ind w:left="0"/>
        <w:jc w:val="both"/>
      </w:pPr>
      <w:r>
        <w:rPr>
          <w:rFonts w:ascii="Times New Roman"/>
          <w:b w:val="false"/>
          <w:i w:val="false"/>
          <w:color w:val="000000"/>
          <w:sz w:val="28"/>
        </w:rPr>
        <w:t>
      5) повышение производительности труда;</w:t>
      </w:r>
    </w:p>
    <w:bookmarkEnd w:id="187"/>
    <w:bookmarkStart w:name="z218" w:id="188"/>
    <w:p>
      <w:pPr>
        <w:spacing w:after="0"/>
        <w:ind w:left="0"/>
        <w:jc w:val="both"/>
      </w:pPr>
      <w:r>
        <w:rPr>
          <w:rFonts w:ascii="Times New Roman"/>
          <w:b w:val="false"/>
          <w:i w:val="false"/>
          <w:color w:val="000000"/>
          <w:sz w:val="28"/>
        </w:rPr>
        <w:t>
      6) развитие конкурентоспособного АПК;</w:t>
      </w:r>
    </w:p>
    <w:bookmarkEnd w:id="188"/>
    <w:bookmarkStart w:name="z219" w:id="189"/>
    <w:p>
      <w:pPr>
        <w:spacing w:after="0"/>
        <w:ind w:left="0"/>
        <w:jc w:val="both"/>
      </w:pPr>
      <w:r>
        <w:rPr>
          <w:rFonts w:ascii="Times New Roman"/>
          <w:b w:val="false"/>
          <w:i w:val="false"/>
          <w:color w:val="000000"/>
          <w:sz w:val="28"/>
        </w:rPr>
        <w:t xml:space="preserve">
      7) повышение инвестиционной привлекательности экономики; </w:t>
      </w:r>
    </w:p>
    <w:bookmarkEnd w:id="189"/>
    <w:bookmarkStart w:name="z220" w:id="190"/>
    <w:p>
      <w:pPr>
        <w:spacing w:after="0"/>
        <w:ind w:left="0"/>
        <w:jc w:val="both"/>
      </w:pPr>
      <w:r>
        <w:rPr>
          <w:rFonts w:ascii="Times New Roman"/>
          <w:b w:val="false"/>
          <w:i w:val="false"/>
          <w:color w:val="000000"/>
          <w:sz w:val="28"/>
        </w:rPr>
        <w:t>
      8) улучшение благосостояния населения.</w:t>
      </w:r>
    </w:p>
    <w:bookmarkEnd w:id="190"/>
    <w:bookmarkStart w:name="z221" w:id="191"/>
    <w:p>
      <w:pPr>
        <w:spacing w:after="0"/>
        <w:ind w:left="0"/>
        <w:jc w:val="both"/>
      </w:pPr>
      <w:r>
        <w:rPr>
          <w:rFonts w:ascii="Times New Roman"/>
          <w:b w:val="false"/>
          <w:i w:val="false"/>
          <w:color w:val="000000"/>
          <w:sz w:val="28"/>
        </w:rPr>
        <w:t>
      Первые шесть задач решаются путем осуществления основной деятельности АО "НУХ "Байтерек" по стратегическому направлению "Поддержка предпринимательства", охватывающему поддержку субъектов микро, малого, среднего и крупного предпринимательства, развитие промышленности и региональное развитие.</w:t>
      </w:r>
    </w:p>
    <w:bookmarkEnd w:id="191"/>
    <w:bookmarkStart w:name="z222" w:id="192"/>
    <w:p>
      <w:pPr>
        <w:spacing w:after="0"/>
        <w:ind w:left="0"/>
        <w:jc w:val="both"/>
      </w:pPr>
      <w:r>
        <w:rPr>
          <w:rFonts w:ascii="Times New Roman"/>
          <w:b w:val="false"/>
          <w:i w:val="false"/>
          <w:color w:val="000000"/>
          <w:sz w:val="28"/>
        </w:rPr>
        <w:t>
      Седьмая задача по повышению инвестиционной привлекательности экономики решается в рамках стратегического направления развития экосистемы долевого финансирования не только в Казахстане, но и в макрорегионе.</w:t>
      </w:r>
    </w:p>
    <w:bookmarkEnd w:id="192"/>
    <w:bookmarkStart w:name="z223" w:id="193"/>
    <w:p>
      <w:pPr>
        <w:spacing w:after="0"/>
        <w:ind w:left="0"/>
        <w:jc w:val="both"/>
      </w:pPr>
      <w:r>
        <w:rPr>
          <w:rFonts w:ascii="Times New Roman"/>
          <w:b w:val="false"/>
          <w:i w:val="false"/>
          <w:color w:val="000000"/>
          <w:sz w:val="28"/>
        </w:rPr>
        <w:t>
      Восьмая задача по улучшению благосостояния населения решается в рамках стратегического направления деятельности АО "НУХ "Байтерек" "Обеспечение населения жильем".</w:t>
      </w:r>
    </w:p>
    <w:bookmarkEnd w:id="193"/>
    <w:bookmarkStart w:name="z224" w:id="194"/>
    <w:p>
      <w:pPr>
        <w:spacing w:after="0"/>
        <w:ind w:left="0"/>
        <w:jc w:val="both"/>
      </w:pPr>
      <w:r>
        <w:rPr>
          <w:rFonts w:ascii="Times New Roman"/>
          <w:b w:val="false"/>
          <w:i w:val="false"/>
          <w:color w:val="000000"/>
          <w:sz w:val="28"/>
        </w:rPr>
        <w:t>
      По каждому из стратегических направлений в разделе 4 настоящего Плана предусмотрены КПД деятельности АО "НУХ "Байтерек" с определением целевого значения до 2033 года.</w:t>
      </w:r>
    </w:p>
    <w:bookmarkEnd w:id="194"/>
    <w:bookmarkStart w:name="z225" w:id="195"/>
    <w:p>
      <w:pPr>
        <w:spacing w:after="0"/>
        <w:ind w:left="0"/>
        <w:jc w:val="both"/>
      </w:pPr>
      <w:r>
        <w:rPr>
          <w:rFonts w:ascii="Times New Roman"/>
          <w:b w:val="false"/>
          <w:i w:val="false"/>
          <w:color w:val="000000"/>
          <w:sz w:val="28"/>
        </w:rPr>
        <w:t>
      Детальные подзадачи с годовыми промежуточными целевыми значениями и мероприятиями будут предусмотрены в рамках Плана мероприятий АО "НУХ "Байтерек", утверждаемого Советом директоров АО "НУХ "Байтерек" на пять лет.</w:t>
      </w:r>
    </w:p>
    <w:bookmarkEnd w:id="195"/>
    <w:bookmarkStart w:name="z226" w:id="196"/>
    <w:p>
      <w:pPr>
        <w:spacing w:after="0"/>
        <w:ind w:left="0"/>
        <w:jc w:val="left"/>
      </w:pPr>
      <w:r>
        <w:rPr>
          <w:rFonts w:ascii="Times New Roman"/>
          <w:b/>
          <w:i w:val="false"/>
          <w:color w:val="000000"/>
        </w:rPr>
        <w:t xml:space="preserve"> Раздел 3. Стратегические направления деятельности АО "НУХ "Байтерек"</w:t>
      </w:r>
    </w:p>
    <w:bookmarkEnd w:id="196"/>
    <w:bookmarkStart w:name="z227" w:id="197"/>
    <w:p>
      <w:pPr>
        <w:spacing w:after="0"/>
        <w:ind w:left="0"/>
        <w:jc w:val="left"/>
      </w:pPr>
      <w:r>
        <w:rPr>
          <w:rFonts w:ascii="Times New Roman"/>
          <w:b/>
          <w:i w:val="false"/>
          <w:color w:val="000000"/>
        </w:rPr>
        <w:t xml:space="preserve"> Глава 5. Стратегическое направление деятельности № 1 – Поддержка предпринимательства</w:t>
      </w:r>
    </w:p>
    <w:bookmarkEnd w:id="197"/>
    <w:bookmarkStart w:name="z228" w:id="198"/>
    <w:p>
      <w:pPr>
        <w:spacing w:after="0"/>
        <w:ind w:left="0"/>
        <w:jc w:val="left"/>
      </w:pPr>
      <w:r>
        <w:rPr>
          <w:rFonts w:ascii="Times New Roman"/>
          <w:b/>
          <w:i w:val="false"/>
          <w:color w:val="000000"/>
        </w:rPr>
        <w:t xml:space="preserve"> Параграф 1. Развитие промышленности</w:t>
      </w:r>
    </w:p>
    <w:bookmarkEnd w:id="198"/>
    <w:bookmarkStart w:name="z229" w:id="199"/>
    <w:p>
      <w:pPr>
        <w:spacing w:after="0"/>
        <w:ind w:left="0"/>
        <w:jc w:val="both"/>
      </w:pPr>
      <w:r>
        <w:rPr>
          <w:rFonts w:ascii="Times New Roman"/>
          <w:b w:val="false"/>
          <w:i w:val="false"/>
          <w:color w:val="000000"/>
          <w:sz w:val="28"/>
        </w:rPr>
        <w:t>
      Деятельность АО "НУХ "Байтерек" по поддержке промышленных проектов является одним из направлений деятельности акционерного общества "Банк Развития Казахстана" (далее – БРК) и ее дочерней организации –акционерного общества "Фонд развития промышленности", которые оказывают поддержку в рамках инструментов долгового финансирования и лизинга. Основными проблемными вопросами в данном направлении деятельности являются:</w:t>
      </w:r>
    </w:p>
    <w:bookmarkEnd w:id="199"/>
    <w:bookmarkStart w:name="z230" w:id="200"/>
    <w:p>
      <w:pPr>
        <w:spacing w:after="0"/>
        <w:ind w:left="0"/>
        <w:jc w:val="both"/>
      </w:pPr>
      <w:r>
        <w:rPr>
          <w:rFonts w:ascii="Times New Roman"/>
          <w:b w:val="false"/>
          <w:i w:val="false"/>
          <w:color w:val="000000"/>
          <w:sz w:val="28"/>
        </w:rPr>
        <w:t>
      1. Оборачиваемость привлеченных средств из государственных и частных источников на финансирование проектов: долгосрочное льготное финансирование может негативно повлиять на финансовую дисциплину предприятий и исключить стимулы стать более конкурентоспособным в рыночной среде.</w:t>
      </w:r>
    </w:p>
    <w:bookmarkEnd w:id="200"/>
    <w:bookmarkStart w:name="z231" w:id="201"/>
    <w:p>
      <w:pPr>
        <w:spacing w:after="0"/>
        <w:ind w:left="0"/>
        <w:jc w:val="both"/>
      </w:pPr>
      <w:r>
        <w:rPr>
          <w:rFonts w:ascii="Times New Roman"/>
          <w:b w:val="false"/>
          <w:i w:val="false"/>
          <w:color w:val="000000"/>
          <w:sz w:val="28"/>
        </w:rPr>
        <w:t>
      В настоящее время существуют проблемы с кредитованием проектов, так отношение ссудного портфеля БВУ к ВВП снизилось с 56,7 % в 2009 году, до 42 % по итогам 2024 года. Причинами являются: перекредитованность предприятий, перезаложенность активов заемщиков, отсутствие залогового обеспечения, отсутствие привлекательности и гарантий для частных инвесторов.</w:t>
      </w:r>
    </w:p>
    <w:bookmarkEnd w:id="201"/>
    <w:bookmarkStart w:name="z232" w:id="202"/>
    <w:p>
      <w:pPr>
        <w:spacing w:after="0"/>
        <w:ind w:left="0"/>
        <w:jc w:val="both"/>
      </w:pPr>
      <w:r>
        <w:rPr>
          <w:rFonts w:ascii="Times New Roman"/>
          <w:b w:val="false"/>
          <w:i w:val="false"/>
          <w:color w:val="000000"/>
          <w:sz w:val="28"/>
        </w:rPr>
        <w:t>
      Для решения данной проблемы необходимы не только достаточная ликвидность, но и наличие критической массы новых инвестиционных проектов, привлекательных для частных инвесторов.</w:t>
      </w:r>
    </w:p>
    <w:bookmarkEnd w:id="202"/>
    <w:bookmarkStart w:name="z233" w:id="203"/>
    <w:p>
      <w:pPr>
        <w:spacing w:after="0"/>
        <w:ind w:left="0"/>
        <w:jc w:val="both"/>
      </w:pPr>
      <w:r>
        <w:rPr>
          <w:rFonts w:ascii="Times New Roman"/>
          <w:b w:val="false"/>
          <w:i w:val="false"/>
          <w:color w:val="000000"/>
          <w:sz w:val="28"/>
        </w:rPr>
        <w:t>
      При осуществлении кредитования приоритетных проектов АО "НУХ "Байтерек" будет стремиться максимально вовлекать частных инвесторов в структуру финансирования проектов, сокращая тем самым государственное участие. В этой связи широкое применение продолжат получать инструменты совместного финансирования (включая синдицированное кредитование) и секьюритизации портфеля кредитов. Использование таких инструментов позволит снизить экономическую стоимость финансирования для инициаторов за счет эффективной структуризации проектов, распределения рисков между софинансирующими сторонами, улучшения требований к прозрачности и качеству менеджмента на предприятиях.</w:t>
      </w:r>
    </w:p>
    <w:bookmarkEnd w:id="203"/>
    <w:bookmarkStart w:name="z234" w:id="204"/>
    <w:p>
      <w:pPr>
        <w:spacing w:after="0"/>
        <w:ind w:left="0"/>
        <w:jc w:val="both"/>
      </w:pPr>
      <w:r>
        <w:rPr>
          <w:rFonts w:ascii="Times New Roman"/>
          <w:b w:val="false"/>
          <w:i w:val="false"/>
          <w:color w:val="000000"/>
          <w:sz w:val="28"/>
        </w:rPr>
        <w:t>
      Предоставление синдицированного кредита будет осуществляться с участием БРК и БВУ. БРК будет участвовать в финансировании в период инвестиционной фазы. В последующем при достижении целевых показателей проекта (постинвестиционная фаза проекта) предполагается поэтапная передача доли кредита в пользу БВУ.</w:t>
      </w:r>
    </w:p>
    <w:bookmarkEnd w:id="204"/>
    <w:bookmarkStart w:name="z235" w:id="205"/>
    <w:p>
      <w:pPr>
        <w:spacing w:after="0"/>
        <w:ind w:left="0"/>
        <w:jc w:val="both"/>
      </w:pPr>
      <w:r>
        <w:rPr>
          <w:rFonts w:ascii="Times New Roman"/>
          <w:b w:val="false"/>
          <w:i w:val="false"/>
          <w:color w:val="000000"/>
          <w:sz w:val="28"/>
        </w:rPr>
        <w:t xml:space="preserve">
      Помимо этого, участие частных инвесторов на начальном этапе финансирования проектов значительно увеличит вероятность их успешной реализации и востребованность производимой ими продукции за счет привнесения дополнительной качественной экспертизы и в ряде случаев новых экономических связей. В свою очередь, наличие в структуре финансирования государственного партнера в лице национального института развития повысит доверие и уверенность частных инвесторов в долгосрочной заинтересованности реализации совместных проектов. </w:t>
      </w:r>
    </w:p>
    <w:bookmarkEnd w:id="205"/>
    <w:bookmarkStart w:name="z236" w:id="206"/>
    <w:p>
      <w:pPr>
        <w:spacing w:after="0"/>
        <w:ind w:left="0"/>
        <w:jc w:val="both"/>
      </w:pPr>
      <w:r>
        <w:rPr>
          <w:rFonts w:ascii="Times New Roman"/>
          <w:b w:val="false"/>
          <w:i w:val="false"/>
          <w:color w:val="000000"/>
          <w:sz w:val="28"/>
        </w:rPr>
        <w:t xml:space="preserve">
      В целях привлечения большего объема средств частных финансовых организаций в кредитование приоритетных инвестиционных проектов, в том числе инфраструктурных проектов, дополнительное развитие получат инструменты гарантирования и финансирование проектов под государственную гарантию. При этом реализация механизма гарантирования будет осуществляться также на паритетных условиях с частными партнерами. </w:t>
      </w:r>
    </w:p>
    <w:bookmarkEnd w:id="206"/>
    <w:bookmarkStart w:name="z237" w:id="207"/>
    <w:p>
      <w:pPr>
        <w:spacing w:after="0"/>
        <w:ind w:left="0"/>
        <w:jc w:val="both"/>
      </w:pPr>
      <w:r>
        <w:rPr>
          <w:rFonts w:ascii="Times New Roman"/>
          <w:b w:val="false"/>
          <w:i w:val="false"/>
          <w:color w:val="000000"/>
          <w:sz w:val="28"/>
        </w:rPr>
        <w:t xml:space="preserve">
      В итоге данные меры позволят повысить оборачиваемость государственных средств, тем самым снизив давление на республиканский бюджет. </w:t>
      </w:r>
    </w:p>
    <w:bookmarkEnd w:id="207"/>
    <w:bookmarkStart w:name="z238" w:id="208"/>
    <w:p>
      <w:pPr>
        <w:spacing w:after="0"/>
        <w:ind w:left="0"/>
        <w:jc w:val="both"/>
      </w:pPr>
      <w:r>
        <w:rPr>
          <w:rFonts w:ascii="Times New Roman"/>
          <w:b w:val="false"/>
          <w:i w:val="false"/>
          <w:color w:val="000000"/>
          <w:sz w:val="28"/>
        </w:rPr>
        <w:t xml:space="preserve">
      2. Высокая стоимость заимствования: в 2024 году АО "НУХ "Байтерек и дочерние организации привлекли рыночные заимствования на сумму 2 857,9 млрд тенге на срок от 1 до 30 лет, средневзвешенные ставки привлечения составили: в тенге – 13,73 % годовых (например, выпуск облигаций холдинга от 26 декабря 2024 года на сумму 100 млрд тенге был размещен по ставке 15 % годовых), в долларах США – 4,8 % годовых. </w:t>
      </w:r>
    </w:p>
    <w:bookmarkEnd w:id="208"/>
    <w:bookmarkStart w:name="z239" w:id="209"/>
    <w:p>
      <w:pPr>
        <w:spacing w:after="0"/>
        <w:ind w:left="0"/>
        <w:jc w:val="both"/>
      </w:pPr>
      <w:r>
        <w:rPr>
          <w:rFonts w:ascii="Times New Roman"/>
          <w:b w:val="false"/>
          <w:i w:val="false"/>
          <w:color w:val="000000"/>
          <w:sz w:val="28"/>
        </w:rPr>
        <w:t>
      АО "НУХ "Байтерек" и его дочерние организации продолжат на постоянной основе работать над поиском наиболее доступных источников рыночного фондирования, в том числе работая над повышением своей деловой репутации в виде поддержания высокого уровня кредитного рейтинга и увеличения рейтинга устойчивого развития.</w:t>
      </w:r>
    </w:p>
    <w:bookmarkEnd w:id="209"/>
    <w:bookmarkStart w:name="z240" w:id="210"/>
    <w:p>
      <w:pPr>
        <w:spacing w:after="0"/>
        <w:ind w:left="0"/>
        <w:jc w:val="both"/>
      </w:pPr>
      <w:r>
        <w:rPr>
          <w:rFonts w:ascii="Times New Roman"/>
          <w:b w:val="false"/>
          <w:i w:val="false"/>
          <w:color w:val="000000"/>
          <w:sz w:val="28"/>
        </w:rPr>
        <w:t>
      3. Реактивный подход АО "НУХ "Байтерек" к поиску и структурированию сделок: в текущей операционной модели АО "НУХ "Байтерек" имеет ограниченный объем прямого взаимодействия с предпринимателями, поскольку непосредственная поддержка реализуется на уровне ДО. При этом АО "НУХ "Байтерек" будет проактивно координировать поддержку тех или иных направлений в приоритетных секторах экономики в рамках комплексной поддержки проектов в сегменте крупного бизнеса.</w:t>
      </w:r>
    </w:p>
    <w:bookmarkEnd w:id="210"/>
    <w:bookmarkStart w:name="z241" w:id="211"/>
    <w:p>
      <w:pPr>
        <w:spacing w:after="0"/>
        <w:ind w:left="0"/>
        <w:jc w:val="both"/>
      </w:pPr>
      <w:r>
        <w:rPr>
          <w:rFonts w:ascii="Times New Roman"/>
          <w:b w:val="false"/>
          <w:i w:val="false"/>
          <w:color w:val="000000"/>
          <w:sz w:val="28"/>
        </w:rPr>
        <w:t>
      Также при отборе инвестиционных проектов холдинг руководствуется индексом развития, который позволяет выделить наиболее социально значимые проекты, способные внести вклад, оказать влияние на развитие экономики Республики Казахстан и дать таким проектам наиболее выгодные условия.</w:t>
      </w:r>
    </w:p>
    <w:bookmarkEnd w:id="211"/>
    <w:bookmarkStart w:name="z242" w:id="212"/>
    <w:p>
      <w:pPr>
        <w:spacing w:after="0"/>
        <w:ind w:left="0"/>
        <w:jc w:val="both"/>
      </w:pPr>
      <w:r>
        <w:rPr>
          <w:rFonts w:ascii="Times New Roman"/>
          <w:b w:val="false"/>
          <w:i w:val="false"/>
          <w:color w:val="000000"/>
          <w:sz w:val="28"/>
        </w:rPr>
        <w:t>
      4. Кросс-функциональность (комплексная поддержка) на уровне инструментов поддержки: в рамках комплексной поддержки реализуются кластерные инициативы, нацеленные на создание новых и модернизацию существующих экспортоориентированных производств, в т.ч. формирующие единую цепочку добавленной стоимости. Кластерный подход подразумевает структурирование финансовой поддержки несколькими дочерними организациями холдинга, создавая синергию поддержки. При этом отмечается наличие значительного потенциала расширения практики комплексной поддержки при условии наличия координации и вовлеченности на уровне АО "НУХ "Байтерек".</w:t>
      </w:r>
    </w:p>
    <w:bookmarkEnd w:id="212"/>
    <w:bookmarkStart w:name="z243" w:id="213"/>
    <w:p>
      <w:pPr>
        <w:spacing w:after="0"/>
        <w:ind w:left="0"/>
        <w:jc w:val="both"/>
      </w:pPr>
      <w:r>
        <w:rPr>
          <w:rFonts w:ascii="Times New Roman"/>
          <w:b w:val="false"/>
          <w:i w:val="false"/>
          <w:color w:val="000000"/>
          <w:sz w:val="28"/>
        </w:rPr>
        <w:t>
      Также отдельное внимание будет уделено поддержке отечественных товаропроизводителей, стремящихся к повышению уровня локализации в обрабатывающей промышленности.</w:t>
      </w:r>
    </w:p>
    <w:bookmarkEnd w:id="213"/>
    <w:bookmarkStart w:name="z244" w:id="214"/>
    <w:p>
      <w:pPr>
        <w:spacing w:after="0"/>
        <w:ind w:left="0"/>
        <w:jc w:val="both"/>
      </w:pPr>
      <w:r>
        <w:rPr>
          <w:rFonts w:ascii="Times New Roman"/>
          <w:b w:val="false"/>
          <w:i w:val="false"/>
          <w:color w:val="000000"/>
          <w:sz w:val="28"/>
        </w:rPr>
        <w:t>
      В целях поддержки устойчивого роста национальной экономики и снижения сырьевой зависимости продолжатся меры по диверсификации экономики. В частности, будут оказана помощь проектам по индустриализации субъектов предпринимательства, а также осуществлена поддержка экспортеров с акцентом на проекты, выпускающие товары высоких и средних переделов.</w:t>
      </w:r>
    </w:p>
    <w:bookmarkEnd w:id="214"/>
    <w:bookmarkStart w:name="z245" w:id="215"/>
    <w:p>
      <w:pPr>
        <w:spacing w:after="0"/>
        <w:ind w:left="0"/>
        <w:jc w:val="both"/>
      </w:pPr>
      <w:r>
        <w:rPr>
          <w:rFonts w:ascii="Times New Roman"/>
          <w:b w:val="false"/>
          <w:i w:val="false"/>
          <w:color w:val="000000"/>
          <w:sz w:val="28"/>
        </w:rPr>
        <w:t>
      Кроме того, в 2025 году будет увеличен уставный капитал АО "НУХ "Байтерек" с последующим увеличением уставного капитала БРК на сумму 300 млрд тенге для обеспечения конкурентоспособности и устойчивости национальной экономики в отраслях обрабатывающей промышленности, фармацевтики, АПК, энергетики, логистики, информации, связи и транспортной инфраструктуры через инструмент кредитования.</w:t>
      </w:r>
    </w:p>
    <w:bookmarkEnd w:id="215"/>
    <w:bookmarkStart w:name="z246" w:id="216"/>
    <w:p>
      <w:pPr>
        <w:spacing w:after="0"/>
        <w:ind w:left="0"/>
        <w:jc w:val="both"/>
      </w:pPr>
      <w:r>
        <w:rPr>
          <w:rFonts w:ascii="Times New Roman"/>
          <w:b w:val="false"/>
          <w:i w:val="false"/>
          <w:color w:val="000000"/>
          <w:sz w:val="28"/>
        </w:rPr>
        <w:t>
      Также в 2025 году будет увеличен уставный капитал АО "НУХ "Байтерек" с последующим увеличением уставного капитала БРК, с последующим увеличением уставного капитала АО "Фонд развития промышленности" на сумму 300 млрд тенге для финансирования проектов обрабатывающей промышленности и транспортной инфраструктуры.</w:t>
      </w:r>
    </w:p>
    <w:bookmarkEnd w:id="216"/>
    <w:bookmarkStart w:name="z247" w:id="217"/>
    <w:p>
      <w:pPr>
        <w:spacing w:after="0"/>
        <w:ind w:left="0"/>
        <w:jc w:val="both"/>
      </w:pPr>
      <w:r>
        <w:rPr>
          <w:rFonts w:ascii="Times New Roman"/>
          <w:b w:val="false"/>
          <w:i w:val="false"/>
          <w:color w:val="000000"/>
          <w:sz w:val="28"/>
        </w:rPr>
        <w:t>
      В частности, поддержкой через инструменты лизингового финансирования и кредитования будут охвачены отрасли металлургии; производства готовых металлических изделий; химической промышленности; машиностроения, в том числе автомобилестроения, производства специальной техники, сельскохозяйственного машиностроения, электротехнического и тяжелого машиностроения; производства строительных материалов; деревообрабатывающей и мебельной промышленности; производства бумаги и бумажной продукции; легкой промышленности; производства резиновых и пластмассовых изделий.</w:t>
      </w:r>
    </w:p>
    <w:bookmarkEnd w:id="217"/>
    <w:bookmarkStart w:name="z248" w:id="218"/>
    <w:p>
      <w:pPr>
        <w:spacing w:after="0"/>
        <w:ind w:left="0"/>
        <w:jc w:val="both"/>
      </w:pPr>
      <w:r>
        <w:rPr>
          <w:rFonts w:ascii="Times New Roman"/>
          <w:b w:val="false"/>
          <w:i w:val="false"/>
          <w:color w:val="000000"/>
          <w:sz w:val="28"/>
        </w:rPr>
        <w:t>
      Это позволит обеспечить дополнительные объемы реализованной продукции и экспорта несырьевой продукции, а также предполагаются создание новых или сохранение имеющихся рабочих мест на предприятиях, что окажет положительное влияние на благосостояние граждан.</w:t>
      </w:r>
    </w:p>
    <w:bookmarkEnd w:id="218"/>
    <w:bookmarkStart w:name="z249" w:id="219"/>
    <w:p>
      <w:pPr>
        <w:spacing w:after="0"/>
        <w:ind w:left="0"/>
        <w:jc w:val="both"/>
      </w:pPr>
      <w:r>
        <w:rPr>
          <w:rFonts w:ascii="Times New Roman"/>
          <w:b w:val="false"/>
          <w:i w:val="false"/>
          <w:color w:val="000000"/>
          <w:sz w:val="28"/>
        </w:rPr>
        <w:t>
      5. Встречные обязательства получателей льготного финансирования: в целях повышения эффективности оказания мер государственного стимулирования промышленности будут введены встречные обязательства предприятий, которые предусматривают набор обязательств предприятия по исполнению экономических показателей производства, в том числе, но не ограничиваясь, повышение средней заработной платы производственного персонала, увеличение объема реализуемой продукции, увеличение объема производства предприятия, создание и/или сохранение рабочих мест, увеличение объема доходов предприятия, экспорт продукции, производительность труда, расширение рынков сбыта, а также увеличение внутристрановой ценности в закупках товаров, работ и услуг при реализации проектов.</w:t>
      </w:r>
    </w:p>
    <w:bookmarkEnd w:id="219"/>
    <w:bookmarkStart w:name="z250" w:id="220"/>
    <w:p>
      <w:pPr>
        <w:spacing w:after="0"/>
        <w:ind w:left="0"/>
        <w:jc w:val="both"/>
      </w:pPr>
      <w:r>
        <w:rPr>
          <w:rFonts w:ascii="Times New Roman"/>
          <w:b w:val="false"/>
          <w:i w:val="false"/>
          <w:color w:val="000000"/>
          <w:sz w:val="28"/>
        </w:rPr>
        <w:t>
      6. Стимулирование роста стоимости получателей финансовой поддержки АО "НУХ "Байтерек" содействует созданию стабильных и конкурентоспособных предприятий. Для повышения стоимости заемщиков БРК и проектных компаний QIC, а также их включения в ряды публичных компаний АО "НУХ "Байтерек" будет повышать уровень прозрачности компаний-заемщиков и производительность труда компаний-заемщиков БРК и проектных компаний QIC путем разработки и предоставления таких инструментов как тиражирование лучших практик управления, выставление требований по повышению прозрачности исполнительных органов, а также по обязательному наличию качественного внешнего аудита финансовой отчетности и другие.</w:t>
      </w:r>
    </w:p>
    <w:bookmarkEnd w:id="220"/>
    <w:bookmarkStart w:name="z251" w:id="221"/>
    <w:p>
      <w:pPr>
        <w:spacing w:after="0"/>
        <w:ind w:left="0"/>
        <w:jc w:val="both"/>
      </w:pPr>
      <w:r>
        <w:rPr>
          <w:rFonts w:ascii="Times New Roman"/>
          <w:b w:val="false"/>
          <w:i w:val="false"/>
          <w:color w:val="000000"/>
          <w:sz w:val="28"/>
        </w:rPr>
        <w:t>
      Данная мера позволит стимулировать заемщиков постоянно улучшать свой производственный процесс, искать новые конкурентные преимущества, эффективно приспосабливаться к постоянно изменяющимся ситуациям, будет способствовать увеличению стоимости компаний-заемщиков и как следствие повысит их инвестиционную привлекательность на торговых площадках.</w:t>
      </w:r>
    </w:p>
    <w:bookmarkEnd w:id="221"/>
    <w:bookmarkStart w:name="z252" w:id="222"/>
    <w:p>
      <w:pPr>
        <w:spacing w:after="0"/>
        <w:ind w:left="0"/>
        <w:jc w:val="both"/>
      </w:pPr>
      <w:r>
        <w:rPr>
          <w:rFonts w:ascii="Times New Roman"/>
          <w:b w:val="false"/>
          <w:i w:val="false"/>
          <w:color w:val="000000"/>
          <w:sz w:val="28"/>
        </w:rPr>
        <w:t>
      7. Создание экосистемы МСБ вокруг крупных предприятий. Необходимо стимулировать крупные предприятия к сотрудничеству с МСБ путем увеличения их поддержки в цепочках поставок с точки зрения возврата займов, поставок сырья и аутсорсинга проектов. Для этого АО "НУХ "Байтерек" будет применять встречные обязательства при предоставлении льготного финансирования. Также будет выполняться развитие экосистем вокруг крупных инвесторов через пакетный принцип поддержки и развитие проектного финансирования (инструменты синдицированного займа и соинвестиции).</w:t>
      </w:r>
    </w:p>
    <w:bookmarkEnd w:id="222"/>
    <w:bookmarkStart w:name="z253" w:id="223"/>
    <w:p>
      <w:pPr>
        <w:spacing w:after="0"/>
        <w:ind w:left="0"/>
        <w:jc w:val="both"/>
      </w:pPr>
      <w:r>
        <w:rPr>
          <w:rFonts w:ascii="Times New Roman"/>
          <w:b w:val="false"/>
          <w:i w:val="false"/>
          <w:color w:val="000000"/>
          <w:sz w:val="28"/>
        </w:rPr>
        <w:t>
      Создание экосистемы вокруг проектов крупных предприятий будет заключаться в финансовой поддержке казахстанских предприятий, являющихся партнерами в рамках совместной реализации проектов с иностранными участниками. Данные меры позволят встраиваться в глобальные цепочки производства и сбыта товаров и услуг, а также будут способствовать привлечению в экономику Казахстана иностранных компаний.</w:t>
      </w:r>
    </w:p>
    <w:bookmarkEnd w:id="223"/>
    <w:bookmarkStart w:name="z254" w:id="224"/>
    <w:p>
      <w:pPr>
        <w:spacing w:after="0"/>
        <w:ind w:left="0"/>
        <w:jc w:val="both"/>
      </w:pPr>
      <w:r>
        <w:rPr>
          <w:rFonts w:ascii="Times New Roman"/>
          <w:b w:val="false"/>
          <w:i w:val="false"/>
          <w:color w:val="000000"/>
          <w:sz w:val="28"/>
        </w:rPr>
        <w:t>
      Для вовлечения ликвидности банков второго уровня в кредитование экономики, в первую очередь в крупные инвестиционные проекты холдинг будет активно применять механизмы гарантирования, подкрепленные государственной гарантией с обязательным раскрытием с учетом бюджетных процессов.</w:t>
      </w:r>
    </w:p>
    <w:bookmarkEnd w:id="224"/>
    <w:bookmarkStart w:name="z255" w:id="225"/>
    <w:p>
      <w:pPr>
        <w:spacing w:after="0"/>
        <w:ind w:left="0"/>
        <w:jc w:val="both"/>
      </w:pPr>
      <w:r>
        <w:rPr>
          <w:rFonts w:ascii="Times New Roman"/>
          <w:b w:val="false"/>
          <w:i w:val="false"/>
          <w:color w:val="000000"/>
          <w:sz w:val="28"/>
        </w:rPr>
        <w:t xml:space="preserve">
      Суть механизма заключается в том, что государство берет на себя часть финансовых рисков по кредитам или инвестициям, направленным на крупные проекты. Гарантия поможет увеличить привлекательность и доступность финансирования для частных и государственных участников. </w:t>
      </w:r>
    </w:p>
    <w:bookmarkEnd w:id="225"/>
    <w:bookmarkStart w:name="z256" w:id="226"/>
    <w:p>
      <w:pPr>
        <w:spacing w:after="0"/>
        <w:ind w:left="0"/>
        <w:jc w:val="both"/>
      </w:pPr>
      <w:r>
        <w:rPr>
          <w:rFonts w:ascii="Times New Roman"/>
          <w:b w:val="false"/>
          <w:i w:val="false"/>
          <w:color w:val="000000"/>
          <w:sz w:val="28"/>
        </w:rPr>
        <w:t>
      Для этих целей при холдинге будет создан специальный фонд гарантирования для проектов крупного бизнеса, который будет действенным инструментом для решения вопроса достаточности залогового обеспечения крупных и стратегически важных проектов.</w:t>
      </w:r>
    </w:p>
    <w:bookmarkEnd w:id="226"/>
    <w:bookmarkStart w:name="z257" w:id="227"/>
    <w:p>
      <w:pPr>
        <w:spacing w:after="0"/>
        <w:ind w:left="0"/>
        <w:jc w:val="left"/>
      </w:pPr>
      <w:r>
        <w:rPr>
          <w:rFonts w:ascii="Times New Roman"/>
          <w:b/>
          <w:i w:val="false"/>
          <w:color w:val="000000"/>
        </w:rPr>
        <w:t xml:space="preserve"> Параграф 2. Поддержка микро, малого и среднего предпринимательства</w:t>
      </w:r>
    </w:p>
    <w:bookmarkEnd w:id="227"/>
    <w:bookmarkStart w:name="z258" w:id="228"/>
    <w:p>
      <w:pPr>
        <w:spacing w:after="0"/>
        <w:ind w:left="0"/>
        <w:jc w:val="both"/>
      </w:pPr>
      <w:r>
        <w:rPr>
          <w:rFonts w:ascii="Times New Roman"/>
          <w:b w:val="false"/>
          <w:i w:val="false"/>
          <w:color w:val="000000"/>
          <w:sz w:val="28"/>
        </w:rPr>
        <w:t>
      Деятельность АО "НУХ "Байтерек" по поддержке бизнеса в сегменте ММСП реализуется дочерней организацией Даму, которая оказывает поддержку в рамках как финансовых (субсидирование ставки вознаграждения, гарантирование кредитов БВУ, обусловленное размещение средств в БВУ, микрокредитование), так и нефинансовых (консультативное сопровождение проектов) инструментов.</w:t>
      </w:r>
    </w:p>
    <w:bookmarkEnd w:id="228"/>
    <w:bookmarkStart w:name="z259" w:id="229"/>
    <w:p>
      <w:pPr>
        <w:spacing w:after="0"/>
        <w:ind w:left="0"/>
        <w:jc w:val="both"/>
      </w:pPr>
      <w:r>
        <w:rPr>
          <w:rFonts w:ascii="Times New Roman"/>
          <w:b w:val="false"/>
          <w:i w:val="false"/>
          <w:color w:val="000000"/>
          <w:sz w:val="28"/>
        </w:rPr>
        <w:t xml:space="preserve">
      С момента создания АО "НУХ "Байтерек" наблюдается положительная динамика развития ММСП в Казахстане. Показатель доли ММСП в структуре ВВП вырос с 25,9 % в 2014 году до 36,7 % в 2023 году (по предварительным данным). Количество активно действующих субъектов увеличилось в 2 раза за 9 лет и составило 2 млн субъектов в 2023 году. Увеличился показатель занятого населения в секторе ММСП, который по предварительным данным составил 4,4 млн человек в 2023 году (см. рисунок 6 ниже). </w:t>
      </w:r>
    </w:p>
    <w:bookmarkEnd w:id="229"/>
    <w:bookmarkStart w:name="z260"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241800"/>
                    </a:xfrm>
                    <a:prstGeom prst="rect">
                      <a:avLst/>
                    </a:prstGeom>
                  </pic:spPr>
                </pic:pic>
              </a:graphicData>
            </a:graphic>
          </wp:inline>
        </w:drawing>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32"/>
    <w:p>
      <w:pPr>
        <w:spacing w:after="0"/>
        <w:ind w:left="0"/>
        <w:jc w:val="both"/>
      </w:pPr>
      <w:r>
        <w:rPr>
          <w:rFonts w:ascii="Times New Roman"/>
          <w:b w:val="false"/>
          <w:i w:val="false"/>
          <w:color w:val="000000"/>
          <w:sz w:val="28"/>
        </w:rPr>
        <w:t>
      Рисунок 6. Динамика основных показателей ММСП</w:t>
      </w:r>
    </w:p>
    <w:bookmarkEnd w:id="232"/>
    <w:bookmarkStart w:name="z263" w:id="233"/>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33"/>
    <w:bookmarkStart w:name="z264" w:id="234"/>
    <w:p>
      <w:pPr>
        <w:spacing w:after="0"/>
        <w:ind w:left="0"/>
        <w:jc w:val="both"/>
      </w:pPr>
      <w:r>
        <w:rPr>
          <w:rFonts w:ascii="Times New Roman"/>
          <w:b w:val="false"/>
          <w:i w:val="false"/>
          <w:color w:val="000000"/>
          <w:sz w:val="28"/>
        </w:rPr>
        <w:t>
      Соответственно, Казахстан имеет существенный потенциал в развитии сектора ММСП. В то же время уровень развития сектора ММСП остается значительно ниже, чем в таких развивающихся странах, как Аргентина, Бразилия, Южная Африка и Китай. Средний показатель доли ММСП в структуре ВВП развивающихся стран равен 42 %, в то время как доля занятых составляет 64 % от общего населения страны. Показатели доли ММСП в структуре ВВП Казахстана на 14 % ниже среднего показателя развивающихся стран (36,7 % по итогам 2023 года), а доля занятых в ММСП от экономически активного населения республики по итогам 2023 года равна 45 %.</w:t>
      </w:r>
    </w:p>
    <w:bookmarkEnd w:id="234"/>
    <w:bookmarkStart w:name="z265" w:id="235"/>
    <w:p>
      <w:pPr>
        <w:spacing w:after="0"/>
        <w:ind w:left="0"/>
        <w:jc w:val="both"/>
      </w:pPr>
      <w:r>
        <w:rPr>
          <w:rFonts w:ascii="Times New Roman"/>
          <w:b w:val="false"/>
          <w:i w:val="false"/>
          <w:color w:val="000000"/>
          <w:sz w:val="28"/>
        </w:rPr>
        <w:t xml:space="preserve">
      Основными факторами, ограничивающими финансирование развития ММСП в Казахстане, являются ограниченный охват (по количеству) предпринимателей в секторе ММСП, ориентация поддержки со стороны институтов развития на суб-сегмент среднего бизнеса, недостаточность государственной поддержки, отсутствие мотивационной составляющей в инструментах финансовой поддержки со стороны институтов развития, а также высокие ставки кредитования БВУ. </w:t>
      </w:r>
    </w:p>
    <w:bookmarkEnd w:id="235"/>
    <w:bookmarkStart w:name="z266" w:id="236"/>
    <w:p>
      <w:pPr>
        <w:spacing w:after="0"/>
        <w:ind w:left="0"/>
        <w:jc w:val="both"/>
      </w:pPr>
      <w:r>
        <w:rPr>
          <w:rFonts w:ascii="Times New Roman"/>
          <w:b w:val="false"/>
          <w:i w:val="false"/>
          <w:color w:val="000000"/>
          <w:sz w:val="28"/>
        </w:rPr>
        <w:t xml:space="preserve">
      Основными финансовыми инструментами ДО АО "НУХ "Байтерек" по поддержке ММСП являются обусловленное размещение средств в БВУ, субсидирование ставки вознаграждения и гарантирование кредита. </w:t>
      </w:r>
    </w:p>
    <w:bookmarkEnd w:id="236"/>
    <w:bookmarkStart w:name="z267" w:id="237"/>
    <w:p>
      <w:pPr>
        <w:spacing w:after="0"/>
        <w:ind w:left="0"/>
        <w:jc w:val="both"/>
      </w:pPr>
      <w:r>
        <w:rPr>
          <w:rFonts w:ascii="Times New Roman"/>
          <w:b w:val="false"/>
          <w:i w:val="false"/>
          <w:color w:val="000000"/>
          <w:sz w:val="28"/>
        </w:rPr>
        <w:t>
      На рисунке 7 ниже показано, что 82,1 % объема выпускаемой продукции и 89,9 % рабочих мест относится к субъектам микро- и малого бизнеса.</w:t>
      </w:r>
    </w:p>
    <w:bookmarkEnd w:id="237"/>
    <w:bookmarkStart w:name="z268"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733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69" w:id="239"/>
    <w:p>
      <w:pPr>
        <w:spacing w:after="0"/>
        <w:ind w:left="0"/>
        <w:jc w:val="both"/>
      </w:pPr>
      <w:r>
        <w:rPr>
          <w:rFonts w:ascii="Times New Roman"/>
          <w:b w:val="false"/>
          <w:i w:val="false"/>
          <w:color w:val="000000"/>
          <w:sz w:val="28"/>
        </w:rPr>
        <w:t>
      Рисунок 7. Количество действующих субъектов МСБ, объем выпускаемой продукции и количество рабочих мест по субъектности бизнеса за 2023 год</w:t>
      </w:r>
    </w:p>
    <w:bookmarkEnd w:id="239"/>
    <w:bookmarkStart w:name="z270" w:id="240"/>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40"/>
    <w:bookmarkStart w:name="z271" w:id="241"/>
    <w:p>
      <w:pPr>
        <w:spacing w:after="0"/>
        <w:ind w:left="0"/>
        <w:jc w:val="both"/>
      </w:pPr>
      <w:r>
        <w:rPr>
          <w:rFonts w:ascii="Times New Roman"/>
          <w:b w:val="false"/>
          <w:i w:val="false"/>
          <w:color w:val="000000"/>
          <w:sz w:val="28"/>
        </w:rPr>
        <w:t xml:space="preserve">
      Таким образом, для достижения максимального эффекта с точки зрения создаваемых рабочих мест и увеличения объемов выпускаемой продукции ДО АО "НУХ "Байтерек" в направлении поддержки бизнеса в сегменте ММСП будет ориентировать финансовые инструменты поддержки в большей степени на суб-сегменты микро и малого бизнеса. </w:t>
      </w:r>
    </w:p>
    <w:bookmarkEnd w:id="241"/>
    <w:bookmarkStart w:name="z272" w:id="242"/>
    <w:p>
      <w:pPr>
        <w:spacing w:after="0"/>
        <w:ind w:left="0"/>
        <w:jc w:val="both"/>
      </w:pPr>
      <w:r>
        <w:rPr>
          <w:rFonts w:ascii="Times New Roman"/>
          <w:b w:val="false"/>
          <w:i w:val="false"/>
          <w:color w:val="000000"/>
          <w:sz w:val="28"/>
        </w:rPr>
        <w:t>
      Кроме того, уровень маржинальности в отраслях, где создаются и развиваются ММСП, зачастую ненамного превышает ставку кредитования, то есть возможности роста и развития бизнеса за счет заемных средств сильно ограничены.</w:t>
      </w:r>
    </w:p>
    <w:bookmarkEnd w:id="242"/>
    <w:bookmarkStart w:name="z273" w:id="243"/>
    <w:p>
      <w:pPr>
        <w:spacing w:after="0"/>
        <w:ind w:left="0"/>
        <w:jc w:val="both"/>
      </w:pPr>
      <w:r>
        <w:rPr>
          <w:rFonts w:ascii="Times New Roman"/>
          <w:b w:val="false"/>
          <w:i w:val="false"/>
          <w:color w:val="000000"/>
          <w:sz w:val="28"/>
        </w:rPr>
        <w:t>
      Для этого Даму продолжит осуществлять поддержку микро-, малого бизнеса через обусловленное размещение средств БВУ, субсидирование процентной ставки (с постепенным снижением объема поддержки), гарантирование кредитов БВУ и микрофинансовые организации, в т.ч. посредством апексных механизмов.</w:t>
      </w:r>
    </w:p>
    <w:bookmarkEnd w:id="243"/>
    <w:bookmarkStart w:name="z274" w:id="244"/>
    <w:p>
      <w:pPr>
        <w:spacing w:after="0"/>
        <w:ind w:left="0"/>
        <w:jc w:val="both"/>
      </w:pPr>
      <w:r>
        <w:rPr>
          <w:rFonts w:ascii="Times New Roman"/>
          <w:b w:val="false"/>
          <w:i w:val="false"/>
          <w:color w:val="000000"/>
          <w:sz w:val="28"/>
        </w:rPr>
        <w:t>
      Так, в 2025 году будет увеличен уставный капитал АО "НУХ "Байтерек" для последующего увеличения уставного капитала АО "ФРП "Даму" на сумму 300 млрд тенге с целью поддержки МСБ в отраслях обрабатывающей промышленности, туризма, медицины, транспорта и логистики, складирования, АПК (переработка) и образования путем обусловленного размещения средств в БВУ с последующим кредитованием субъектов МСБ.</w:t>
      </w:r>
    </w:p>
    <w:bookmarkEnd w:id="244"/>
    <w:bookmarkStart w:name="z275" w:id="245"/>
    <w:p>
      <w:pPr>
        <w:spacing w:after="0"/>
        <w:ind w:left="0"/>
        <w:jc w:val="both"/>
      </w:pPr>
      <w:r>
        <w:rPr>
          <w:rFonts w:ascii="Times New Roman"/>
          <w:b w:val="false"/>
          <w:i w:val="false"/>
          <w:color w:val="000000"/>
          <w:sz w:val="28"/>
        </w:rPr>
        <w:t xml:space="preserve">
      При оказании ДО АО "НУХ "Байтерек" финансовых мер поддержки ММСП будут предусмотрены механизмы встречных обязательств со стороны поддерживаемых предприятий по повышению своей социально-экономической эффективности. </w:t>
      </w:r>
    </w:p>
    <w:bookmarkEnd w:id="245"/>
    <w:bookmarkStart w:name="z276" w:id="246"/>
    <w:p>
      <w:pPr>
        <w:spacing w:after="0"/>
        <w:ind w:left="0"/>
        <w:jc w:val="both"/>
      </w:pPr>
      <w:r>
        <w:rPr>
          <w:rFonts w:ascii="Times New Roman"/>
          <w:b w:val="false"/>
          <w:i w:val="false"/>
          <w:color w:val="000000"/>
          <w:sz w:val="28"/>
        </w:rPr>
        <w:t>
      При этом в соответствии с Концепцией развития обрабатывающей промышленности Республики Казахстан на 2023 – 2029 годы отбор проектов для предоставления поддержки будет осуществляться с учетом увеличения производительности труда, модернизации и расширения производства, а также эффективности реализуемых проектов.</w:t>
      </w:r>
    </w:p>
    <w:bookmarkEnd w:id="246"/>
    <w:bookmarkStart w:name="z277" w:id="247"/>
    <w:p>
      <w:pPr>
        <w:spacing w:after="0"/>
        <w:ind w:left="0"/>
        <w:jc w:val="both"/>
      </w:pPr>
      <w:r>
        <w:rPr>
          <w:rFonts w:ascii="Times New Roman"/>
          <w:b w:val="false"/>
          <w:i w:val="false"/>
          <w:color w:val="000000"/>
          <w:sz w:val="28"/>
        </w:rPr>
        <w:t>
      Также в целях поддержки МСБ АО "НУХ "Байтерек" будут приняты меры по:</w:t>
      </w:r>
    </w:p>
    <w:bookmarkEnd w:id="247"/>
    <w:bookmarkStart w:name="z278" w:id="248"/>
    <w:p>
      <w:pPr>
        <w:spacing w:after="0"/>
        <w:ind w:left="0"/>
        <w:jc w:val="both"/>
      </w:pPr>
      <w:r>
        <w:rPr>
          <w:rFonts w:ascii="Times New Roman"/>
          <w:b w:val="false"/>
          <w:i w:val="false"/>
          <w:color w:val="000000"/>
          <w:sz w:val="28"/>
        </w:rPr>
        <w:t>
      стимулированию крупных предприятий к сотрудничеству с МСБ путем их поддержки в цепочках поставок;</w:t>
      </w:r>
    </w:p>
    <w:bookmarkEnd w:id="248"/>
    <w:bookmarkStart w:name="z279" w:id="249"/>
    <w:p>
      <w:pPr>
        <w:spacing w:after="0"/>
        <w:ind w:left="0"/>
        <w:jc w:val="both"/>
      </w:pPr>
      <w:r>
        <w:rPr>
          <w:rFonts w:ascii="Times New Roman"/>
          <w:b w:val="false"/>
          <w:i w:val="false"/>
          <w:color w:val="000000"/>
          <w:sz w:val="28"/>
        </w:rPr>
        <w:t>
      проактивной работе с регионами по развитию МСБ;</w:t>
      </w:r>
    </w:p>
    <w:bookmarkEnd w:id="249"/>
    <w:bookmarkStart w:name="z280" w:id="250"/>
    <w:p>
      <w:pPr>
        <w:spacing w:after="0"/>
        <w:ind w:left="0"/>
        <w:jc w:val="both"/>
      </w:pPr>
      <w:r>
        <w:rPr>
          <w:rFonts w:ascii="Times New Roman"/>
          <w:b w:val="false"/>
          <w:i w:val="false"/>
          <w:color w:val="000000"/>
          <w:sz w:val="28"/>
        </w:rPr>
        <w:t xml:space="preserve">
      созданию гарантийного фонда в лице АО "ФРП "Даму", как основного оператора инструмента гарантирования в стране. Это позволит снизить нагрузку на государственный бюджет за счет привлечения средств из дополнительных источников финансирования. </w:t>
      </w:r>
    </w:p>
    <w:bookmarkEnd w:id="250"/>
    <w:bookmarkStart w:name="z281" w:id="251"/>
    <w:p>
      <w:pPr>
        <w:spacing w:after="0"/>
        <w:ind w:left="0"/>
        <w:jc w:val="both"/>
      </w:pPr>
      <w:r>
        <w:rPr>
          <w:rFonts w:ascii="Times New Roman"/>
          <w:b w:val="false"/>
          <w:i w:val="false"/>
          <w:color w:val="000000"/>
          <w:sz w:val="28"/>
        </w:rPr>
        <w:t>
      Расширение инструмента гарантирования сыграет положительную роль в увеличении и стимулировании кредитования реального сектора экономики в части принятия мер по увеличению кредитования со стороны БВУ проектов предпринимательства, а также исполнения другого поручения Главы государства по поэтапному переходу от нерыночных механизмов, в том числе субсидирования, к гарантированию и другим мерам нефинансовой поддержки;</w:t>
      </w:r>
    </w:p>
    <w:bookmarkEnd w:id="251"/>
    <w:bookmarkStart w:name="z282" w:id="252"/>
    <w:p>
      <w:pPr>
        <w:spacing w:after="0"/>
        <w:ind w:left="0"/>
        <w:jc w:val="both"/>
      </w:pPr>
      <w:r>
        <w:rPr>
          <w:rFonts w:ascii="Times New Roman"/>
          <w:b w:val="false"/>
          <w:i w:val="false"/>
          <w:color w:val="000000"/>
          <w:sz w:val="28"/>
        </w:rPr>
        <w:t>
      стимулированию субъектов микро и малого предпринимательства для перехода в средний бизнес;</w:t>
      </w:r>
    </w:p>
    <w:bookmarkEnd w:id="252"/>
    <w:bookmarkStart w:name="z283" w:id="253"/>
    <w:p>
      <w:pPr>
        <w:spacing w:after="0"/>
        <w:ind w:left="0"/>
        <w:jc w:val="both"/>
      </w:pPr>
      <w:r>
        <w:rPr>
          <w:rFonts w:ascii="Times New Roman"/>
          <w:b w:val="false"/>
          <w:i w:val="false"/>
          <w:color w:val="000000"/>
          <w:sz w:val="28"/>
        </w:rPr>
        <w:t>
      поддержке эффективных проектов, направленных на импортозамещение, повышение производительности труда и экспортоориентированные проекты.</w:t>
      </w:r>
    </w:p>
    <w:bookmarkEnd w:id="253"/>
    <w:bookmarkStart w:name="z284" w:id="254"/>
    <w:p>
      <w:pPr>
        <w:spacing w:after="0"/>
        <w:ind w:left="0"/>
        <w:jc w:val="left"/>
      </w:pPr>
      <w:r>
        <w:rPr>
          <w:rFonts w:ascii="Times New Roman"/>
          <w:b/>
          <w:i w:val="false"/>
          <w:color w:val="000000"/>
        </w:rPr>
        <w:t xml:space="preserve"> Параграф 3. Повышение экспортного потенциала</w:t>
      </w:r>
    </w:p>
    <w:bookmarkEnd w:id="254"/>
    <w:bookmarkStart w:name="z285" w:id="255"/>
    <w:p>
      <w:pPr>
        <w:spacing w:after="0"/>
        <w:ind w:left="0"/>
        <w:jc w:val="both"/>
      </w:pPr>
      <w:r>
        <w:rPr>
          <w:rFonts w:ascii="Times New Roman"/>
          <w:b w:val="false"/>
          <w:i w:val="false"/>
          <w:color w:val="000000"/>
          <w:sz w:val="28"/>
        </w:rPr>
        <w:t xml:space="preserve">
      Повышение экспортного потенциала реализуется Национальным институтом развития в области развития и продвижения несырьевого экспорта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2021 года № 86-VIІ "О промышленной политике" – ЭКА.</w:t>
      </w:r>
    </w:p>
    <w:bookmarkEnd w:id="255"/>
    <w:bookmarkStart w:name="z286" w:id="256"/>
    <w:p>
      <w:pPr>
        <w:spacing w:after="0"/>
        <w:ind w:left="0"/>
        <w:jc w:val="both"/>
      </w:pPr>
      <w:r>
        <w:rPr>
          <w:rFonts w:ascii="Times New Roman"/>
          <w:b w:val="false"/>
          <w:i w:val="false"/>
          <w:color w:val="000000"/>
          <w:sz w:val="28"/>
        </w:rPr>
        <w:t>
      В Послании Главы государства от 1 сентября 2023 года "Экономический курс Справедливого Казахстана" была обозначена важность создания на базе ЭКА полноценного института продвижения экспорта, в рамках которого будут консолидированы необходимые инструменты государственной поддержки.</w:t>
      </w:r>
    </w:p>
    <w:bookmarkEnd w:id="256"/>
    <w:bookmarkStart w:name="z287" w:id="257"/>
    <w:p>
      <w:pPr>
        <w:spacing w:after="0"/>
        <w:ind w:left="0"/>
        <w:jc w:val="both"/>
      </w:pPr>
      <w:r>
        <w:rPr>
          <w:rFonts w:ascii="Times New Roman"/>
          <w:b w:val="false"/>
          <w:i w:val="false"/>
          <w:color w:val="000000"/>
          <w:sz w:val="28"/>
        </w:rPr>
        <w:t xml:space="preserve">
      В целях реализации задач Национального плана развития Республики Казахстан до 2029 года, направленных на поддержку перспективных экспортоориентированных проектов казахстанских производителей несырьевых товаров и поставщиков услуг на внешних рынках и усиление их конкурентоспособности, а также во исполнение поручения Премьер-Министра Республики Казахстан от 3 августа 2024 года № 12-18/Б-1489лп, предусмотрено увеличение уставного капитала АО "НУХ "Байтерек" с последующим увеличением уставного капитала ЭКА на 100 млрд тенге в 2025–2026 годах (на 50 млрд тенге в 2025 году и 50 млрд тенге в 2026 году) . </w:t>
      </w:r>
    </w:p>
    <w:bookmarkEnd w:id="257"/>
    <w:bookmarkStart w:name="z288" w:id="258"/>
    <w:p>
      <w:pPr>
        <w:spacing w:after="0"/>
        <w:ind w:left="0"/>
        <w:jc w:val="both"/>
      </w:pPr>
      <w:r>
        <w:rPr>
          <w:rFonts w:ascii="Times New Roman"/>
          <w:b w:val="false"/>
          <w:i w:val="false"/>
          <w:color w:val="000000"/>
          <w:sz w:val="28"/>
        </w:rPr>
        <w:t xml:space="preserve">
      Дополнительно запланировано повышение лимита государственных гарантий по поддержке экспорта на 200 млрд тенге в 2025 году и на 250 млрд тенге в 2026 году. Эти меры способствуют увеличению страховой емкости ЭКА до уровня более 0,9 трлн тенге в 2025 году и более 1,2 трлн тенге в 2026 году, что позволит усилить объем экспортно-торгового и предэкспортного финансирования экспортеров обрабатывающей промышленности более чем в 2,5 раза. </w:t>
      </w:r>
    </w:p>
    <w:bookmarkEnd w:id="258"/>
    <w:bookmarkStart w:name="z289" w:id="259"/>
    <w:p>
      <w:pPr>
        <w:spacing w:after="0"/>
        <w:ind w:left="0"/>
        <w:jc w:val="both"/>
      </w:pPr>
      <w:r>
        <w:rPr>
          <w:rFonts w:ascii="Times New Roman"/>
          <w:b w:val="false"/>
          <w:i w:val="false"/>
          <w:color w:val="000000"/>
          <w:sz w:val="28"/>
        </w:rPr>
        <w:t xml:space="preserve">
      Так, инструмент предэкспортного финансирования позволяет экспортерам закупать сырье, модернизировать производство и обеспечивать исполнение экспортных контрактов. </w:t>
      </w:r>
    </w:p>
    <w:bookmarkEnd w:id="259"/>
    <w:bookmarkStart w:name="z290" w:id="260"/>
    <w:p>
      <w:pPr>
        <w:spacing w:after="0"/>
        <w:ind w:left="0"/>
        <w:jc w:val="both"/>
      </w:pPr>
      <w:r>
        <w:rPr>
          <w:rFonts w:ascii="Times New Roman"/>
          <w:b w:val="false"/>
          <w:i w:val="false"/>
          <w:color w:val="000000"/>
          <w:sz w:val="28"/>
        </w:rPr>
        <w:t xml:space="preserve">
      В свою очередь, инструмент экспортно-торгового финансирования снижает финансовые риски для зарубежных покупателей казахстанской продукции, что делает экспортируемые товары более конкурентоспособными. </w:t>
      </w:r>
    </w:p>
    <w:bookmarkEnd w:id="260"/>
    <w:bookmarkStart w:name="z291" w:id="261"/>
    <w:p>
      <w:pPr>
        <w:spacing w:after="0"/>
        <w:ind w:left="0"/>
        <w:jc w:val="both"/>
      </w:pPr>
      <w:r>
        <w:rPr>
          <w:rFonts w:ascii="Times New Roman"/>
          <w:b w:val="false"/>
          <w:i w:val="false"/>
          <w:color w:val="000000"/>
          <w:sz w:val="28"/>
        </w:rPr>
        <w:t xml:space="preserve">
      Для увеличения объема экспортной поддержки по вышеизложенным инструментам планируются расширение сети зарубежных и казахстанских банков-партнеров, усиление сотрудничества с Банком Развития Казахстана. </w:t>
      </w:r>
    </w:p>
    <w:bookmarkEnd w:id="261"/>
    <w:bookmarkStart w:name="z292" w:id="262"/>
    <w:p>
      <w:pPr>
        <w:spacing w:after="0"/>
        <w:ind w:left="0"/>
        <w:jc w:val="both"/>
      </w:pPr>
      <w:r>
        <w:rPr>
          <w:rFonts w:ascii="Times New Roman"/>
          <w:b w:val="false"/>
          <w:i w:val="false"/>
          <w:color w:val="000000"/>
          <w:sz w:val="28"/>
        </w:rPr>
        <w:t>
      Также увеличение страховой емкости позволит ЭКА усилить поддержку несырьевого экспорта посредством инструментов страхования (перестрахования) и гарантийного обеспечения экспортных операций. Для диверсификации портфеля страховых обязательств акцент будет сделан на увеличении доли продуктов страхования экспортных поставок, в том числе за счет расширения инструмента страхования краткосрочной дебиторской задолженности.</w:t>
      </w:r>
    </w:p>
    <w:bookmarkEnd w:id="262"/>
    <w:bookmarkStart w:name="z293" w:id="263"/>
    <w:p>
      <w:pPr>
        <w:spacing w:after="0"/>
        <w:ind w:left="0"/>
        <w:jc w:val="both"/>
      </w:pPr>
      <w:r>
        <w:rPr>
          <w:rFonts w:ascii="Times New Roman"/>
          <w:b w:val="false"/>
          <w:i w:val="false"/>
          <w:color w:val="000000"/>
          <w:sz w:val="28"/>
        </w:rPr>
        <w:t>
      В целях дальнейшего роста объемов экспорта ЭКА планирует развитие страхования кредитных организаций при финансировании иностранных контрагентов. Этот инструмент будет стимулировать зарубежных покупателей к приобретению продукции казахстанского производства, способствуя увеличению доли отечественных товаров на международных рынках.</w:t>
      </w:r>
    </w:p>
    <w:bookmarkEnd w:id="263"/>
    <w:bookmarkStart w:name="z294" w:id="264"/>
    <w:p>
      <w:pPr>
        <w:spacing w:after="0"/>
        <w:ind w:left="0"/>
        <w:jc w:val="both"/>
      </w:pPr>
      <w:r>
        <w:rPr>
          <w:rFonts w:ascii="Times New Roman"/>
          <w:b w:val="false"/>
          <w:i w:val="false"/>
          <w:color w:val="000000"/>
          <w:sz w:val="28"/>
        </w:rPr>
        <w:t>
      Дополнительно предусмотрена адаптация страховых инструментов для портфельного страхования займов экспортоориентированных субъектов малого и среднего бизнеса в банках второго уровня. Также будет введен упрощенный андеррайтинг по совместным проектам с БРК, соответствующим установленным критериям.</w:t>
      </w:r>
    </w:p>
    <w:bookmarkEnd w:id="264"/>
    <w:bookmarkStart w:name="z295" w:id="265"/>
    <w:p>
      <w:pPr>
        <w:spacing w:after="0"/>
        <w:ind w:left="0"/>
        <w:jc w:val="both"/>
      </w:pPr>
      <w:r>
        <w:rPr>
          <w:rFonts w:ascii="Times New Roman"/>
          <w:b w:val="false"/>
          <w:i w:val="false"/>
          <w:color w:val="000000"/>
          <w:sz w:val="28"/>
        </w:rPr>
        <w:t>
      Для снижения концентрации страховых рисков, связанных с ростом поддержки экспортеров, в 2025 году планируется увеличение объемов исходящего перестрахования в 2 раза. Это позволит снизить риски для группы компаний холдинга и укрепить устойчивость системы страховой поддержки экспортеров.</w:t>
      </w:r>
    </w:p>
    <w:bookmarkEnd w:id="265"/>
    <w:bookmarkStart w:name="z296" w:id="266"/>
    <w:p>
      <w:pPr>
        <w:spacing w:after="0"/>
        <w:ind w:left="0"/>
        <w:jc w:val="both"/>
      </w:pPr>
      <w:r>
        <w:rPr>
          <w:rFonts w:ascii="Times New Roman"/>
          <w:b w:val="false"/>
          <w:i w:val="false"/>
          <w:color w:val="000000"/>
          <w:sz w:val="28"/>
        </w:rPr>
        <w:t>
      Кроме того, АО "НУХ "Байтерек" для повышения количества новых экспортеров будет продолжено оказание пакетной поддержки с целью взращивания экспортеров (ЭКА, QIC, БРК, АКК, Даму) с концентрацией в холдинге всех инструментов поддержки экспортеров.</w:t>
      </w:r>
    </w:p>
    <w:bookmarkEnd w:id="266"/>
    <w:bookmarkStart w:name="z297" w:id="267"/>
    <w:p>
      <w:pPr>
        <w:spacing w:after="0"/>
        <w:ind w:left="0"/>
        <w:jc w:val="left"/>
      </w:pPr>
      <w:r>
        <w:rPr>
          <w:rFonts w:ascii="Times New Roman"/>
          <w:b/>
          <w:i w:val="false"/>
          <w:color w:val="000000"/>
        </w:rPr>
        <w:t xml:space="preserve"> Параграф 4. Развитие АПК</w:t>
      </w:r>
    </w:p>
    <w:bookmarkEnd w:id="267"/>
    <w:bookmarkStart w:name="z298" w:id="268"/>
    <w:p>
      <w:pPr>
        <w:spacing w:after="0"/>
        <w:ind w:left="0"/>
        <w:jc w:val="both"/>
      </w:pPr>
      <w:r>
        <w:rPr>
          <w:rFonts w:ascii="Times New Roman"/>
          <w:b w:val="false"/>
          <w:i w:val="false"/>
          <w:color w:val="000000"/>
          <w:sz w:val="28"/>
        </w:rPr>
        <w:t>
      АО "НУХ "Байтерек" с 2021 года предусматривает развитие сельского хозяйства в рамках задач, обозначенных в Концепции развития АПК Республики Казахстан на 2021-2030 годы.</w:t>
      </w:r>
    </w:p>
    <w:bookmarkEnd w:id="268"/>
    <w:bookmarkStart w:name="z299" w:id="269"/>
    <w:p>
      <w:pPr>
        <w:spacing w:after="0"/>
        <w:ind w:left="0"/>
        <w:jc w:val="both"/>
      </w:pPr>
      <w:r>
        <w:rPr>
          <w:rFonts w:ascii="Times New Roman"/>
          <w:b w:val="false"/>
          <w:i w:val="false"/>
          <w:color w:val="000000"/>
          <w:sz w:val="28"/>
        </w:rPr>
        <w:t xml:space="preserve">
      Холдингом будет продолжено финансирование инвестиционных проектов в АПК с приоритетом на решении задач по снижению импортозависимости и стабилизации цен. Для этого будут финансироваться проекты по производству и переработке сельхозпродукции, рыбы и производству продуктов питания, по внедрению систем орошения, производству овощей в закрытом грунте, развитию производственно-сбытовой инфраструктуры, поддержке кормопроизводства. </w:t>
      </w:r>
    </w:p>
    <w:bookmarkEnd w:id="269"/>
    <w:bookmarkStart w:name="z300" w:id="270"/>
    <w:p>
      <w:pPr>
        <w:spacing w:after="0"/>
        <w:ind w:left="0"/>
        <w:jc w:val="both"/>
      </w:pPr>
      <w:r>
        <w:rPr>
          <w:rFonts w:ascii="Times New Roman"/>
          <w:b w:val="false"/>
          <w:i w:val="false"/>
          <w:color w:val="000000"/>
          <w:sz w:val="28"/>
        </w:rPr>
        <w:t>
      В соответствии с поручением Главы государства холдингом будет продолжена работа по льготному кредитованию весенне-полевых и уборочных работ, на пополнение оборотных средств с применением инструментов гарантирования.</w:t>
      </w:r>
    </w:p>
    <w:bookmarkEnd w:id="270"/>
    <w:bookmarkStart w:name="z301" w:id="271"/>
    <w:p>
      <w:pPr>
        <w:spacing w:after="0"/>
        <w:ind w:left="0"/>
        <w:jc w:val="both"/>
      </w:pPr>
      <w:r>
        <w:rPr>
          <w:rFonts w:ascii="Times New Roman"/>
          <w:b w:val="false"/>
          <w:i w:val="false"/>
          <w:color w:val="000000"/>
          <w:sz w:val="28"/>
        </w:rPr>
        <w:t>
      Для ускорения темпов обновления машинно-тракторного парка холдингом и его дочерними организациями будут увеличены объемы доступного лизингового финансирования.</w:t>
      </w:r>
    </w:p>
    <w:bookmarkEnd w:id="271"/>
    <w:p>
      <w:pPr>
        <w:spacing w:after="0"/>
        <w:ind w:left="0"/>
        <w:jc w:val="both"/>
      </w:pPr>
      <w:r>
        <w:rPr>
          <w:rFonts w:ascii="Times New Roman"/>
          <w:b/>
          <w:i w:val="false"/>
          <w:color w:val="000000"/>
          <w:sz w:val="28"/>
        </w:rPr>
        <w:t>1. Текущая ситуация в АПК</w:t>
      </w:r>
    </w:p>
    <w:bookmarkStart w:name="z303" w:id="272"/>
    <w:p>
      <w:pPr>
        <w:spacing w:after="0"/>
        <w:ind w:left="0"/>
        <w:jc w:val="both"/>
      </w:pPr>
      <w:r>
        <w:rPr>
          <w:rFonts w:ascii="Times New Roman"/>
          <w:b w:val="false"/>
          <w:i w:val="false"/>
          <w:color w:val="000000"/>
          <w:sz w:val="28"/>
        </w:rPr>
        <w:t>
       Объемы валового выпуска продукции (за исключением услуг) сельского хозяйства (во всех категориях хозяйств) Казахстана с 2012 года устойчиво растут.</w:t>
      </w:r>
    </w:p>
    <w:bookmarkEnd w:id="272"/>
    <w:bookmarkStart w:name="z304" w:id="273"/>
    <w:p>
      <w:pPr>
        <w:spacing w:after="0"/>
        <w:ind w:left="0"/>
        <w:jc w:val="both"/>
      </w:pPr>
      <w:r>
        <w:rPr>
          <w:rFonts w:ascii="Times New Roman"/>
          <w:b w:val="false"/>
          <w:i w:val="false"/>
          <w:color w:val="000000"/>
          <w:sz w:val="28"/>
        </w:rPr>
        <w:t>
       </w:t>
      </w:r>
    </w:p>
    <w:bookmarkEnd w:id="273"/>
    <w:bookmarkStart w:name="z305"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6" w:id="275"/>
    <w:p>
      <w:pPr>
        <w:spacing w:after="0"/>
        <w:ind w:left="0"/>
        <w:jc w:val="both"/>
      </w:pPr>
      <w:r>
        <w:rPr>
          <w:rFonts w:ascii="Times New Roman"/>
          <w:b w:val="false"/>
          <w:i w:val="false"/>
          <w:color w:val="000000"/>
          <w:sz w:val="28"/>
        </w:rPr>
        <w:t>
       Рисунок 8. Динамика производства в сельском хозяйстве, млрд тенге</w:t>
      </w:r>
    </w:p>
    <w:bookmarkEnd w:id="275"/>
    <w:bookmarkStart w:name="z307" w:id="276"/>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76"/>
    <w:bookmarkStart w:name="z308" w:id="277"/>
    <w:p>
      <w:pPr>
        <w:spacing w:after="0"/>
        <w:ind w:left="0"/>
        <w:jc w:val="both"/>
      </w:pPr>
      <w:r>
        <w:rPr>
          <w:rFonts w:ascii="Times New Roman"/>
          <w:b w:val="false"/>
          <w:i w:val="false"/>
          <w:color w:val="000000"/>
          <w:sz w:val="28"/>
        </w:rPr>
        <w:t>
      Несмотря на положительные тенденции в отрасли, сельское хозяйство Казахстана характеризуется рядом проблем:</w:t>
      </w:r>
    </w:p>
    <w:bookmarkEnd w:id="277"/>
    <w:bookmarkStart w:name="z309" w:id="278"/>
    <w:p>
      <w:pPr>
        <w:spacing w:after="0"/>
        <w:ind w:left="0"/>
        <w:jc w:val="both"/>
      </w:pPr>
      <w:r>
        <w:rPr>
          <w:rFonts w:ascii="Times New Roman"/>
          <w:b w:val="false"/>
          <w:i w:val="false"/>
          <w:color w:val="000000"/>
          <w:sz w:val="28"/>
        </w:rPr>
        <w:t>
      1) низкая производительность труда обусловлена невысокой урожайностью сельскохозяйственных культур и продуктивностью сельскохозяйственных животных, использованием устаревших трудозатратных технологий, слабой инновационной активностью субъектов отрасли;</w:t>
      </w:r>
    </w:p>
    <w:bookmarkEnd w:id="278"/>
    <w:bookmarkStart w:name="z310" w:id="279"/>
    <w:p>
      <w:pPr>
        <w:spacing w:after="0"/>
        <w:ind w:left="0"/>
        <w:jc w:val="both"/>
      </w:pPr>
      <w:r>
        <w:rPr>
          <w:rFonts w:ascii="Times New Roman"/>
          <w:b w:val="false"/>
          <w:i w:val="false"/>
          <w:color w:val="000000"/>
          <w:sz w:val="28"/>
        </w:rPr>
        <w:t>
      2) высокий уровень износа сельскохозяйственной техники;</w:t>
      </w:r>
    </w:p>
    <w:bookmarkEnd w:id="279"/>
    <w:bookmarkStart w:name="z311" w:id="280"/>
    <w:p>
      <w:pPr>
        <w:spacing w:after="0"/>
        <w:ind w:left="0"/>
        <w:jc w:val="both"/>
      </w:pPr>
      <w:r>
        <w:rPr>
          <w:rFonts w:ascii="Times New Roman"/>
          <w:b w:val="false"/>
          <w:i w:val="false"/>
          <w:color w:val="000000"/>
          <w:sz w:val="28"/>
        </w:rPr>
        <w:t>
      3) мелкотоварность производства в АПК (в 2024 году 44 % скота, 61 % коровьего молока, 40 % картофеля, 56 % помидоров и 55 % огурцов было произведено в личных подсобных хозяйствах);</w:t>
      </w:r>
    </w:p>
    <w:bookmarkEnd w:id="280"/>
    <w:bookmarkStart w:name="z312" w:id="281"/>
    <w:p>
      <w:pPr>
        <w:spacing w:after="0"/>
        <w:ind w:left="0"/>
        <w:jc w:val="both"/>
      </w:pPr>
      <w:r>
        <w:rPr>
          <w:rFonts w:ascii="Times New Roman"/>
          <w:b w:val="false"/>
          <w:i w:val="false"/>
          <w:color w:val="000000"/>
          <w:sz w:val="28"/>
        </w:rPr>
        <w:t>
      4) высокая импортозависимость по основным видам фруктов, а также овощей в межсезонье вследствие нехватки современных мощностей хранения и объемов производства в тепличных хозяйствах;</w:t>
      </w:r>
    </w:p>
    <w:bookmarkEnd w:id="281"/>
    <w:bookmarkStart w:name="z313" w:id="282"/>
    <w:p>
      <w:pPr>
        <w:spacing w:after="0"/>
        <w:ind w:left="0"/>
        <w:jc w:val="both"/>
      </w:pPr>
      <w:r>
        <w:rPr>
          <w:rFonts w:ascii="Times New Roman"/>
          <w:b w:val="false"/>
          <w:i w:val="false"/>
          <w:color w:val="000000"/>
          <w:sz w:val="28"/>
        </w:rPr>
        <w:t>
      5) низкий удельный вес племенного поголовья в общем поголовье сельскохозяйственных животных, концентрация основного поголовья скота в хозяйствах населения, несоответствие объемов кормопроизводства потребностям животноводства.</w:t>
      </w:r>
    </w:p>
    <w:bookmarkEnd w:id="282"/>
    <w:bookmarkStart w:name="z314" w:id="283"/>
    <w:p>
      <w:pPr>
        <w:spacing w:after="0"/>
        <w:ind w:left="0"/>
        <w:jc w:val="both"/>
      </w:pPr>
      <w:r>
        <w:rPr>
          <w:rFonts w:ascii="Times New Roman"/>
          <w:b w:val="false"/>
          <w:i w:val="false"/>
          <w:color w:val="000000"/>
          <w:sz w:val="28"/>
        </w:rPr>
        <w:t>
      В перерабатывающей промышленности наблюдается устойчивый ежегодный рост объемов производства продуктов питания.</w:t>
      </w:r>
    </w:p>
    <w:bookmarkEnd w:id="283"/>
    <w:bookmarkStart w:name="z315" w:id="284"/>
    <w:p>
      <w:pPr>
        <w:spacing w:after="0"/>
        <w:ind w:left="0"/>
        <w:jc w:val="both"/>
      </w:pPr>
      <w:r>
        <w:rPr>
          <w:rFonts w:ascii="Times New Roman"/>
          <w:b w:val="false"/>
          <w:i w:val="false"/>
          <w:color w:val="000000"/>
          <w:sz w:val="28"/>
        </w:rPr>
        <w:t>
       </w:t>
      </w:r>
    </w:p>
    <w:bookmarkEnd w:id="284"/>
    <w:bookmarkStart w:name="z316"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86"/>
    <w:p>
      <w:pPr>
        <w:spacing w:after="0"/>
        <w:ind w:left="0"/>
        <w:jc w:val="both"/>
      </w:pPr>
      <w:r>
        <w:rPr>
          <w:rFonts w:ascii="Times New Roman"/>
          <w:b w:val="false"/>
          <w:i w:val="false"/>
          <w:color w:val="000000"/>
          <w:sz w:val="28"/>
        </w:rPr>
        <w:t>
       </w:t>
      </w:r>
    </w:p>
    <w:bookmarkEnd w:id="286"/>
    <w:bookmarkStart w:name="z318" w:id="287"/>
    <w:p>
      <w:pPr>
        <w:spacing w:after="0"/>
        <w:ind w:left="0"/>
        <w:jc w:val="both"/>
      </w:pPr>
      <w:r>
        <w:rPr>
          <w:rFonts w:ascii="Times New Roman"/>
          <w:b w:val="false"/>
          <w:i w:val="false"/>
          <w:color w:val="000000"/>
          <w:sz w:val="28"/>
        </w:rPr>
        <w:t>
      Рисунок 9. Производство продуктов питания, в млрд тенге</w:t>
      </w:r>
    </w:p>
    <w:bookmarkEnd w:id="287"/>
    <w:bookmarkStart w:name="z319" w:id="288"/>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288"/>
    <w:bookmarkStart w:name="z320" w:id="289"/>
    <w:p>
      <w:pPr>
        <w:spacing w:after="0"/>
        <w:ind w:left="0"/>
        <w:jc w:val="both"/>
      </w:pPr>
      <w:r>
        <w:rPr>
          <w:rFonts w:ascii="Times New Roman"/>
          <w:b w:val="false"/>
          <w:i w:val="false"/>
          <w:color w:val="000000"/>
          <w:sz w:val="28"/>
        </w:rPr>
        <w:t>
       </w:t>
      </w:r>
    </w:p>
    <w:bookmarkEnd w:id="289"/>
    <w:bookmarkStart w:name="z321" w:id="290"/>
    <w:p>
      <w:pPr>
        <w:spacing w:after="0"/>
        <w:ind w:left="0"/>
        <w:jc w:val="both"/>
      </w:pPr>
      <w:r>
        <w:rPr>
          <w:rFonts w:ascii="Times New Roman"/>
          <w:b w:val="false"/>
          <w:i w:val="false"/>
          <w:color w:val="000000"/>
          <w:sz w:val="28"/>
        </w:rPr>
        <w:t>
      Росту отрасли способствуют меры поддержки, реализуемые через правительственные программы развития, что повлияло на рост инвестиций в основной капитал в 2024 году в 6,6 раза с 2013 года (с 139,6 млрд тенге до 919 млрд тенге).</w:t>
      </w:r>
    </w:p>
    <w:bookmarkEnd w:id="290"/>
    <w:bookmarkStart w:name="z322" w:id="291"/>
    <w:p>
      <w:pPr>
        <w:spacing w:after="0"/>
        <w:ind w:left="0"/>
        <w:jc w:val="both"/>
      </w:pPr>
      <w:r>
        <w:rPr>
          <w:rFonts w:ascii="Times New Roman"/>
          <w:b w:val="false"/>
          <w:i w:val="false"/>
          <w:color w:val="000000"/>
          <w:sz w:val="28"/>
        </w:rPr>
        <w:t>
      Пищевая промышленность Казахстана характеризуется ростом конкуренции с производителями из стран Евразийского экономического союза. При этом отрицательно на конкурентоспособность отечественных производителей продуктов питания влияют нехватка качественного сырья, неразвитость инфраструктуры, устаревшее оборудование, недостаток оборотных средств.</w:t>
      </w:r>
    </w:p>
    <w:bookmarkEnd w:id="291"/>
    <w:bookmarkStart w:name="z323" w:id="292"/>
    <w:p>
      <w:pPr>
        <w:spacing w:after="0"/>
        <w:ind w:left="0"/>
        <w:jc w:val="both"/>
      </w:pPr>
      <w:r>
        <w:rPr>
          <w:rFonts w:ascii="Times New Roman"/>
          <w:b w:val="false"/>
          <w:i w:val="false"/>
          <w:color w:val="000000"/>
          <w:sz w:val="28"/>
        </w:rPr>
        <w:t>
      В стране наблюдается высокая доля импорта по таким видам продукции, как колбасные изделия – 40,8 %, мясные консервы – 47,4%, растительные масла – 17,2 %, плодовоовощные консервы – 86,1% и мясо птицы – 27,5%. Также высок уровень импортозависимости по сыру и творогу – 49,7%, сухому молоку – 80,8 %.</w:t>
      </w:r>
    </w:p>
    <w:bookmarkEnd w:id="292"/>
    <w:p>
      <w:pPr>
        <w:spacing w:after="0"/>
        <w:ind w:left="0"/>
        <w:jc w:val="both"/>
      </w:pPr>
      <w:r>
        <w:rPr>
          <w:rFonts w:ascii="Times New Roman"/>
          <w:b/>
          <w:i w:val="false"/>
          <w:color w:val="000000"/>
          <w:sz w:val="28"/>
        </w:rPr>
        <w:t xml:space="preserve"> 2. Поддержка сельхозтоваропроизводителей, как драйвер развития отрасли</w:t>
      </w:r>
    </w:p>
    <w:bookmarkStart w:name="z325" w:id="293"/>
    <w:p>
      <w:pPr>
        <w:spacing w:after="0"/>
        <w:ind w:left="0"/>
        <w:jc w:val="both"/>
      </w:pPr>
      <w:r>
        <w:rPr>
          <w:rFonts w:ascii="Times New Roman"/>
          <w:b w:val="false"/>
          <w:i w:val="false"/>
          <w:color w:val="000000"/>
          <w:sz w:val="28"/>
        </w:rPr>
        <w:t>
      Основной категорией потребителей услуг АО "НУХ "Байтерек" в области АПК являются крестьянские и фермерские хозяйства, сельскохозяйственные предприятия.</w:t>
      </w:r>
    </w:p>
    <w:bookmarkEnd w:id="293"/>
    <w:bookmarkStart w:name="z326" w:id="294"/>
    <w:p>
      <w:pPr>
        <w:spacing w:after="0"/>
        <w:ind w:left="0"/>
        <w:jc w:val="both"/>
      </w:pPr>
      <w:r>
        <w:rPr>
          <w:rFonts w:ascii="Times New Roman"/>
          <w:b w:val="false"/>
          <w:i w:val="false"/>
          <w:color w:val="000000"/>
          <w:sz w:val="28"/>
        </w:rPr>
        <w:t>
      Всего по состоянию на начало 2025 года кредитный портфель АКК и КАФ состоит из более чем 78,3 тыс. конечных заемщиков.</w:t>
      </w:r>
    </w:p>
    <w:bookmarkEnd w:id="294"/>
    <w:bookmarkStart w:name="z327"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96"/>
    <w:p>
      <w:pPr>
        <w:spacing w:after="0"/>
        <w:ind w:left="0"/>
        <w:jc w:val="both"/>
      </w:pPr>
      <w:r>
        <w:rPr>
          <w:rFonts w:ascii="Times New Roman"/>
          <w:b w:val="false"/>
          <w:i w:val="false"/>
          <w:color w:val="000000"/>
          <w:sz w:val="28"/>
        </w:rPr>
        <w:t>
      * данные БВУ без учета фондирования от АО "НУХ "КазАгро", АКК</w:t>
      </w:r>
    </w:p>
    <w:bookmarkEnd w:id="296"/>
    <w:bookmarkStart w:name="z329" w:id="297"/>
    <w:p>
      <w:pPr>
        <w:spacing w:after="0"/>
        <w:ind w:left="0"/>
        <w:jc w:val="both"/>
      </w:pPr>
      <w:r>
        <w:rPr>
          <w:rFonts w:ascii="Times New Roman"/>
          <w:b w:val="false"/>
          <w:i w:val="false"/>
          <w:color w:val="000000"/>
          <w:sz w:val="28"/>
        </w:rPr>
        <w:t>
      Рисунок 10. Объем кредитования сельского хозяйства АКК (в т.ч. КАФ) и БВУ, в млрд тенге</w:t>
      </w:r>
    </w:p>
    <w:bookmarkEnd w:id="297"/>
    <w:bookmarkStart w:name="z330" w:id="298"/>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 и План мероприятий АО "НУХ "Байтерек", АО "НУХ "КазАгро"</w:t>
      </w:r>
    </w:p>
    <w:bookmarkEnd w:id="298"/>
    <w:bookmarkStart w:name="z331" w:id="299"/>
    <w:p>
      <w:pPr>
        <w:spacing w:after="0"/>
        <w:ind w:left="0"/>
        <w:jc w:val="both"/>
      </w:pPr>
      <w:r>
        <w:rPr>
          <w:rFonts w:ascii="Times New Roman"/>
          <w:b w:val="false"/>
          <w:i w:val="false"/>
          <w:color w:val="000000"/>
          <w:sz w:val="28"/>
        </w:rPr>
        <w:t>
      Рост финансирования сельского хозяйства со стороны БВУ сдерживается консервативной оценкой отраслевых рисков, низкой ликвидностью залогового обеспечения в сельской местности, нехваткой источников долгосрочного фондирования в тенге, требуемых для финансирования проектов с длительным сроком окупаемости.</w:t>
      </w:r>
    </w:p>
    <w:bookmarkEnd w:id="299"/>
    <w:bookmarkStart w:name="z332" w:id="300"/>
    <w:p>
      <w:pPr>
        <w:spacing w:after="0"/>
        <w:ind w:left="0"/>
        <w:jc w:val="both"/>
      </w:pPr>
      <w:r>
        <w:rPr>
          <w:rFonts w:ascii="Times New Roman"/>
          <w:b w:val="false"/>
          <w:i w:val="false"/>
          <w:color w:val="000000"/>
          <w:sz w:val="28"/>
        </w:rPr>
        <w:t>
      В 2024 году впервые был применен механизм субсидирования купонного вознаграждения по облигациям АКК и КАФ, что позволило привлечь рыночные средства и обеспечить выдачу кредитов и лизинга по фиксированной для заемщика льготной ставке. Кроме того, по кредитам АКК был внедрен механизм гарантирования через Даму, что позволило значительно увеличить доступность финансирования для субъектов АПК, не имеющих достаточного залогового обеспечения.</w:t>
      </w:r>
    </w:p>
    <w:bookmarkEnd w:id="300"/>
    <w:bookmarkStart w:name="z333" w:id="301"/>
    <w:p>
      <w:pPr>
        <w:spacing w:after="0"/>
        <w:ind w:left="0"/>
        <w:jc w:val="both"/>
      </w:pPr>
      <w:r>
        <w:rPr>
          <w:rFonts w:ascii="Times New Roman"/>
          <w:b w:val="false"/>
          <w:i w:val="false"/>
          <w:color w:val="000000"/>
          <w:sz w:val="28"/>
        </w:rPr>
        <w:t>
      В 2025 году будет увеличен уставный капитал АО "НУХ "Байтерек" для последующего увеличения уставного капитала АО "Аграрная кредитная корпорация" на сумму 200 млрд тенге с целью развития внутреннего производства, снижения импорта и развития экспортного потенциала АПК. В соответствии с потребностью отраслей АПК в реализации инвестиционных проектов и пополнении оборотных средств в 2026-2033 годах будут выделяться дополнительные бюджетные средства для увеличения уставного капитала АКК и в виде бюджетных кредитов.</w:t>
      </w:r>
    </w:p>
    <w:bookmarkEnd w:id="301"/>
    <w:bookmarkStart w:name="z334" w:id="302"/>
    <w:p>
      <w:pPr>
        <w:spacing w:after="0"/>
        <w:ind w:left="0"/>
        <w:jc w:val="both"/>
      </w:pPr>
      <w:r>
        <w:rPr>
          <w:rFonts w:ascii="Times New Roman"/>
          <w:b w:val="false"/>
          <w:i w:val="false"/>
          <w:color w:val="000000"/>
          <w:sz w:val="28"/>
        </w:rPr>
        <w:t>
      Вместе с тем со стороны АКК продолжится финансирование инвестиционных проектов по приоритетным инвестиционным направлениям: по производству и переработке сельхозпродукции, рыбы и производству продуктов питания, внедрению систем орошения, производству овощей в закрытом грунте, развитию производственно-сбытовой инфраструктуры, поддержке кормопроизводства, приобретению сельскохозяйственной техники и оборудования.</w:t>
      </w:r>
    </w:p>
    <w:bookmarkEnd w:id="302"/>
    <w:bookmarkStart w:name="z335" w:id="303"/>
    <w:p>
      <w:pPr>
        <w:spacing w:after="0"/>
        <w:ind w:left="0"/>
        <w:jc w:val="both"/>
      </w:pPr>
      <w:r>
        <w:rPr>
          <w:rFonts w:ascii="Times New Roman"/>
          <w:b w:val="false"/>
          <w:i w:val="false"/>
          <w:color w:val="000000"/>
          <w:sz w:val="28"/>
        </w:rPr>
        <w:t>
      Работа по автоматизации бизнес процессов АКК будет продолжена в соответствии с лучшими практиками и стандартами финансового обслуживания.</w:t>
      </w:r>
    </w:p>
    <w:bookmarkEnd w:id="303"/>
    <w:bookmarkStart w:name="z336" w:id="304"/>
    <w:p>
      <w:pPr>
        <w:spacing w:after="0"/>
        <w:ind w:left="0"/>
        <w:jc w:val="both"/>
      </w:pPr>
      <w:r>
        <w:rPr>
          <w:rFonts w:ascii="Times New Roman"/>
          <w:b w:val="false"/>
          <w:i w:val="false"/>
          <w:color w:val="000000"/>
          <w:sz w:val="28"/>
        </w:rPr>
        <w:t xml:space="preserve">
      Согласно Посланию Главы государства народу Казахстана от 1 сентября 2023 года "Экономический курс Справедливого Казахстана", для повышения эффективности агропромышленного комплекса необходимо довести ежегодный уровень обновления парка сельхозтехники до 8–10%. Для исполнения поручения будут увеличиваться объемы финансирования лизинга сельхозтехники по программам КАФ. </w:t>
      </w:r>
    </w:p>
    <w:bookmarkEnd w:id="304"/>
    <w:bookmarkStart w:name="z337" w:id="305"/>
    <w:p>
      <w:pPr>
        <w:spacing w:after="0"/>
        <w:ind w:left="0"/>
        <w:jc w:val="both"/>
      </w:pPr>
      <w:r>
        <w:rPr>
          <w:rFonts w:ascii="Times New Roman"/>
          <w:b w:val="false"/>
          <w:i w:val="false"/>
          <w:color w:val="000000"/>
          <w:sz w:val="28"/>
        </w:rPr>
        <w:t>
      Планируемое увеличение финансирования сельского хозяйства и рост объемов производства зерновых культур создают дополнительные логистические нагрузки, требуют расширения возможностей для хранения зерна и более оперативной работы с экспортными контрактами. В условиях ограниченного внутреннего потребления и растущего объема ежегодных остатков (по итогам 2024 года 4,6 млн тонн, +78% к показателю 2023г.) это окажет давление на внутренний рынок и приведет к снижению цен на зерно, что негативно скажется на доходах СХТП.</w:t>
      </w:r>
    </w:p>
    <w:bookmarkEnd w:id="305"/>
    <w:bookmarkStart w:name="z338" w:id="306"/>
    <w:p>
      <w:pPr>
        <w:spacing w:after="0"/>
        <w:ind w:left="0"/>
        <w:jc w:val="both"/>
      </w:pPr>
      <w:r>
        <w:rPr>
          <w:rFonts w:ascii="Times New Roman"/>
          <w:b w:val="false"/>
          <w:i w:val="false"/>
          <w:color w:val="000000"/>
          <w:sz w:val="28"/>
        </w:rPr>
        <w:t>
      Учитывая изложенное, будет рассмотрена возможность создания специализированного торгового фонда при QIC, ориентированного на консолидацию ключевых игроков рынка растениеводства и развитие международной экспортной торговли казахстанской продукцией на рыночных условиях, с обеспечением СХТП стабильного и приемлемого уровня доходности.</w:t>
      </w:r>
    </w:p>
    <w:bookmarkEnd w:id="306"/>
    <w:bookmarkStart w:name="z339" w:id="307"/>
    <w:p>
      <w:pPr>
        <w:spacing w:after="0"/>
        <w:ind w:left="0"/>
        <w:jc w:val="both"/>
      </w:pPr>
      <w:r>
        <w:rPr>
          <w:rFonts w:ascii="Times New Roman"/>
          <w:b w:val="false"/>
          <w:i w:val="false"/>
          <w:color w:val="000000"/>
          <w:sz w:val="28"/>
        </w:rPr>
        <w:t>
      Такой фонд может стать платформой для объединения ведущих трейдеров, определяющих ценообразование на внутреннем рынке, с возможностью их участия как финансовыми средствами, так и материальными активами (вагонный парк, складские терминалы и другое имущество).</w:t>
      </w:r>
    </w:p>
    <w:bookmarkEnd w:id="307"/>
    <w:bookmarkStart w:name="z340" w:id="308"/>
    <w:p>
      <w:pPr>
        <w:spacing w:after="0"/>
        <w:ind w:left="0"/>
        <w:jc w:val="both"/>
      </w:pPr>
      <w:r>
        <w:rPr>
          <w:rFonts w:ascii="Times New Roman"/>
          <w:b w:val="false"/>
          <w:i w:val="false"/>
          <w:color w:val="000000"/>
          <w:sz w:val="28"/>
        </w:rPr>
        <w:t>
      В целях реализации экспортного потенциала АПК будет рассмотрена возможность распространения программы поддержки АО "ЭКА" на экспортеров сельскохозяйственной продукции.</w:t>
      </w:r>
    </w:p>
    <w:bookmarkEnd w:id="308"/>
    <w:bookmarkStart w:name="z341" w:id="309"/>
    <w:p>
      <w:pPr>
        <w:spacing w:after="0"/>
        <w:ind w:left="0"/>
        <w:jc w:val="left"/>
      </w:pPr>
      <w:r>
        <w:rPr>
          <w:rFonts w:ascii="Times New Roman"/>
          <w:b/>
          <w:i w:val="false"/>
          <w:color w:val="000000"/>
        </w:rPr>
        <w:t xml:space="preserve"> Глава 6. Стратегическое направление деятельности № 2 – Развитие экосистемы долевого финансирования</w:t>
      </w:r>
    </w:p>
    <w:bookmarkEnd w:id="309"/>
    <w:bookmarkStart w:name="z342" w:id="310"/>
    <w:p>
      <w:pPr>
        <w:spacing w:after="0"/>
        <w:ind w:left="0"/>
        <w:jc w:val="left"/>
      </w:pPr>
      <w:r>
        <w:rPr>
          <w:rFonts w:ascii="Times New Roman"/>
          <w:b/>
          <w:i w:val="false"/>
          <w:color w:val="000000"/>
        </w:rPr>
        <w:t xml:space="preserve"> Параграф 1. Развитие рынка долевого финансирования</w:t>
      </w:r>
    </w:p>
    <w:bookmarkEnd w:id="310"/>
    <w:bookmarkStart w:name="z343" w:id="311"/>
    <w:p>
      <w:pPr>
        <w:spacing w:after="0"/>
        <w:ind w:left="0"/>
        <w:jc w:val="both"/>
      </w:pPr>
      <w:r>
        <w:rPr>
          <w:rFonts w:ascii="Times New Roman"/>
          <w:b w:val="false"/>
          <w:i w:val="false"/>
          <w:color w:val="000000"/>
          <w:sz w:val="28"/>
        </w:rPr>
        <w:t>
      QIC является фондом фондов инвестиций и осуществляет инвестиции в фонды прямых инвестиций (включая кэптивные ФПИ), которые представляют собой высокорискованный класс активов с высокой вероятностью обесценения и утраты. Существенная волатильность справедливой стоимости таких активов оказывает значительное влияние на финансовые результаты, что может привести как к формированию высокого дохода, так и к значительным убыткам.</w:t>
      </w:r>
    </w:p>
    <w:bookmarkEnd w:id="311"/>
    <w:bookmarkStart w:name="z344" w:id="312"/>
    <w:p>
      <w:pPr>
        <w:spacing w:after="0"/>
        <w:ind w:left="0"/>
        <w:jc w:val="both"/>
      </w:pPr>
      <w:r>
        <w:rPr>
          <w:rFonts w:ascii="Times New Roman"/>
          <w:b w:val="false"/>
          <w:i w:val="false"/>
          <w:color w:val="000000"/>
          <w:sz w:val="28"/>
        </w:rPr>
        <w:t>
      Высокий уровень рисков инвестирования в ФПИ обусловлен применяемыми ими инструментами финансирования, включая инвестиции в уставный/акционерный капитал портфельных компаний, смешанное и долговое финансирование, в том числе мезонинные и субординированные займы. Применение таких инструментов, несмотря на их потенциальную доходность, требует глубокой экспертизы и строгого соблюдения норм действующего законодательства, а также внутренних регламентов общества, ФПИ и управляющих компаний.</w:t>
      </w:r>
    </w:p>
    <w:bookmarkEnd w:id="312"/>
    <w:bookmarkStart w:name="z345" w:id="313"/>
    <w:p>
      <w:pPr>
        <w:spacing w:after="0"/>
        <w:ind w:left="0"/>
        <w:jc w:val="both"/>
      </w:pPr>
      <w:r>
        <w:rPr>
          <w:rFonts w:ascii="Times New Roman"/>
          <w:b w:val="false"/>
          <w:i w:val="false"/>
          <w:color w:val="000000"/>
          <w:sz w:val="28"/>
        </w:rPr>
        <w:t>
      Ключевой вехой в развитии QIC должна стать трансформация его кэптивных управляющих компаний и фондов, предполагающая формирование подхода корпоративного финансирования с фокусом на ограниченное число крупных и качественных сделок, глубокую отраслевую специализацию, индивидуальный подход к структурированию и активное участие в управлении портфельными компаниями. При этом фокус будет ориентирован на работу со средним и крупным бизнесом, обладающим высоким потенциалом роста, масштабирования и влияния на развитие экономики.</w:t>
      </w:r>
    </w:p>
    <w:bookmarkEnd w:id="313"/>
    <w:bookmarkStart w:name="z346" w:id="314"/>
    <w:p>
      <w:pPr>
        <w:spacing w:after="0"/>
        <w:ind w:left="0"/>
        <w:jc w:val="both"/>
      </w:pPr>
      <w:r>
        <w:rPr>
          <w:rFonts w:ascii="Times New Roman"/>
          <w:b w:val="false"/>
          <w:i w:val="false"/>
          <w:color w:val="000000"/>
          <w:sz w:val="28"/>
        </w:rPr>
        <w:t xml:space="preserve">
      Планируется довести долю долевого финансирования до уровня не менее 70% от годового объема инвестиций. Это позволит QIC эффективно привлекать партнерские инвестиции, формировать собственный капитал проектов и обеспечивать их дальнейшее кредитное финансирование через другие институты холдинга и БВУ. Этот шаг укрепит роль QIC в развитии предпринимательства и создании устойчивой инвестиционной экосистемы холдинга. </w:t>
      </w:r>
    </w:p>
    <w:bookmarkEnd w:id="314"/>
    <w:bookmarkStart w:name="z347" w:id="315"/>
    <w:p>
      <w:pPr>
        <w:spacing w:after="0"/>
        <w:ind w:left="0"/>
        <w:jc w:val="both"/>
      </w:pPr>
      <w:r>
        <w:rPr>
          <w:rFonts w:ascii="Times New Roman"/>
          <w:b w:val="false"/>
          <w:i w:val="false"/>
          <w:color w:val="000000"/>
          <w:sz w:val="28"/>
        </w:rPr>
        <w:t>
      Иностранные инвестиции имеют стратегическое значение для экономики Казахстана, выступая ключевым источником капитализации, модернизации инфраструктуры и внедрения передовых технологий. Эффективное привлечение и использование иностранных инвестиций способствуют созданию новых рабочих мест и развитию инновационных предприятий с высокой добавленной стоимостью.</w:t>
      </w:r>
    </w:p>
    <w:bookmarkEnd w:id="315"/>
    <w:bookmarkStart w:name="z348" w:id="316"/>
    <w:p>
      <w:pPr>
        <w:spacing w:after="0"/>
        <w:ind w:left="0"/>
        <w:jc w:val="both"/>
      </w:pPr>
      <w:r>
        <w:rPr>
          <w:rFonts w:ascii="Times New Roman"/>
          <w:b w:val="false"/>
          <w:i w:val="false"/>
          <w:color w:val="000000"/>
          <w:sz w:val="28"/>
        </w:rPr>
        <w:t>
      По итогам 9 месяцев 2024 года валовой приток прямых иностранных инвестиций составил 12,7 млрд долл. США, что на 35,7 % ниже уровня аналогичного периода 2023 года. Несмотря на общее снижение, отдельные секторы продемонстрировали положительную динамику. Так, инвестиции в оптовую и розничную торговлю выросли на 10,7 %, достигнув 4,2 млрд долл. США. В секторе информации и связи отмечен рост на 7,4 % – до 343,9 млн долл. США, сектор электро- и теплоснабжения привлекли 228,9 млн долл. США, увеличившись на 46,1 %, а инвестиции в водоснабжение и водоотведение составили 11,1 млн долл. США, что на 40,7 % больше по сравнению с прошлым годом.</w:t>
      </w:r>
    </w:p>
    <w:bookmarkEnd w:id="316"/>
    <w:bookmarkStart w:name="z349"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18"/>
    <w:p>
      <w:pPr>
        <w:spacing w:after="0"/>
        <w:ind w:left="0"/>
        <w:jc w:val="both"/>
      </w:pPr>
      <w:r>
        <w:rPr>
          <w:rFonts w:ascii="Times New Roman"/>
          <w:b w:val="false"/>
          <w:i w:val="false"/>
          <w:color w:val="000000"/>
          <w:sz w:val="28"/>
        </w:rPr>
        <w:t>
      Рисунок 11. Прямые иностранные инвестиции в Республику Казахстан, 2013 – 9 месяцев 2024 годы</w:t>
      </w:r>
    </w:p>
    <w:bookmarkEnd w:id="318"/>
    <w:bookmarkStart w:name="z351" w:id="319"/>
    <w:p>
      <w:pPr>
        <w:spacing w:after="0"/>
        <w:ind w:left="0"/>
        <w:jc w:val="both"/>
      </w:pPr>
      <w:r>
        <w:rPr>
          <w:rFonts w:ascii="Times New Roman"/>
          <w:b w:val="false"/>
          <w:i w:val="false"/>
          <w:color w:val="000000"/>
          <w:sz w:val="28"/>
        </w:rPr>
        <w:t>
      Источник: НБ РК</w:t>
      </w:r>
    </w:p>
    <w:bookmarkEnd w:id="319"/>
    <w:bookmarkStart w:name="z352" w:id="320"/>
    <w:p>
      <w:pPr>
        <w:spacing w:after="0"/>
        <w:ind w:left="0"/>
        <w:jc w:val="both"/>
      </w:pPr>
      <w:r>
        <w:rPr>
          <w:rFonts w:ascii="Times New Roman"/>
          <w:b w:val="false"/>
          <w:i w:val="false"/>
          <w:color w:val="000000"/>
          <w:sz w:val="28"/>
        </w:rPr>
        <w:t>
      QIC является единственным участником рынка прямых инвестиций (далее – ПИ) в группе компаний АО "НУХ "Байтерек", чья миссия — привлечение ПИ и содействие устойчивому экономическому развитию Казахстана посредством долевого финансирования через фонды прямых инвестиций (далее – ФПИ).</w:t>
      </w:r>
    </w:p>
    <w:bookmarkEnd w:id="320"/>
    <w:bookmarkStart w:name="z353" w:id="321"/>
    <w:p>
      <w:pPr>
        <w:spacing w:after="0"/>
        <w:ind w:left="0"/>
        <w:jc w:val="both"/>
      </w:pPr>
      <w:r>
        <w:rPr>
          <w:rFonts w:ascii="Times New Roman"/>
          <w:b w:val="false"/>
          <w:i w:val="false"/>
          <w:color w:val="000000"/>
          <w:sz w:val="28"/>
        </w:rPr>
        <w:t xml:space="preserve">
      QIC осуществляет инвестиции и управление ФПИ в сотрудничестве с международными институциональными инвесторами, суверенными фондами и международными финансовыми организациями, нацеливаясь на дальнейший рост и повышение конкурентоспособности. QIC через ФПИ оказывает поддержку компаниям, соответствующим приоритетным направлениям государственной экономической политики. </w:t>
      </w:r>
    </w:p>
    <w:bookmarkEnd w:id="321"/>
    <w:bookmarkStart w:name="z354" w:id="322"/>
    <w:p>
      <w:pPr>
        <w:spacing w:after="0"/>
        <w:ind w:left="0"/>
        <w:jc w:val="both"/>
      </w:pPr>
      <w:r>
        <w:rPr>
          <w:rFonts w:ascii="Times New Roman"/>
          <w:b w:val="false"/>
          <w:i w:val="false"/>
          <w:color w:val="000000"/>
          <w:sz w:val="28"/>
        </w:rPr>
        <w:t>
      Другим важным направлением деятельности является участие в фондах прямых инвестиций под управлением международных управляющих компаний в партнерстве с ведущими игроками рынка. Это является стратегически обоснованным шагом, который позволит не только привлечь дополнительные прямые иностранные инвестиции, но и способствовать трансферту передовых технологий, а также внедрению лучших мировых практик управления капиталом в Казахстане. Такой подход усилит интеграцию национальной экономики в глобальные рынки и повысит конкурентоспособность отечественного бизнеса.</w:t>
      </w:r>
    </w:p>
    <w:bookmarkEnd w:id="322"/>
    <w:bookmarkStart w:name="z355" w:id="323"/>
    <w:p>
      <w:pPr>
        <w:spacing w:after="0"/>
        <w:ind w:left="0"/>
        <w:jc w:val="both"/>
      </w:pPr>
      <w:r>
        <w:rPr>
          <w:rFonts w:ascii="Times New Roman"/>
          <w:b w:val="false"/>
          <w:i w:val="false"/>
          <w:color w:val="000000"/>
          <w:sz w:val="28"/>
        </w:rPr>
        <w:t>
      Инвестиционный фокус QIC направлен на поддержку среднего и крупного бизнеса с высоким потенциалом роста, масштабирования и экспортоориентированности. Применение кластерного подхода к финансированию позволяет сосредоточить ресурсы в стратегически важных отраслях, ускоряя их развитие и создавая синергетический эффект между участниками рынка.</w:t>
      </w:r>
    </w:p>
    <w:bookmarkEnd w:id="323"/>
    <w:bookmarkStart w:name="z356" w:id="324"/>
    <w:p>
      <w:pPr>
        <w:spacing w:after="0"/>
        <w:ind w:left="0"/>
        <w:jc w:val="both"/>
      </w:pPr>
      <w:r>
        <w:rPr>
          <w:rFonts w:ascii="Times New Roman"/>
          <w:b w:val="false"/>
          <w:i w:val="false"/>
          <w:color w:val="000000"/>
          <w:sz w:val="28"/>
        </w:rPr>
        <w:t xml:space="preserve">
      Одновременно с этим происходит переход от льготных механизмов финансирования к рыночным условиям, что способствует повышению устойчивости портфельных компаний и делает их более привлекательными для международных инвесторов. </w:t>
      </w:r>
    </w:p>
    <w:bookmarkEnd w:id="324"/>
    <w:bookmarkStart w:name="z357" w:id="325"/>
    <w:p>
      <w:pPr>
        <w:spacing w:after="0"/>
        <w:ind w:left="0"/>
        <w:jc w:val="both"/>
      </w:pPr>
      <w:r>
        <w:rPr>
          <w:rFonts w:ascii="Times New Roman"/>
          <w:b w:val="false"/>
          <w:i w:val="false"/>
          <w:color w:val="000000"/>
          <w:sz w:val="28"/>
        </w:rPr>
        <w:t>
      Комплексный подход QIC формирует долгосрочную, конкурентоспособную инвестиционную среду, открывая новые возможности для привлечения капитала и реализации масштабных инициатив.</w:t>
      </w:r>
    </w:p>
    <w:bookmarkEnd w:id="325"/>
    <w:bookmarkStart w:name="z358" w:id="326"/>
    <w:p>
      <w:pPr>
        <w:spacing w:after="0"/>
        <w:ind w:left="0"/>
        <w:jc w:val="both"/>
      </w:pPr>
      <w:r>
        <w:rPr>
          <w:rFonts w:ascii="Times New Roman"/>
          <w:b w:val="false"/>
          <w:i w:val="false"/>
          <w:color w:val="000000"/>
          <w:sz w:val="28"/>
        </w:rPr>
        <w:t>
      В рамках содействия устойчивому экономическому развитию Казахстана QIC использует потенциал прямых инвестиций для формирования лидирующих на рынке компаний, способствующих экономической диверсификации страны. QIC фокусируется на поддержке среднего и крупного бизнеса с высоким потенциалом роста на региональном рынке и значительным экспортным потенциалом, а также способствует развитию устойчивых компаний, внедряющих признанные экологические, социальные и управленческие стандарты (ESG).</w:t>
      </w:r>
    </w:p>
    <w:bookmarkEnd w:id="326"/>
    <w:bookmarkStart w:name="z359" w:id="327"/>
    <w:p>
      <w:pPr>
        <w:spacing w:after="0"/>
        <w:ind w:left="0"/>
        <w:jc w:val="both"/>
      </w:pPr>
      <w:r>
        <w:rPr>
          <w:rFonts w:ascii="Times New Roman"/>
          <w:b w:val="false"/>
          <w:i w:val="false"/>
          <w:color w:val="000000"/>
          <w:sz w:val="28"/>
        </w:rPr>
        <w:t xml:space="preserve">
      По состоянию на конец 2024 года количество фондов прямых инвестиций с участием QIC достигло 18, с совокупным объемом средств под управлением 1,9 млрд долл. США. </w:t>
      </w:r>
    </w:p>
    <w:bookmarkEnd w:id="327"/>
    <w:bookmarkStart w:name="z360" w:id="328"/>
    <w:p>
      <w:pPr>
        <w:spacing w:after="0"/>
        <w:ind w:left="0"/>
        <w:jc w:val="both"/>
      </w:pPr>
      <w:r>
        <w:rPr>
          <w:rFonts w:ascii="Times New Roman"/>
          <w:b w:val="false"/>
          <w:i w:val="false"/>
          <w:color w:val="000000"/>
          <w:sz w:val="28"/>
        </w:rPr>
        <w:t>
      Дальнейшее развитие рынка ПИ в стране способствует повышению инвестиционной привлекательности Казахстана, получению доступа к капиталу, имеющемуся на глобальном рынке ПИ, и позволит создать лидирующие компании на рынке, которые в свою очередь смогут в дальнейшем способствовать экономической диверсификации.</w:t>
      </w:r>
    </w:p>
    <w:bookmarkEnd w:id="328"/>
    <w:bookmarkStart w:name="z361" w:id="329"/>
    <w:p>
      <w:pPr>
        <w:spacing w:after="0"/>
        <w:ind w:left="0"/>
        <w:jc w:val="left"/>
      </w:pPr>
      <w:r>
        <w:rPr>
          <w:rFonts w:ascii="Times New Roman"/>
          <w:b/>
          <w:i w:val="false"/>
          <w:color w:val="000000"/>
        </w:rPr>
        <w:t xml:space="preserve"> Параграф 2. Развитие кэптивных управляющих компаний</w:t>
      </w:r>
    </w:p>
    <w:bookmarkEnd w:id="329"/>
    <w:bookmarkStart w:name="z362" w:id="330"/>
    <w:p>
      <w:pPr>
        <w:spacing w:after="0"/>
        <w:ind w:left="0"/>
        <w:jc w:val="both"/>
      </w:pPr>
      <w:r>
        <w:rPr>
          <w:rFonts w:ascii="Times New Roman"/>
          <w:b w:val="false"/>
          <w:i w:val="false"/>
          <w:color w:val="000000"/>
          <w:sz w:val="28"/>
        </w:rPr>
        <w:t>
      Современные квазигосударственные ФПИ стремятся к переходу на рыночную структуру управления, что способствует их устойчивости, повышает привлекательность для внешних инвесторов и открывает новые возможности для эффективного управления активами. Такой подход позволяет масштабировать деятельность, усиливая позиции на рынке и закрепляя статус ведущего игрока в сфере инвестиций.</w:t>
      </w:r>
    </w:p>
    <w:bookmarkEnd w:id="330"/>
    <w:bookmarkStart w:name="z363" w:id="331"/>
    <w:p>
      <w:pPr>
        <w:spacing w:after="0"/>
        <w:ind w:left="0"/>
        <w:jc w:val="both"/>
      </w:pPr>
      <w:r>
        <w:rPr>
          <w:rFonts w:ascii="Times New Roman"/>
          <w:b w:val="false"/>
          <w:i w:val="false"/>
          <w:color w:val="000000"/>
          <w:sz w:val="28"/>
        </w:rPr>
        <w:t xml:space="preserve">
      В рамках трансформации реализуется переход от закрытых корпоративных структур к модели управляющих компаний, которые привлекают капитал от сторонних инвесторов. Эта эволюция обеспечивает диверсификацию активов, снижает инвестиционные риски и делает модель управления более устойчивой. </w:t>
      </w:r>
    </w:p>
    <w:bookmarkEnd w:id="331"/>
    <w:bookmarkStart w:name="z364" w:id="332"/>
    <w:p>
      <w:pPr>
        <w:spacing w:after="0"/>
        <w:ind w:left="0"/>
        <w:jc w:val="both"/>
      </w:pPr>
      <w:r>
        <w:rPr>
          <w:rFonts w:ascii="Times New Roman"/>
          <w:b w:val="false"/>
          <w:i w:val="false"/>
          <w:color w:val="000000"/>
          <w:sz w:val="28"/>
        </w:rPr>
        <w:t>
      Кроме того, переход к лучшей международной практике управления фондами прямых инвестиций позволяет внедрять передовые практики, привлекать капитал от внешних инвесторов и повышать уровень профессионального управления активами. Это способствует созданию конкурентоспособной инвестиционной экосистемы, способной эффективно работать в долгосрочной перспективе и соответствовать международным стандартам.</w:t>
      </w:r>
    </w:p>
    <w:bookmarkEnd w:id="332"/>
    <w:bookmarkStart w:name="z365" w:id="333"/>
    <w:p>
      <w:pPr>
        <w:spacing w:after="0"/>
        <w:ind w:left="0"/>
        <w:jc w:val="left"/>
      </w:pPr>
      <w:r>
        <w:rPr>
          <w:rFonts w:ascii="Times New Roman"/>
          <w:b/>
          <w:i w:val="false"/>
          <w:color w:val="000000"/>
        </w:rPr>
        <w:t xml:space="preserve"> Параграф 3. Развитие рынка венчурного финансирования</w:t>
      </w:r>
    </w:p>
    <w:bookmarkEnd w:id="333"/>
    <w:bookmarkStart w:name="z366" w:id="334"/>
    <w:p>
      <w:pPr>
        <w:spacing w:after="0"/>
        <w:ind w:left="0"/>
        <w:jc w:val="both"/>
      </w:pPr>
      <w:r>
        <w:rPr>
          <w:rFonts w:ascii="Times New Roman"/>
          <w:b w:val="false"/>
          <w:i w:val="false"/>
          <w:color w:val="000000"/>
          <w:sz w:val="28"/>
        </w:rPr>
        <w:t>
      Венчурное финансирование – это инструмент финансирования в форме прямых инвестиций, которое предоставляется фирмами или фондами венчурного капитала стартапам, компаниям, находящимся на ранней стадии развития, и развивающимся компаниям, которые обладают высоким потенциалом роста или продемонстрировали высокие темпы роста.</w:t>
      </w:r>
    </w:p>
    <w:bookmarkEnd w:id="334"/>
    <w:bookmarkStart w:name="z367" w:id="335"/>
    <w:p>
      <w:pPr>
        <w:spacing w:after="0"/>
        <w:ind w:left="0"/>
        <w:jc w:val="both"/>
      </w:pPr>
      <w:r>
        <w:rPr>
          <w:rFonts w:ascii="Times New Roman"/>
          <w:b w:val="false"/>
          <w:i w:val="false"/>
          <w:color w:val="000000"/>
          <w:sz w:val="28"/>
        </w:rPr>
        <w:t>
      В 2024 году по оценкам общий объем венчурного финансирования в мире составил около 368,3 млрд долл. США, что на 5 % превышает показатель 2023 года (349,4 млрд долл. США).</w:t>
      </w:r>
    </w:p>
    <w:bookmarkEnd w:id="335"/>
    <w:bookmarkStart w:name="z368" w:id="336"/>
    <w:p>
      <w:pPr>
        <w:spacing w:after="0"/>
        <w:ind w:left="0"/>
        <w:jc w:val="both"/>
      </w:pPr>
      <w:r>
        <w:rPr>
          <w:rFonts w:ascii="Times New Roman"/>
          <w:b w:val="false"/>
          <w:i w:val="false"/>
          <w:color w:val="000000"/>
          <w:sz w:val="28"/>
        </w:rPr>
        <w:t>
      Американский рынок продолжает доминировать, на него пришлось 57 % глобального объема венчурного финансирования — порядка 209 млрд долл. США, что на 29 % выше уровня 2023 года. В то же время в Европе наблюдалось сокращение венчурных вложений на 8 % — с 67,6 млрд до 62,4 млрд долл. США, а в Азиатско-Тихоокеанском регионе объем инвестиций уменьшился до 78,8 млрд долл. США.</w:t>
      </w:r>
    </w:p>
    <w:bookmarkEnd w:id="336"/>
    <w:bookmarkStart w:name="z369" w:id="337"/>
    <w:p>
      <w:pPr>
        <w:spacing w:after="0"/>
        <w:ind w:left="0"/>
        <w:jc w:val="both"/>
      </w:pPr>
      <w:r>
        <w:rPr>
          <w:rFonts w:ascii="Times New Roman"/>
          <w:b w:val="false"/>
          <w:i w:val="false"/>
          <w:color w:val="000000"/>
          <w:sz w:val="28"/>
        </w:rPr>
        <w:t>
      IV квартал 2024 года стал рекордным за последние полтора года по объему венчурных инвестиций во многом благодаря высокому интересу к технологиям искусственного интеллекта. AI-сектор привлек значительную долю инвестиций, превысив 32 млрд долл. США.</w:t>
      </w:r>
    </w:p>
    <w:bookmarkEnd w:id="337"/>
    <w:bookmarkStart w:name="z370" w:id="338"/>
    <w:p>
      <w:pPr>
        <w:spacing w:after="0"/>
        <w:ind w:left="0"/>
        <w:jc w:val="both"/>
      </w:pPr>
      <w:r>
        <w:rPr>
          <w:rFonts w:ascii="Times New Roman"/>
          <w:b w:val="false"/>
          <w:i w:val="false"/>
          <w:color w:val="000000"/>
          <w:sz w:val="28"/>
        </w:rPr>
        <w:t>
      Венчурные инвестиции остаются важнейшим драйвером долгосрочного экономического роста. За последние 50 лет половина американских компаний, вышедших на IPO, развивалась при поддержке венчурного капитала, а 8 из 10 крупнейших компаний США по рыночной капитализации в разные периоды своего становления получали венчурное финансирование.</w:t>
      </w:r>
    </w:p>
    <w:bookmarkEnd w:id="338"/>
    <w:bookmarkStart w:name="z371" w:id="339"/>
    <w:p>
      <w:pPr>
        <w:spacing w:after="0"/>
        <w:ind w:left="0"/>
        <w:jc w:val="both"/>
      </w:pPr>
      <w:r>
        <w:rPr>
          <w:rFonts w:ascii="Times New Roman"/>
          <w:b w:val="false"/>
          <w:i w:val="false"/>
          <w:color w:val="000000"/>
          <w:sz w:val="28"/>
        </w:rPr>
        <w:t>
      В мировой практике венчурный бизнес является основным источником финансирования в инновационные разработки и коммерциализацию технологий. При этом ключевую роль в развитии рынка венчурного капитала в мире на первых этапах осуществляет государство через софинансирование венчурных фондов, предоставление льгот и снижение налогового бремени для инновационных фирм и венчурных предприятий.</w:t>
      </w:r>
    </w:p>
    <w:bookmarkEnd w:id="339"/>
    <w:bookmarkStart w:name="z372" w:id="340"/>
    <w:p>
      <w:pPr>
        <w:spacing w:after="0"/>
        <w:ind w:left="0"/>
        <w:jc w:val="both"/>
      </w:pPr>
      <w:r>
        <w:rPr>
          <w:rFonts w:ascii="Times New Roman"/>
          <w:b w:val="false"/>
          <w:i w:val="false"/>
          <w:color w:val="000000"/>
          <w:sz w:val="28"/>
        </w:rPr>
        <w:t>
      QIC, как фонд фондов, имеет возможность сотрудничества с глобальными венчурными фондами, что поможет в дальнейшем повысить привлекательность казахстанских проектов на глобальном рынке. QIC будет участвовать в развитии сегмента венчурного финансирования с фокусом на инвестиции в ранних стадиях и стадиях роста.</w:t>
      </w:r>
    </w:p>
    <w:bookmarkEnd w:id="340"/>
    <w:bookmarkStart w:name="z373" w:id="341"/>
    <w:p>
      <w:pPr>
        <w:spacing w:after="0"/>
        <w:ind w:left="0"/>
        <w:jc w:val="both"/>
      </w:pPr>
      <w:r>
        <w:rPr>
          <w:rFonts w:ascii="Times New Roman"/>
          <w:b w:val="false"/>
          <w:i w:val="false"/>
          <w:color w:val="000000"/>
          <w:sz w:val="28"/>
        </w:rPr>
        <w:t xml:space="preserve">
      В рамках развития направления венчурного финансирования QIC выступит в качестве оператора программы софинансирования частных венчурных фондов, будет обеспечивать их сопровождение, содействовать распространению стандартов, лучших практик и аналитических обзоров деятельности профессиональных участников венчурного рынка для обеспечения постепенной интеграции в глобальную экосистему инноваций. </w:t>
      </w:r>
    </w:p>
    <w:bookmarkEnd w:id="341"/>
    <w:bookmarkStart w:name="z374" w:id="342"/>
    <w:p>
      <w:pPr>
        <w:spacing w:after="0"/>
        <w:ind w:left="0"/>
        <w:jc w:val="both"/>
      </w:pPr>
      <w:r>
        <w:rPr>
          <w:rFonts w:ascii="Times New Roman"/>
          <w:b w:val="false"/>
          <w:i w:val="false"/>
          <w:color w:val="000000"/>
          <w:sz w:val="28"/>
        </w:rPr>
        <w:t>
      Это будет достигнуто путем создания и участия в венчурных фондах</w:t>
      </w:r>
      <w:r>
        <w:rPr>
          <w:rFonts w:ascii="Times New Roman"/>
          <w:b/>
          <w:i w:val="false"/>
          <w:color w:val="000000"/>
          <w:sz w:val="28"/>
        </w:rPr>
        <w:t xml:space="preserve">, </w:t>
      </w:r>
      <w:r>
        <w:rPr>
          <w:rFonts w:ascii="Times New Roman"/>
          <w:b w:val="false"/>
          <w:i w:val="false"/>
          <w:color w:val="000000"/>
          <w:sz w:val="28"/>
        </w:rPr>
        <w:t>развития венчурного подразделения QIC – компании BGlobal Ventures в качестве управляющей компании с созданием и развитием венчурных фондов, ориентированных на финансирование технологических стартапов на ранних стадиях от предпосевного раунда до раунда A и последующих этапов. Также предусмотрены проведение образовательных программ для всех субъектов венчурной экосистемы и активное участие в мероприятиях, направленных на популяризацию венчурного финансирования</w:t>
      </w:r>
      <w:r>
        <w:rPr>
          <w:rFonts w:ascii="Times New Roman"/>
          <w:b/>
          <w:i w:val="false"/>
          <w:color w:val="000000"/>
          <w:sz w:val="28"/>
        </w:rPr>
        <w:t>.</w:t>
      </w:r>
    </w:p>
    <w:bookmarkEnd w:id="342"/>
    <w:bookmarkStart w:name="z375" w:id="343"/>
    <w:p>
      <w:pPr>
        <w:spacing w:after="0"/>
        <w:ind w:left="0"/>
        <w:jc w:val="left"/>
      </w:pPr>
      <w:r>
        <w:rPr>
          <w:rFonts w:ascii="Times New Roman"/>
          <w:b/>
          <w:i w:val="false"/>
          <w:color w:val="000000"/>
        </w:rPr>
        <w:t xml:space="preserve"> Параграф 4. Развитие рынка стрессовых активов</w:t>
      </w:r>
    </w:p>
    <w:bookmarkEnd w:id="343"/>
    <w:bookmarkStart w:name="z376" w:id="344"/>
    <w:p>
      <w:pPr>
        <w:spacing w:after="0"/>
        <w:ind w:left="0"/>
        <w:jc w:val="both"/>
      </w:pPr>
      <w:r>
        <w:rPr>
          <w:rFonts w:ascii="Times New Roman"/>
          <w:b w:val="false"/>
          <w:i w:val="false"/>
          <w:color w:val="000000"/>
          <w:sz w:val="28"/>
        </w:rPr>
        <w:t>
      В соответствии с поручением Президента Республики Казахстан, озвученным на заключительном заседании Государственной комиссии по чрезвычайному положению от 11 мая 2020 года, необходимо создание цивилизованного рынка неработающих активов.</w:t>
      </w:r>
    </w:p>
    <w:bookmarkEnd w:id="344"/>
    <w:bookmarkStart w:name="z377" w:id="345"/>
    <w:p>
      <w:pPr>
        <w:spacing w:after="0"/>
        <w:ind w:left="0"/>
        <w:jc w:val="both"/>
      </w:pPr>
      <w:r>
        <w:rPr>
          <w:rFonts w:ascii="Times New Roman"/>
          <w:b w:val="false"/>
          <w:i w:val="false"/>
          <w:color w:val="000000"/>
          <w:sz w:val="28"/>
        </w:rPr>
        <w:t xml:space="preserve">
      Рынок стрессовых активов в Казахстане не имеет активных участников в лице специализированных управляющих фондов. Тем не менее, размер рынка стрессовых активов значительно большой и обладает высоким потенциалом для развития. В основном он представлен коммерческими банками и государственными фондами. </w:t>
      </w:r>
    </w:p>
    <w:bookmarkEnd w:id="345"/>
    <w:bookmarkStart w:name="z378" w:id="346"/>
    <w:p>
      <w:pPr>
        <w:spacing w:after="0"/>
        <w:ind w:left="0"/>
        <w:jc w:val="both"/>
      </w:pPr>
      <w:r>
        <w:rPr>
          <w:rFonts w:ascii="Times New Roman"/>
          <w:b w:val="false"/>
          <w:i w:val="false"/>
          <w:color w:val="000000"/>
          <w:sz w:val="28"/>
        </w:rPr>
        <w:t>
      Рынок стрессовых активов Казахстана проходит этап активной трансформации, направленной на снижение уровня проблемных активов, повышение прозрачности сделок и вовлечение новых инвесторов. Государственная поддержка, цифровизация и привлечение частного капитала играют ключевую роль в его развитии. По состоянию на июль 2024 года объем стрессовых активов в Казахстане оценивался в 3,2 трлн тенге, что значительно ниже показателя 2017 года в 7,7 трлн тенге.</w:t>
      </w:r>
    </w:p>
    <w:bookmarkEnd w:id="346"/>
    <w:bookmarkStart w:name="z379" w:id="347"/>
    <w:p>
      <w:pPr>
        <w:spacing w:after="0"/>
        <w:ind w:left="0"/>
        <w:jc w:val="both"/>
      </w:pPr>
      <w:r>
        <w:rPr>
          <w:rFonts w:ascii="Times New Roman"/>
          <w:b w:val="false"/>
          <w:i w:val="false"/>
          <w:color w:val="000000"/>
          <w:sz w:val="28"/>
        </w:rPr>
        <w:t>
      С целью привлечения частных инвесторов на этот рынок законодательно предусмотрено расширение списка покупателей стрессовых активов путем включения частных инвесторов, в том числе нерезидентов. Это создает рыночный механизм очистки балансов банков от неработающих кредитов, а также обеспечивает доступ на рынок стрессовых активов новых инвесторов, включая международных.</w:t>
      </w:r>
    </w:p>
    <w:bookmarkEnd w:id="347"/>
    <w:bookmarkStart w:name="z380" w:id="348"/>
    <w:p>
      <w:pPr>
        <w:spacing w:after="0"/>
        <w:ind w:left="0"/>
        <w:jc w:val="both"/>
      </w:pPr>
      <w:r>
        <w:rPr>
          <w:rFonts w:ascii="Times New Roman"/>
          <w:b w:val="false"/>
          <w:i w:val="false"/>
          <w:color w:val="000000"/>
          <w:sz w:val="28"/>
        </w:rPr>
        <w:t xml:space="preserve">
      Однако стоит отметить, что на данный момент рынок стрессовых активов нуждается в хорошо продуманной нормативной базе, инфраструктуре по восстановлению неработающих займов и структурированной методологии в отношении коммерческих условий для улучшения сотрудничества между государственными фондами и БВУ. </w:t>
      </w:r>
    </w:p>
    <w:bookmarkEnd w:id="348"/>
    <w:bookmarkStart w:name="z381" w:id="349"/>
    <w:p>
      <w:pPr>
        <w:spacing w:after="0"/>
        <w:ind w:left="0"/>
        <w:jc w:val="both"/>
      </w:pPr>
      <w:r>
        <w:rPr>
          <w:rFonts w:ascii="Times New Roman"/>
          <w:b w:val="false"/>
          <w:i w:val="false"/>
          <w:color w:val="000000"/>
          <w:sz w:val="28"/>
        </w:rPr>
        <w:t>
      В целях развития рынка стрессовых активов QIC будет участвовать в фондах с инвестиционным мандатом инвестирования в стрессовые активы, а именно в компании, которые испытывают проблемы с ликвидностью и нуждаются в дополнительном капитале для реструктуризации и осуществления операционных изменений. Для эффективного управления доступным капиталом средств, выделенных для инвестирования в данный сегмент, QIC планирует привлекать независимых и опытных управляющих партнеров, которые будут инвестировать в компании с надежной бизнес-моделью и существенной внутренней стоимостью (intrinsic value).</w:t>
      </w:r>
    </w:p>
    <w:bookmarkEnd w:id="349"/>
    <w:bookmarkStart w:name="z382" w:id="350"/>
    <w:p>
      <w:pPr>
        <w:spacing w:after="0"/>
        <w:ind w:left="0"/>
        <w:jc w:val="left"/>
      </w:pPr>
      <w:r>
        <w:rPr>
          <w:rFonts w:ascii="Times New Roman"/>
          <w:b/>
          <w:i w:val="false"/>
          <w:color w:val="000000"/>
        </w:rPr>
        <w:t xml:space="preserve"> Глава 7. Стратегическое направление деятельности № 3 – Обеспечение населения жильем</w:t>
      </w:r>
    </w:p>
    <w:bookmarkEnd w:id="350"/>
    <w:bookmarkStart w:name="z383" w:id="351"/>
    <w:p>
      <w:pPr>
        <w:spacing w:after="0"/>
        <w:ind w:left="0"/>
        <w:jc w:val="both"/>
      </w:pPr>
      <w:r>
        <w:rPr>
          <w:rFonts w:ascii="Times New Roman"/>
          <w:b w:val="false"/>
          <w:i w:val="false"/>
          <w:color w:val="000000"/>
          <w:sz w:val="28"/>
        </w:rPr>
        <w:t>
      Деятельность АО "НУХ "Байтерек" по повышению доступности жилья реализуется ДО - Отбасы банк и КЖК, которые в рамках Концепции развития жилищно-коммунальной инфраструктуры (далее - Концепция) и Национального проекта "Модернизация энергетического и коммунального секторов" оказывают поддержку в виде:</w:t>
      </w:r>
    </w:p>
    <w:bookmarkEnd w:id="351"/>
    <w:bookmarkStart w:name="z384" w:id="352"/>
    <w:p>
      <w:pPr>
        <w:spacing w:after="0"/>
        <w:ind w:left="0"/>
        <w:jc w:val="both"/>
      </w:pPr>
      <w:r>
        <w:rPr>
          <w:rFonts w:ascii="Times New Roman"/>
          <w:b w:val="false"/>
          <w:i w:val="false"/>
          <w:color w:val="000000"/>
          <w:sz w:val="28"/>
        </w:rPr>
        <w:t>
      1) финансирования проектов через выкуп облигаций МИО:</w:t>
      </w:r>
    </w:p>
    <w:bookmarkEnd w:id="352"/>
    <w:bookmarkStart w:name="z385" w:id="353"/>
    <w:p>
      <w:pPr>
        <w:spacing w:after="0"/>
        <w:ind w:left="0"/>
        <w:jc w:val="both"/>
      </w:pPr>
      <w:r>
        <w:rPr>
          <w:rFonts w:ascii="Times New Roman"/>
          <w:b w:val="false"/>
          <w:i w:val="false"/>
          <w:color w:val="000000"/>
          <w:sz w:val="28"/>
        </w:rPr>
        <w:t>
      строительства и/или приобретения социального жилья для очередников МИО;</w:t>
      </w:r>
    </w:p>
    <w:bookmarkEnd w:id="353"/>
    <w:bookmarkStart w:name="z386" w:id="354"/>
    <w:p>
      <w:pPr>
        <w:spacing w:after="0"/>
        <w:ind w:left="0"/>
        <w:jc w:val="both"/>
      </w:pPr>
      <w:r>
        <w:rPr>
          <w:rFonts w:ascii="Times New Roman"/>
          <w:b w:val="false"/>
          <w:i w:val="false"/>
          <w:color w:val="000000"/>
          <w:sz w:val="28"/>
        </w:rPr>
        <w:t>
      реновации жилищного фонда;</w:t>
      </w:r>
    </w:p>
    <w:bookmarkEnd w:id="354"/>
    <w:bookmarkStart w:name="z387" w:id="355"/>
    <w:p>
      <w:pPr>
        <w:spacing w:after="0"/>
        <w:ind w:left="0"/>
        <w:jc w:val="both"/>
      </w:pPr>
      <w:r>
        <w:rPr>
          <w:rFonts w:ascii="Times New Roman"/>
          <w:b w:val="false"/>
          <w:i w:val="false"/>
          <w:color w:val="000000"/>
          <w:sz w:val="28"/>
        </w:rPr>
        <w:t>
      приобретения жилья для его последующего предоставления в аренду с правом приватизации очередникам МИО;</w:t>
      </w:r>
    </w:p>
    <w:bookmarkEnd w:id="355"/>
    <w:bookmarkStart w:name="z388" w:id="356"/>
    <w:p>
      <w:pPr>
        <w:spacing w:after="0"/>
        <w:ind w:left="0"/>
        <w:jc w:val="both"/>
      </w:pPr>
      <w:r>
        <w:rPr>
          <w:rFonts w:ascii="Times New Roman"/>
          <w:b w:val="false"/>
          <w:i w:val="false"/>
          <w:color w:val="000000"/>
          <w:sz w:val="28"/>
        </w:rPr>
        <w:t>
      строительства и модернизации инженерно-коммуникационной инфраструктуры.</w:t>
      </w:r>
    </w:p>
    <w:bookmarkEnd w:id="356"/>
    <w:bookmarkStart w:name="z389" w:id="357"/>
    <w:p>
      <w:pPr>
        <w:spacing w:after="0"/>
        <w:ind w:left="0"/>
        <w:jc w:val="both"/>
      </w:pPr>
      <w:r>
        <w:rPr>
          <w:rFonts w:ascii="Times New Roman"/>
          <w:b w:val="false"/>
          <w:i w:val="false"/>
          <w:color w:val="000000"/>
          <w:sz w:val="28"/>
        </w:rPr>
        <w:t>
      2) субсидирования кредитов частных застройщиков;</w:t>
      </w:r>
    </w:p>
    <w:bookmarkEnd w:id="357"/>
    <w:bookmarkStart w:name="z390" w:id="358"/>
    <w:p>
      <w:pPr>
        <w:spacing w:after="0"/>
        <w:ind w:left="0"/>
        <w:jc w:val="both"/>
      </w:pPr>
      <w:r>
        <w:rPr>
          <w:rFonts w:ascii="Times New Roman"/>
          <w:b w:val="false"/>
          <w:i w:val="false"/>
          <w:color w:val="000000"/>
          <w:sz w:val="28"/>
        </w:rPr>
        <w:t>
      3) гарантирования долевого жилищного строительства, в том числе по проектам индивидуального и малоэтажного строительства и проектам реновации жилья;</w:t>
      </w:r>
    </w:p>
    <w:bookmarkEnd w:id="358"/>
    <w:bookmarkStart w:name="z391" w:id="359"/>
    <w:p>
      <w:pPr>
        <w:spacing w:after="0"/>
        <w:ind w:left="0"/>
        <w:jc w:val="both"/>
      </w:pPr>
      <w:r>
        <w:rPr>
          <w:rFonts w:ascii="Times New Roman"/>
          <w:b w:val="false"/>
          <w:i w:val="false"/>
          <w:color w:val="000000"/>
          <w:sz w:val="28"/>
        </w:rPr>
        <w:t>
      4) финансирования градостроительных инвестиционных проектов, индивидуального и малоэтажного жилищного строительства в регионах;</w:t>
      </w:r>
    </w:p>
    <w:bookmarkEnd w:id="359"/>
    <w:bookmarkStart w:name="z392" w:id="360"/>
    <w:p>
      <w:pPr>
        <w:spacing w:after="0"/>
        <w:ind w:left="0"/>
        <w:jc w:val="both"/>
      </w:pPr>
      <w:r>
        <w:rPr>
          <w:rFonts w:ascii="Times New Roman"/>
          <w:b w:val="false"/>
          <w:i w:val="false"/>
          <w:color w:val="000000"/>
          <w:sz w:val="28"/>
        </w:rPr>
        <w:t>
      5) приобретения арендного жилья и управления фондом арендного жилья;</w:t>
      </w:r>
    </w:p>
    <w:bookmarkEnd w:id="360"/>
    <w:bookmarkStart w:name="z393" w:id="361"/>
    <w:p>
      <w:pPr>
        <w:spacing w:after="0"/>
        <w:ind w:left="0"/>
        <w:jc w:val="both"/>
      </w:pPr>
      <w:r>
        <w:rPr>
          <w:rFonts w:ascii="Times New Roman"/>
          <w:b w:val="false"/>
          <w:i w:val="false"/>
          <w:color w:val="000000"/>
          <w:sz w:val="28"/>
        </w:rPr>
        <w:t>
      6) выдачи займов для покупки жилья и субсидирования арендной платы;</w:t>
      </w:r>
    </w:p>
    <w:bookmarkEnd w:id="361"/>
    <w:bookmarkStart w:name="z394" w:id="362"/>
    <w:p>
      <w:pPr>
        <w:spacing w:after="0"/>
        <w:ind w:left="0"/>
        <w:jc w:val="both"/>
      </w:pPr>
      <w:r>
        <w:rPr>
          <w:rFonts w:ascii="Times New Roman"/>
          <w:b w:val="false"/>
          <w:i w:val="false"/>
          <w:color w:val="000000"/>
          <w:sz w:val="28"/>
        </w:rPr>
        <w:t>
      7) мастер-планирования территорий;</w:t>
      </w:r>
    </w:p>
    <w:bookmarkEnd w:id="362"/>
    <w:bookmarkStart w:name="z395" w:id="363"/>
    <w:p>
      <w:pPr>
        <w:spacing w:after="0"/>
        <w:ind w:left="0"/>
        <w:jc w:val="both"/>
      </w:pPr>
      <w:r>
        <w:rPr>
          <w:rFonts w:ascii="Times New Roman"/>
          <w:b w:val="false"/>
          <w:i w:val="false"/>
          <w:color w:val="000000"/>
          <w:sz w:val="28"/>
        </w:rPr>
        <w:t>
      8) развития рыночных ипотечных инструментов;</w:t>
      </w:r>
    </w:p>
    <w:bookmarkEnd w:id="363"/>
    <w:bookmarkStart w:name="z396" w:id="364"/>
    <w:p>
      <w:pPr>
        <w:spacing w:after="0"/>
        <w:ind w:left="0"/>
        <w:jc w:val="both"/>
      </w:pPr>
      <w:r>
        <w:rPr>
          <w:rFonts w:ascii="Times New Roman"/>
          <w:b w:val="false"/>
          <w:i w:val="false"/>
          <w:color w:val="000000"/>
          <w:sz w:val="28"/>
        </w:rPr>
        <w:t>
      9) осуществления функции по постановке на учет, ведению и распределению жилища.</w:t>
      </w:r>
    </w:p>
    <w:bookmarkEnd w:id="364"/>
    <w:bookmarkStart w:name="z397" w:id="365"/>
    <w:p>
      <w:pPr>
        <w:spacing w:after="0"/>
        <w:ind w:left="0"/>
        <w:jc w:val="both"/>
      </w:pPr>
      <w:r>
        <w:rPr>
          <w:rFonts w:ascii="Times New Roman"/>
          <w:b w:val="false"/>
          <w:i w:val="false"/>
          <w:color w:val="000000"/>
          <w:sz w:val="28"/>
        </w:rPr>
        <w:t xml:space="preserve">
      Ввиду зависимости роста экономики Казахстана от урбанизации населения в будущем повышение доступности жилья является одним из ключевых направлений развития экономики. Доступность жилья наряду с занятостью населения является главным фактором для успешной реализации реального экономического роста страны. </w:t>
      </w:r>
    </w:p>
    <w:bookmarkEnd w:id="365"/>
    <w:bookmarkStart w:name="z398" w:id="366"/>
    <w:p>
      <w:pPr>
        <w:spacing w:after="0"/>
        <w:ind w:left="0"/>
        <w:jc w:val="both"/>
      </w:pPr>
      <w:r>
        <w:rPr>
          <w:rFonts w:ascii="Times New Roman"/>
          <w:b w:val="false"/>
          <w:i w:val="false"/>
          <w:color w:val="000000"/>
          <w:sz w:val="28"/>
        </w:rPr>
        <w:t xml:space="preserve">
      Доступность жилья состоит из совокупности факторов, влияющих на спрос и предложение. Основными факторами, влияющими на спрос, являются доходы и объем сбережений населения, прирост населения, уровень урбанизации, скорость и объемы устаревания существующего жилищного фонда, а также стоимость и доступность ипотечного кредитования и аренды. На спрос также могут влиять качественные характеристики жилья – сопутствующая (социальная и транспортная) инфраструктура, географическое расположение, престижность района, качество застройки (планировка, этажность). </w:t>
      </w:r>
    </w:p>
    <w:bookmarkEnd w:id="366"/>
    <w:bookmarkStart w:name="z399" w:id="367"/>
    <w:p>
      <w:pPr>
        <w:spacing w:after="0"/>
        <w:ind w:left="0"/>
        <w:jc w:val="both"/>
      </w:pPr>
      <w:r>
        <w:rPr>
          <w:rFonts w:ascii="Times New Roman"/>
          <w:b w:val="false"/>
          <w:i w:val="false"/>
          <w:color w:val="000000"/>
          <w:sz w:val="28"/>
        </w:rPr>
        <w:t>
      На предложение (объем строительства) влияют себестоимость квадратного метра жилья и доступность финансирования (как долевого, так и долгового) для застройщика, новые технологии в строительстве, человеческий капитал (наличие квалифицированных специалистов, перебои в доступности необходимого количества квалифицированных кадров, обучение и преемственность), макроэкономические тренды, привлекательность альтернативных проектов (коммерческие, социальные, инфраструктурные), структура и характеристика индустрии (количество игроков, распределение ролей, наличие иностранных участников).</w:t>
      </w:r>
    </w:p>
    <w:bookmarkEnd w:id="367"/>
    <w:bookmarkStart w:name="z400" w:id="368"/>
    <w:p>
      <w:pPr>
        <w:spacing w:after="0"/>
        <w:ind w:left="0"/>
        <w:jc w:val="both"/>
      </w:pPr>
      <w:r>
        <w:rPr>
          <w:rFonts w:ascii="Times New Roman"/>
          <w:b w:val="false"/>
          <w:i w:val="false"/>
          <w:color w:val="000000"/>
          <w:sz w:val="28"/>
        </w:rPr>
        <w:t>
      Все это обуславливает необходимость разработки комплексного подхода в жилищном строительстве с необходимой социальной и коммерческой инфраструктурой для населения.</w:t>
      </w:r>
    </w:p>
    <w:bookmarkEnd w:id="368"/>
    <w:bookmarkStart w:name="z401" w:id="369"/>
    <w:p>
      <w:pPr>
        <w:spacing w:after="0"/>
        <w:ind w:left="0"/>
        <w:jc w:val="both"/>
      </w:pPr>
      <w:r>
        <w:rPr>
          <w:rFonts w:ascii="Times New Roman"/>
          <w:b w:val="false"/>
          <w:i w:val="false"/>
          <w:color w:val="000000"/>
          <w:sz w:val="28"/>
        </w:rPr>
        <w:t>
      Основные вызовы по обеспечению населения жильем, с которыми продолжит работу холдинг:</w:t>
      </w:r>
    </w:p>
    <w:bookmarkEnd w:id="369"/>
    <w:bookmarkStart w:name="z402" w:id="370"/>
    <w:p>
      <w:pPr>
        <w:spacing w:after="0"/>
        <w:ind w:left="0"/>
        <w:jc w:val="both"/>
      </w:pPr>
      <w:r>
        <w:rPr>
          <w:rFonts w:ascii="Times New Roman"/>
          <w:b w:val="false"/>
          <w:i w:val="false"/>
          <w:color w:val="000000"/>
          <w:sz w:val="28"/>
        </w:rPr>
        <w:t xml:space="preserve">
      </w:t>
      </w:r>
      <w:r>
        <w:rPr>
          <w:rFonts w:ascii="Times New Roman"/>
          <w:b/>
          <w:i w:val="false"/>
          <w:color w:val="000000"/>
          <w:sz w:val="28"/>
        </w:rPr>
        <w:t>1. Увеличение жилищного фонда</w:t>
      </w:r>
    </w:p>
    <w:bookmarkEnd w:id="370"/>
    <w:bookmarkStart w:name="z403" w:id="371"/>
    <w:p>
      <w:pPr>
        <w:spacing w:after="0"/>
        <w:ind w:left="0"/>
        <w:jc w:val="both"/>
      </w:pPr>
      <w:r>
        <w:rPr>
          <w:rFonts w:ascii="Times New Roman"/>
          <w:b w:val="false"/>
          <w:i w:val="false"/>
          <w:color w:val="000000"/>
          <w:sz w:val="28"/>
        </w:rPr>
        <w:t>
      За последние 10 лет (2015-2024 годы) численность населения Казахстана увеличилась на 14,6% и на конец 2024 года составила 20,3 млн человек. За аналогичный период обеспеченность жильем выросла на 16,6% (+3,5 кв. м), с 21 кв. м до 24,5 кв. м на одного проживающего человека.</w:t>
      </w:r>
    </w:p>
    <w:bookmarkEnd w:id="371"/>
    <w:bookmarkStart w:name="z404" w:id="372"/>
    <w:p>
      <w:pPr>
        <w:spacing w:after="0"/>
        <w:ind w:left="0"/>
        <w:jc w:val="both"/>
      </w:pPr>
      <w:r>
        <w:rPr>
          <w:rFonts w:ascii="Times New Roman"/>
          <w:b w:val="false"/>
          <w:i w:val="false"/>
          <w:color w:val="000000"/>
          <w:sz w:val="28"/>
        </w:rPr>
        <w:t xml:space="preserve">
      По стандартам ООН норма площади жилья на 1 одного человека должна соответствовать 30 кв. м. По состоянию на конец 2024 года данная норма в среднем по Казахстану составляет 24,5 кв. м. </w:t>
      </w:r>
    </w:p>
    <w:bookmarkEnd w:id="372"/>
    <w:bookmarkStart w:name="z405" w:id="373"/>
    <w:p>
      <w:pPr>
        <w:spacing w:after="0"/>
        <w:ind w:left="0"/>
        <w:jc w:val="both"/>
      </w:pPr>
      <w:r>
        <w:rPr>
          <w:rFonts w:ascii="Times New Roman"/>
          <w:b w:val="false"/>
          <w:i w:val="false"/>
          <w:color w:val="000000"/>
          <w:sz w:val="28"/>
        </w:rPr>
        <w:t xml:space="preserve">
      Для достижения вышеуказанной нормы ООН в среднем требуется увеличить жилищный фонд на 23 %. </w:t>
      </w:r>
    </w:p>
    <w:bookmarkEnd w:id="373"/>
    <w:bookmarkStart w:name="z406" w:id="374"/>
    <w:p>
      <w:pPr>
        <w:spacing w:after="0"/>
        <w:ind w:left="0"/>
        <w:jc w:val="both"/>
      </w:pPr>
      <w:r>
        <w:rPr>
          <w:rFonts w:ascii="Times New Roman"/>
          <w:b w:val="false"/>
          <w:i w:val="false"/>
          <w:color w:val="000000"/>
          <w:sz w:val="28"/>
        </w:rPr>
        <w:t xml:space="preserve">
      С целью увеличения жилищного фонда будут совершенствоваться инструменты Единого оператора жилищного строительства. </w:t>
      </w:r>
    </w:p>
    <w:bookmarkEnd w:id="374"/>
    <w:bookmarkStart w:name="z407" w:id="375"/>
    <w:p>
      <w:pPr>
        <w:spacing w:after="0"/>
        <w:ind w:left="0"/>
        <w:jc w:val="both"/>
      </w:pPr>
      <w:r>
        <w:rPr>
          <w:rFonts w:ascii="Times New Roman"/>
          <w:b w:val="false"/>
          <w:i w:val="false"/>
          <w:color w:val="000000"/>
          <w:sz w:val="28"/>
        </w:rPr>
        <w:t>
      Также необходимо учитывать высокую степень изношенности инженерной инфраструктуры (до 80 % в некоторых регионах), что сдерживает частных застройщиков самостоятельной от комплексной застройки территорий для граждан, в связи с чем КЖК с целью увеличения объемов строительства и создания комфортной городской среды будет увеличивать финансирование проектов комплексной застройки на условиях срочности и возвратности.</w:t>
      </w:r>
    </w:p>
    <w:bookmarkEnd w:id="375"/>
    <w:bookmarkStart w:name="z408" w:id="376"/>
    <w:p>
      <w:pPr>
        <w:spacing w:after="0"/>
        <w:ind w:left="0"/>
        <w:jc w:val="both"/>
      </w:pPr>
      <w:r>
        <w:rPr>
          <w:rFonts w:ascii="Times New Roman"/>
          <w:b w:val="false"/>
          <w:i w:val="false"/>
          <w:color w:val="000000"/>
          <w:sz w:val="28"/>
        </w:rPr>
        <w:t>
      КЖК будет проведен комплекс мер по финансированию строительства и модернизации инженерно-коммуникационной инфраструктуры согласно Национальному проекту "Модернизация энергетического и коммунального секторов" для обеспечения достаточной инфраструктурой жилых комплексов и повышения качества жизни.</w:t>
      </w:r>
    </w:p>
    <w:bookmarkEnd w:id="376"/>
    <w:bookmarkStart w:name="z409" w:id="377"/>
    <w:p>
      <w:pPr>
        <w:spacing w:after="0"/>
        <w:ind w:left="0"/>
        <w:jc w:val="both"/>
      </w:pPr>
      <w:r>
        <w:rPr>
          <w:rFonts w:ascii="Times New Roman"/>
          <w:b w:val="false"/>
          <w:i w:val="false"/>
          <w:color w:val="000000"/>
          <w:sz w:val="28"/>
        </w:rPr>
        <w:t>
      На базе КЖК будет функционировать центр компетенций по развитию территорий, который будет обеспечивать анализ и поддержку в области планирования и реализации проектов по строительству и развитию территорий, а также принимать участие в совершенствовании нормативно-правовой среды для повышения качества градостроительных проектов и внедрять стандарты комплексного развития территорий, в том числе путем разработки индекса качества городской среды.</w:t>
      </w:r>
    </w:p>
    <w:bookmarkEnd w:id="377"/>
    <w:bookmarkStart w:name="z410" w:id="378"/>
    <w:p>
      <w:pPr>
        <w:spacing w:after="0"/>
        <w:ind w:left="0"/>
        <w:jc w:val="both"/>
      </w:pPr>
      <w:r>
        <w:rPr>
          <w:rFonts w:ascii="Times New Roman"/>
          <w:b w:val="false"/>
          <w:i w:val="false"/>
          <w:color w:val="000000"/>
          <w:sz w:val="28"/>
        </w:rPr>
        <w:t>
      2. Содействие в увеличении финансовой доступности жилья для населения</w:t>
      </w:r>
    </w:p>
    <w:bookmarkEnd w:id="378"/>
    <w:bookmarkStart w:name="z411" w:id="379"/>
    <w:p>
      <w:pPr>
        <w:spacing w:after="0"/>
        <w:ind w:left="0"/>
        <w:jc w:val="both"/>
      </w:pPr>
      <w:r>
        <w:rPr>
          <w:rFonts w:ascii="Times New Roman"/>
          <w:b w:val="false"/>
          <w:i w:val="false"/>
          <w:color w:val="000000"/>
          <w:sz w:val="28"/>
        </w:rPr>
        <w:t>
      В 2024 году продолжился рост цен на недвижимость: новое жилье подорожало на 1,1% – до 500 198 тенге за кв. м, а вторичное – на 4,4% – до 516 203 тенге за кв. м. Арендная плата за благоустроенное жилье в 2024 году уменьшилась на 6% по сравнению с предыдущим годом и составила 4 565 тенге за кв. м.</w:t>
      </w:r>
    </w:p>
    <w:bookmarkEnd w:id="379"/>
    <w:bookmarkStart w:name="z412" w:id="380"/>
    <w:p>
      <w:pPr>
        <w:spacing w:after="0"/>
        <w:ind w:left="0"/>
        <w:jc w:val="both"/>
      </w:pPr>
      <w:r>
        <w:rPr>
          <w:rFonts w:ascii="Times New Roman"/>
          <w:b w:val="false"/>
          <w:i w:val="false"/>
          <w:color w:val="000000"/>
          <w:sz w:val="28"/>
        </w:rPr>
        <w:t>
      При этом доходы населения в номинальном выражении за 2024 год выросли на 10,5%, а в реальном выражении только на 1,8%.</w:t>
      </w:r>
    </w:p>
    <w:bookmarkEnd w:id="380"/>
    <w:bookmarkStart w:name="z413" w:id="381"/>
    <w:p>
      <w:pPr>
        <w:spacing w:after="0"/>
        <w:ind w:left="0"/>
        <w:jc w:val="both"/>
      </w:pPr>
      <w:r>
        <w:rPr>
          <w:rFonts w:ascii="Times New Roman"/>
          <w:b w:val="false"/>
          <w:i w:val="false"/>
          <w:color w:val="000000"/>
          <w:sz w:val="28"/>
        </w:rPr>
        <w:t>
      В связи с чем доступность жилья, рассчитанная как отношение номинального дохода на душу населения к стоимости одного квадратного метра жилья, составила 0,44 кв. м.</w:t>
      </w:r>
    </w:p>
    <w:bookmarkEnd w:id="381"/>
    <w:bookmarkStart w:name="z414"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83"/>
    <w:p>
      <w:pPr>
        <w:spacing w:after="0"/>
        <w:ind w:left="0"/>
        <w:jc w:val="both"/>
      </w:pPr>
      <w:r>
        <w:rPr>
          <w:rFonts w:ascii="Times New Roman"/>
          <w:b w:val="false"/>
          <w:i w:val="false"/>
          <w:color w:val="000000"/>
          <w:sz w:val="28"/>
        </w:rPr>
        <w:t>
      Рисунок 12. Доступность жилья</w:t>
      </w:r>
    </w:p>
    <w:bookmarkEnd w:id="383"/>
    <w:bookmarkStart w:name="z416" w:id="384"/>
    <w:p>
      <w:pPr>
        <w:spacing w:after="0"/>
        <w:ind w:left="0"/>
        <w:jc w:val="both"/>
      </w:pPr>
      <w:r>
        <w:rPr>
          <w:rFonts w:ascii="Times New Roman"/>
          <w:b w:val="false"/>
          <w:i w:val="false"/>
          <w:color w:val="000000"/>
          <w:sz w:val="28"/>
        </w:rPr>
        <w:t>
      Источник: Бюро национальной статистики Агентства по стратегическому планированию и реформам Республики Казахстан</w:t>
      </w:r>
    </w:p>
    <w:bookmarkEnd w:id="384"/>
    <w:bookmarkStart w:name="z417" w:id="385"/>
    <w:p>
      <w:pPr>
        <w:spacing w:after="0"/>
        <w:ind w:left="0"/>
        <w:jc w:val="both"/>
      </w:pPr>
      <w:r>
        <w:rPr>
          <w:rFonts w:ascii="Times New Roman"/>
          <w:b w:val="false"/>
          <w:i w:val="false"/>
          <w:color w:val="000000"/>
          <w:sz w:val="28"/>
        </w:rPr>
        <w:t>
      С целью поддержания платежеспособного спроса населения реализуется ряд ипотечных программ, позволяющих гражданам с различными уровнями доходов решить жилищные вопросы.</w:t>
      </w:r>
    </w:p>
    <w:bookmarkEnd w:id="385"/>
    <w:bookmarkStart w:name="z418" w:id="386"/>
    <w:p>
      <w:pPr>
        <w:spacing w:after="0"/>
        <w:ind w:left="0"/>
        <w:jc w:val="both"/>
      </w:pPr>
      <w:r>
        <w:rPr>
          <w:rFonts w:ascii="Times New Roman"/>
          <w:b w:val="false"/>
          <w:i w:val="false"/>
          <w:color w:val="000000"/>
          <w:sz w:val="28"/>
        </w:rPr>
        <w:t>
      Совокупный объем портфеля ипотечных кредитов по состоянию на 1 января 2025 года достиг 6,7 трлн тенге, из них в рамках ипотечных программ "7-20-25" предоставлены ипотечные жилищные займы на 1,1 трлн тенге, по системе жилищных строительных сбережений на 3,5 трлн тенге.</w:t>
      </w:r>
    </w:p>
    <w:bookmarkEnd w:id="386"/>
    <w:bookmarkStart w:name="z419" w:id="387"/>
    <w:p>
      <w:pPr>
        <w:spacing w:after="0"/>
        <w:ind w:left="0"/>
        <w:jc w:val="both"/>
      </w:pPr>
      <w:r>
        <w:rPr>
          <w:rFonts w:ascii="Times New Roman"/>
          <w:b w:val="false"/>
          <w:i w:val="false"/>
          <w:color w:val="000000"/>
          <w:sz w:val="28"/>
        </w:rPr>
        <w:t>
      В рамках государственных мер поддержки жилищные условия улучшили 149,8 тыс. граждан, которым предоставлены льготные займы по условиям "2-10-20" ("Бақытты отбасы"), "5-10-20" (пилотный проект "Шаңырақ"), а также арендное и кредитное жилье местных исполнительных органов и субъектов квазигосударственного сектора.</w:t>
      </w:r>
    </w:p>
    <w:bookmarkEnd w:id="387"/>
    <w:bookmarkStart w:name="z420" w:id="388"/>
    <w:p>
      <w:pPr>
        <w:spacing w:after="0"/>
        <w:ind w:left="0"/>
        <w:jc w:val="both"/>
      </w:pPr>
      <w:r>
        <w:rPr>
          <w:rFonts w:ascii="Times New Roman"/>
          <w:b w:val="false"/>
          <w:i w:val="false"/>
          <w:color w:val="000000"/>
          <w:sz w:val="28"/>
        </w:rPr>
        <w:t>
      Однако по итогам проведенного анализа отсутствие рыночной ипотеки БВУ создает "неудовлетворенный спрос" (450-500 млрд тенге в год). Под риском дефолта могут оказаться проекты частных застройщиков на 30-35 тыс. квартир, в связи с чем Отбасы банк будет увеличивать собственные программы кредитования на строящееся жилье, обеспеченное гарантией КЖК, с ежегодным объемом 100 млрд тенге (с 2023 года).</w:t>
      </w:r>
    </w:p>
    <w:bookmarkEnd w:id="388"/>
    <w:bookmarkStart w:name="z421" w:id="389"/>
    <w:p>
      <w:pPr>
        <w:spacing w:after="0"/>
        <w:ind w:left="0"/>
        <w:jc w:val="both"/>
      </w:pPr>
      <w:r>
        <w:rPr>
          <w:rFonts w:ascii="Times New Roman"/>
          <w:b w:val="false"/>
          <w:i w:val="false"/>
          <w:color w:val="000000"/>
          <w:sz w:val="28"/>
        </w:rPr>
        <w:t>
      Также Отбасы банк будет внедрять новый ипотечный продукт по принципам исламского финансирования (исламская ипотека, исключающая процентный доход). Так, Отбасы банк в 2025 году подписал меморандум о развитии исламской финансовой индустрии в Казахстане с Союзом строителей Казахстана и ассоциацией исламских финансов и бизнеса. Партнерские отношения сторон и совместное сотрудничество будут способствовать развитию и продвижению инструментов исламского финансирования и исламской ипотеки в Казахстане.</w:t>
      </w:r>
    </w:p>
    <w:bookmarkEnd w:id="389"/>
    <w:bookmarkStart w:name="z422" w:id="390"/>
    <w:p>
      <w:pPr>
        <w:spacing w:after="0"/>
        <w:ind w:left="0"/>
        <w:jc w:val="both"/>
      </w:pPr>
      <w:r>
        <w:rPr>
          <w:rFonts w:ascii="Times New Roman"/>
          <w:b w:val="false"/>
          <w:i w:val="false"/>
          <w:color w:val="000000"/>
          <w:sz w:val="28"/>
        </w:rPr>
        <w:t>
      Кроме того, Отбасы банк рассмотрит возможность выхода на IPO, преследуя следующие цели:</w:t>
      </w:r>
    </w:p>
    <w:bookmarkEnd w:id="390"/>
    <w:bookmarkStart w:name="z423" w:id="391"/>
    <w:p>
      <w:pPr>
        <w:spacing w:after="0"/>
        <w:ind w:left="0"/>
        <w:jc w:val="both"/>
      </w:pPr>
      <w:r>
        <w:rPr>
          <w:rFonts w:ascii="Times New Roman"/>
          <w:b w:val="false"/>
          <w:i w:val="false"/>
          <w:color w:val="000000"/>
          <w:sz w:val="28"/>
        </w:rPr>
        <w:t>
      1) снижение доли государства в экономике: снижение доли участия государства в ипотечном рынке, демонстрация приверженности государства рыночным принципам;</w:t>
      </w:r>
    </w:p>
    <w:bookmarkEnd w:id="391"/>
    <w:bookmarkStart w:name="z424" w:id="392"/>
    <w:p>
      <w:pPr>
        <w:spacing w:after="0"/>
        <w:ind w:left="0"/>
        <w:jc w:val="both"/>
      </w:pPr>
      <w:r>
        <w:rPr>
          <w:rFonts w:ascii="Times New Roman"/>
          <w:b w:val="false"/>
          <w:i w:val="false"/>
          <w:color w:val="000000"/>
          <w:sz w:val="28"/>
        </w:rPr>
        <w:t xml:space="preserve">
      2) усиление уровня корпоративного управления: </w:t>
      </w:r>
    </w:p>
    <w:bookmarkEnd w:id="392"/>
    <w:bookmarkStart w:name="z425" w:id="393"/>
    <w:p>
      <w:pPr>
        <w:spacing w:after="0"/>
        <w:ind w:left="0"/>
        <w:jc w:val="both"/>
      </w:pPr>
      <w:r>
        <w:rPr>
          <w:rFonts w:ascii="Times New Roman"/>
          <w:b w:val="false"/>
          <w:i w:val="false"/>
          <w:color w:val="000000"/>
          <w:sz w:val="28"/>
        </w:rPr>
        <w:t>
      возможность привлечения иностранных независимых директоров, представляющих интересы миноритарных инвесторов;</w:t>
      </w:r>
    </w:p>
    <w:bookmarkEnd w:id="393"/>
    <w:bookmarkStart w:name="z426" w:id="394"/>
    <w:p>
      <w:pPr>
        <w:spacing w:after="0"/>
        <w:ind w:left="0"/>
        <w:jc w:val="both"/>
      </w:pPr>
      <w:r>
        <w:rPr>
          <w:rFonts w:ascii="Times New Roman"/>
          <w:b w:val="false"/>
          <w:i w:val="false"/>
          <w:color w:val="000000"/>
          <w:sz w:val="28"/>
        </w:rPr>
        <w:t>
      привлечение стратегических инвесторов и партнеров для дальнейшего роста и инноваций;</w:t>
      </w:r>
    </w:p>
    <w:bookmarkEnd w:id="394"/>
    <w:bookmarkStart w:name="z427" w:id="395"/>
    <w:p>
      <w:pPr>
        <w:spacing w:after="0"/>
        <w:ind w:left="0"/>
        <w:jc w:val="both"/>
      </w:pPr>
      <w:r>
        <w:rPr>
          <w:rFonts w:ascii="Times New Roman"/>
          <w:b w:val="false"/>
          <w:i w:val="false"/>
          <w:color w:val="000000"/>
          <w:sz w:val="28"/>
        </w:rPr>
        <w:t>
      3) снижение зависимости от заемных средств и госпремий:</w:t>
      </w:r>
    </w:p>
    <w:bookmarkEnd w:id="395"/>
    <w:bookmarkStart w:name="z428" w:id="396"/>
    <w:p>
      <w:pPr>
        <w:spacing w:after="0"/>
        <w:ind w:left="0"/>
        <w:jc w:val="both"/>
      </w:pPr>
      <w:r>
        <w:rPr>
          <w:rFonts w:ascii="Times New Roman"/>
          <w:b w:val="false"/>
          <w:i w:val="false"/>
          <w:color w:val="000000"/>
          <w:sz w:val="28"/>
        </w:rPr>
        <w:t>
      привлечение капитала позволит совершенствовать модель Отбасы банка и создавать новые финансовые инструменты;</w:t>
      </w:r>
    </w:p>
    <w:bookmarkEnd w:id="396"/>
    <w:bookmarkStart w:name="z429" w:id="397"/>
    <w:p>
      <w:pPr>
        <w:spacing w:after="0"/>
        <w:ind w:left="0"/>
        <w:jc w:val="both"/>
      </w:pPr>
      <w:r>
        <w:rPr>
          <w:rFonts w:ascii="Times New Roman"/>
          <w:b w:val="false"/>
          <w:i w:val="false"/>
          <w:color w:val="000000"/>
          <w:sz w:val="28"/>
        </w:rPr>
        <w:t>
      впоследствии IPO для Отбасы банка становится возможным планомерным отходом от государственных премий.</w:t>
      </w:r>
    </w:p>
    <w:bookmarkEnd w:id="397"/>
    <w:bookmarkStart w:name="z430" w:id="398"/>
    <w:p>
      <w:pPr>
        <w:spacing w:after="0"/>
        <w:ind w:left="0"/>
        <w:jc w:val="both"/>
      </w:pPr>
      <w:r>
        <w:rPr>
          <w:rFonts w:ascii="Times New Roman"/>
          <w:b w:val="false"/>
          <w:i w:val="false"/>
          <w:color w:val="000000"/>
          <w:sz w:val="28"/>
        </w:rPr>
        <w:t>
      Отбасы банк планируется выйти на рынок Центральной Азии через открытие дочерних организаций в Кыргызстане и Узбекистане, но не ограничиваясь.</w:t>
      </w:r>
    </w:p>
    <w:bookmarkEnd w:id="398"/>
    <w:bookmarkStart w:name="z431" w:id="399"/>
    <w:p>
      <w:pPr>
        <w:spacing w:after="0"/>
        <w:ind w:left="0"/>
        <w:jc w:val="both"/>
      </w:pPr>
      <w:r>
        <w:rPr>
          <w:rFonts w:ascii="Times New Roman"/>
          <w:b w:val="false"/>
          <w:i w:val="false"/>
          <w:color w:val="000000"/>
          <w:sz w:val="28"/>
        </w:rPr>
        <w:t>
      Это позволит экспортировать казахстанскую модель системы ЖСС для 43 млн населения соседних стран с растущим потенциалом рождаемости и экономического роста.</w:t>
      </w:r>
    </w:p>
    <w:bookmarkEnd w:id="399"/>
    <w:bookmarkStart w:name="z432" w:id="400"/>
    <w:p>
      <w:pPr>
        <w:spacing w:after="0"/>
        <w:ind w:left="0"/>
        <w:jc w:val="both"/>
      </w:pPr>
      <w:r>
        <w:rPr>
          <w:rFonts w:ascii="Times New Roman"/>
          <w:b w:val="false"/>
          <w:i w:val="false"/>
          <w:color w:val="000000"/>
          <w:sz w:val="28"/>
        </w:rPr>
        <w:t>
      3. Обеспечение жильем очередников</w:t>
      </w:r>
    </w:p>
    <w:bookmarkEnd w:id="400"/>
    <w:bookmarkStart w:name="z433" w:id="401"/>
    <w:p>
      <w:pPr>
        <w:spacing w:after="0"/>
        <w:ind w:left="0"/>
        <w:jc w:val="both"/>
      </w:pPr>
      <w:r>
        <w:rPr>
          <w:rFonts w:ascii="Times New Roman"/>
          <w:b w:val="false"/>
          <w:i w:val="false"/>
          <w:color w:val="000000"/>
          <w:sz w:val="28"/>
        </w:rPr>
        <w:t>
      Наиболее уязвимыми категориями населения Республики Казахстан являются граждане, состоящие на учете нуждающихся в жилище из государственного жилищного фонда или жилище, арендованном местным исполнительным органом в частном жилищном фонде (далее – очередники).</w:t>
      </w:r>
    </w:p>
    <w:bookmarkEnd w:id="401"/>
    <w:bookmarkStart w:name="z434" w:id="402"/>
    <w:p>
      <w:pPr>
        <w:spacing w:after="0"/>
        <w:ind w:left="0"/>
        <w:jc w:val="both"/>
      </w:pPr>
      <w:r>
        <w:rPr>
          <w:rFonts w:ascii="Times New Roman"/>
          <w:b w:val="false"/>
          <w:i w:val="false"/>
          <w:color w:val="000000"/>
          <w:sz w:val="28"/>
        </w:rPr>
        <w:t>
      На конец 2024 года численность очередников составила 653 246 человек. К концу 2033 года при сохранении среднего ежегодного темпа прироста 6,9 % их количество возрастет до 1 321 826 человек. Для обеспечения данного количества очередников жильем при норме 60 кв. м на одну семью за 10 лет потребуется построить 79,3 млн кв. м жилья или 7,9 млн кв. м жилья ежегодно.</w:t>
      </w:r>
    </w:p>
    <w:bookmarkEnd w:id="402"/>
    <w:bookmarkStart w:name="z435" w:id="403"/>
    <w:p>
      <w:pPr>
        <w:spacing w:after="0"/>
        <w:ind w:left="0"/>
        <w:jc w:val="both"/>
      </w:pPr>
      <w:r>
        <w:rPr>
          <w:rFonts w:ascii="Times New Roman"/>
          <w:b w:val="false"/>
          <w:i w:val="false"/>
          <w:color w:val="000000"/>
          <w:sz w:val="28"/>
        </w:rPr>
        <w:t xml:space="preserve">
      В рамках поддержки предложения холдинг в целях увеличения предложения доступного жилья для очередников обеспечит финансирование строительства и приобретения доступного жилья путем выкупа облигаций МИО в рамках Концепции. </w:t>
      </w:r>
    </w:p>
    <w:bookmarkEnd w:id="403"/>
    <w:bookmarkStart w:name="z436" w:id="404"/>
    <w:p>
      <w:pPr>
        <w:spacing w:after="0"/>
        <w:ind w:left="0"/>
        <w:jc w:val="both"/>
      </w:pPr>
      <w:r>
        <w:rPr>
          <w:rFonts w:ascii="Times New Roman"/>
          <w:b w:val="false"/>
          <w:i w:val="false"/>
          <w:color w:val="000000"/>
          <w:sz w:val="28"/>
        </w:rPr>
        <w:t xml:space="preserve">
      Холдинг продолжит предоставлять льготные кредиты для очередников в рамках правительственных программ в соответствии с выделенными средствами из бюджета. Для повышения обеспеченности населения жильем будет активно внедряться "лестница доступности жилья" в рамках целостности жилищной политики. </w:t>
      </w:r>
    </w:p>
    <w:bookmarkEnd w:id="404"/>
    <w:bookmarkStart w:name="z437" w:id="405"/>
    <w:p>
      <w:pPr>
        <w:spacing w:after="0"/>
        <w:ind w:left="0"/>
        <w:jc w:val="both"/>
      </w:pPr>
      <w:r>
        <w:rPr>
          <w:rFonts w:ascii="Times New Roman"/>
          <w:b w:val="false"/>
          <w:i w:val="false"/>
          <w:color w:val="000000"/>
          <w:sz w:val="28"/>
        </w:rPr>
        <w:t>
      С целью обеспечения жильем очередников условно можно разбить на три группы, сопоставляющие их уровень доходов с инструментами обеспечения жильем (лестница доступности жилья):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вычетом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прожиточных минимумов (81 134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тыс. человек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 с правом приватизации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прожиточных минимумов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тыс. человек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 с правом приватизации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прожиточных минимумов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тыс. человек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ипотека</w:t>
            </w:r>
          </w:p>
        </w:tc>
      </w:tr>
    </w:tbl>
    <w:bookmarkStart w:name="z438" w:id="406"/>
    <w:p>
      <w:pPr>
        <w:spacing w:after="0"/>
        <w:ind w:left="0"/>
        <w:jc w:val="both"/>
      </w:pPr>
      <w:r>
        <w:rPr>
          <w:rFonts w:ascii="Times New Roman"/>
          <w:b w:val="false"/>
          <w:i w:val="false"/>
          <w:color w:val="000000"/>
          <w:sz w:val="28"/>
        </w:rPr>
        <w:t>
      Таблица 5. Лестница доступности жилья.</w:t>
      </w:r>
    </w:p>
    <w:bookmarkEnd w:id="406"/>
    <w:bookmarkStart w:name="z439" w:id="407"/>
    <w:p>
      <w:pPr>
        <w:spacing w:after="0"/>
        <w:ind w:left="0"/>
        <w:jc w:val="both"/>
      </w:pPr>
      <w:r>
        <w:rPr>
          <w:rFonts w:ascii="Times New Roman"/>
          <w:b w:val="false"/>
          <w:i w:val="false"/>
          <w:color w:val="000000"/>
          <w:sz w:val="28"/>
        </w:rPr>
        <w:t>
      Решение жилищного вопроса возможно за счет инструментов КЖК с выкупом и арендного жилья МИО с правом приватизации, которые подходят для очередников с минимальным уровнем доходов (первая и вторая группа). Третья группа очередников может воспользоваться жилищными программами Отбасы банк.</w:t>
      </w:r>
    </w:p>
    <w:bookmarkEnd w:id="407"/>
    <w:bookmarkStart w:name="z440" w:id="408"/>
    <w:p>
      <w:pPr>
        <w:spacing w:after="0"/>
        <w:ind w:left="0"/>
        <w:jc w:val="both"/>
      </w:pPr>
      <w:r>
        <w:rPr>
          <w:rFonts w:ascii="Times New Roman"/>
          <w:b w:val="false"/>
          <w:i w:val="false"/>
          <w:color w:val="000000"/>
          <w:sz w:val="28"/>
        </w:rPr>
        <w:t>
      Кроме того, в целях институционализации и развития частного рынка арендного жилья КЖК будет совершенствовать стандарты арендного жилья (в 2023 году КЖК была разработана первая версия стандартов) и законодательство Республики Казахстан для создания институциональных условий развития REIT (инвестиционные фонды недвижимости, Real Estate Investment Trust), а также взаимодействовать с частными девелоперами.</w:t>
      </w:r>
    </w:p>
    <w:bookmarkEnd w:id="408"/>
    <w:bookmarkStart w:name="z441" w:id="409"/>
    <w:p>
      <w:pPr>
        <w:spacing w:after="0"/>
        <w:ind w:left="0"/>
        <w:jc w:val="both"/>
      </w:pPr>
      <w:r>
        <w:rPr>
          <w:rFonts w:ascii="Times New Roman"/>
          <w:b w:val="false"/>
          <w:i w:val="false"/>
          <w:color w:val="000000"/>
          <w:sz w:val="28"/>
        </w:rPr>
        <w:t>
      4. Повышение доли легального долевого строительства</w:t>
      </w:r>
    </w:p>
    <w:bookmarkEnd w:id="409"/>
    <w:bookmarkStart w:name="z442" w:id="410"/>
    <w:p>
      <w:pPr>
        <w:spacing w:after="0"/>
        <w:ind w:left="0"/>
        <w:jc w:val="both"/>
      </w:pPr>
      <w:r>
        <w:rPr>
          <w:rFonts w:ascii="Times New Roman"/>
          <w:b w:val="false"/>
          <w:i w:val="false"/>
          <w:color w:val="000000"/>
          <w:sz w:val="28"/>
        </w:rPr>
        <w:t>
      КЖК будет выстраивать экосистему для развития долевого строительства в Республике Казахстан. В 2024 году 67 % рынка (теневой рынок) многоквартирного жилья незаконно привлекали дольщиков путем заключения договоров бронирования/инвестирования, т.д. и без регистрации сделок.</w:t>
      </w:r>
    </w:p>
    <w:bookmarkEnd w:id="410"/>
    <w:bookmarkStart w:name="z443" w:id="411"/>
    <w:p>
      <w:pPr>
        <w:spacing w:after="0"/>
        <w:ind w:left="0"/>
        <w:jc w:val="both"/>
      </w:pPr>
      <w:r>
        <w:rPr>
          <w:rFonts w:ascii="Times New Roman"/>
          <w:b w:val="false"/>
          <w:i w:val="false"/>
          <w:color w:val="000000"/>
          <w:sz w:val="28"/>
        </w:rPr>
        <w:t>
      Для сокращения доли теневого рынка КЖК планирует реализовать ряд мероприятий:</w:t>
      </w:r>
    </w:p>
    <w:bookmarkEnd w:id="411"/>
    <w:bookmarkStart w:name="z444" w:id="412"/>
    <w:p>
      <w:pPr>
        <w:spacing w:after="0"/>
        <w:ind w:left="0"/>
        <w:jc w:val="both"/>
      </w:pPr>
      <w:r>
        <w:rPr>
          <w:rFonts w:ascii="Times New Roman"/>
          <w:b w:val="false"/>
          <w:i w:val="false"/>
          <w:color w:val="000000"/>
          <w:sz w:val="28"/>
        </w:rPr>
        <w:t>
      1) стимулирование предложения за счет снижения в 2 раза "входных" законодательных требований к застройщикам и проектам (опыт работы, реализованные площади и т.д.), при этом повысив ответственность за нарушение законодательных норм (усиление штрафных санкций, требований к рекламе строящихся объектов и т.д.);</w:t>
      </w:r>
    </w:p>
    <w:bookmarkEnd w:id="412"/>
    <w:bookmarkStart w:name="z445" w:id="413"/>
    <w:p>
      <w:pPr>
        <w:spacing w:after="0"/>
        <w:ind w:left="0"/>
        <w:jc w:val="both"/>
      </w:pPr>
      <w:r>
        <w:rPr>
          <w:rFonts w:ascii="Times New Roman"/>
          <w:b w:val="false"/>
          <w:i w:val="false"/>
          <w:color w:val="000000"/>
          <w:sz w:val="28"/>
        </w:rPr>
        <w:t>
      2) внедрение учета сделок по жилищно-строительным кооперативам, интеграция с единой нотариальной информационной системой, а также проработка вопроса перевода сделок, связанных с недвижимостью, в безналичный расчет.</w:t>
      </w:r>
    </w:p>
    <w:bookmarkEnd w:id="413"/>
    <w:bookmarkStart w:name="z446" w:id="414"/>
    <w:p>
      <w:pPr>
        <w:spacing w:after="0"/>
        <w:ind w:left="0"/>
        <w:jc w:val="left"/>
      </w:pPr>
      <w:r>
        <w:rPr>
          <w:rFonts w:ascii="Times New Roman"/>
          <w:b/>
          <w:i w:val="false"/>
          <w:color w:val="000000"/>
        </w:rPr>
        <w:t xml:space="preserve"> Глава 8. Стратегические цели и задачи в рамках трех направлений деятельности</w:t>
      </w:r>
    </w:p>
    <w:bookmarkEnd w:id="414"/>
    <w:bookmarkStart w:name="z447" w:id="415"/>
    <w:p>
      <w:pPr>
        <w:spacing w:after="0"/>
        <w:ind w:left="0"/>
        <w:jc w:val="left"/>
      </w:pPr>
      <w:r>
        <w:rPr>
          <w:rFonts w:ascii="Times New Roman"/>
          <w:b/>
          <w:i w:val="false"/>
          <w:color w:val="000000"/>
        </w:rPr>
        <w:t xml:space="preserve"> Параграф 1. Переход к "зеленой" и углеродно-нейтральной экономике</w:t>
      </w:r>
    </w:p>
    <w:bookmarkEnd w:id="415"/>
    <w:bookmarkStart w:name="z448" w:id="416"/>
    <w:p>
      <w:pPr>
        <w:spacing w:after="0"/>
        <w:ind w:left="0"/>
        <w:jc w:val="both"/>
      </w:pPr>
      <w:r>
        <w:rPr>
          <w:rFonts w:ascii="Times New Roman"/>
          <w:b w:val="false"/>
          <w:i w:val="false"/>
          <w:color w:val="000000"/>
          <w:sz w:val="28"/>
        </w:rPr>
        <w:t xml:space="preserve">
      Переход к "зеленой" и углеродно-нейтральной экономике – приоритетная стратегическая задача страны. Холдинг, как ключевой финансовый институт страны, играет важную роль в формировании национальной "зеленой" повестки и ее реализации. </w:t>
      </w:r>
    </w:p>
    <w:bookmarkEnd w:id="416"/>
    <w:bookmarkStart w:name="z449" w:id="417"/>
    <w:p>
      <w:pPr>
        <w:spacing w:after="0"/>
        <w:ind w:left="0"/>
        <w:jc w:val="both"/>
      </w:pPr>
      <w:r>
        <w:rPr>
          <w:rFonts w:ascii="Times New Roman"/>
          <w:b w:val="false"/>
          <w:i w:val="false"/>
          <w:color w:val="000000"/>
          <w:sz w:val="28"/>
        </w:rPr>
        <w:t>
      Документом первого уровня, регламентирующим "зеленый" транзит экономики Республики Казахстан, пришедшим на смену Концепции по переходу Республики Казахстан к "зеленой экономике", является Стратегия достижения углеродной нейтральности Республики Казахстан до 2060 года (далее – Стратегия), утвержденная Указом Президента Республики Казахстан от 2 февраля 2023 года № 121.</w:t>
      </w:r>
    </w:p>
    <w:bookmarkEnd w:id="417"/>
    <w:bookmarkStart w:name="z450" w:id="418"/>
    <w:p>
      <w:pPr>
        <w:spacing w:after="0"/>
        <w:ind w:left="0"/>
        <w:jc w:val="both"/>
      </w:pPr>
      <w:r>
        <w:rPr>
          <w:rFonts w:ascii="Times New Roman"/>
          <w:b w:val="false"/>
          <w:i w:val="false"/>
          <w:color w:val="000000"/>
          <w:sz w:val="28"/>
        </w:rPr>
        <w:t>
      Среднесрочные цели Стратегии – сокращение выбросов парниковых газов к 2030 году на 15 % относительно уровня выбросов 1990 года и доведение сокращения на 25 % при условии получения международной поддержки на декарбонизацию экономики.</w:t>
      </w:r>
    </w:p>
    <w:bookmarkEnd w:id="418"/>
    <w:bookmarkStart w:name="z451" w:id="419"/>
    <w:p>
      <w:pPr>
        <w:spacing w:after="0"/>
        <w:ind w:left="0"/>
        <w:jc w:val="both"/>
      </w:pPr>
      <w:r>
        <w:rPr>
          <w:rFonts w:ascii="Times New Roman"/>
          <w:b w:val="false"/>
          <w:i w:val="false"/>
          <w:color w:val="000000"/>
          <w:sz w:val="28"/>
        </w:rPr>
        <w:t>
      Достижение поставленной цели Стратегии будет обеспечено посредством комплексной реализации низкоуглеродной политики и применения секторальных (в энергетике, промышленности, сельском и лесном хозяйстве, управлении отходами) и сквозных подходов (справедливый переход, "зеленое" финансирование, научно-исследовательские и опытно-конструкторские работы и образование, общественное сознание, международное сотрудничество, адаптация к изменению климата, система углеродного регулирования).</w:t>
      </w:r>
    </w:p>
    <w:bookmarkEnd w:id="419"/>
    <w:bookmarkStart w:name="z452" w:id="420"/>
    <w:p>
      <w:pPr>
        <w:spacing w:after="0"/>
        <w:ind w:left="0"/>
        <w:jc w:val="both"/>
      </w:pPr>
      <w:r>
        <w:rPr>
          <w:rFonts w:ascii="Times New Roman"/>
          <w:b w:val="false"/>
          <w:i w:val="false"/>
          <w:color w:val="000000"/>
          <w:sz w:val="28"/>
        </w:rPr>
        <w:t>
      При этом низкоуглеродная политика будет сопровождаться шагами по обеспечению благоприятного инвестиционного климата.</w:t>
      </w:r>
    </w:p>
    <w:bookmarkEnd w:id="420"/>
    <w:bookmarkStart w:name="z453" w:id="421"/>
    <w:p>
      <w:pPr>
        <w:spacing w:after="0"/>
        <w:ind w:left="0"/>
        <w:jc w:val="both"/>
      </w:pPr>
      <w:r>
        <w:rPr>
          <w:rFonts w:ascii="Times New Roman"/>
          <w:b w:val="false"/>
          <w:i w:val="false"/>
          <w:color w:val="000000"/>
          <w:sz w:val="28"/>
        </w:rPr>
        <w:t>
      Особое внимание будет уделено работе по постоянному привлечению и поддержке частных инвестиций (в том числе международных) в процесс декарбонизации.</w:t>
      </w:r>
    </w:p>
    <w:bookmarkEnd w:id="421"/>
    <w:bookmarkStart w:name="z454" w:id="422"/>
    <w:p>
      <w:pPr>
        <w:spacing w:after="0"/>
        <w:ind w:left="0"/>
        <w:jc w:val="both"/>
      </w:pPr>
      <w:r>
        <w:rPr>
          <w:rFonts w:ascii="Times New Roman"/>
          <w:b w:val="false"/>
          <w:i w:val="false"/>
          <w:color w:val="000000"/>
          <w:sz w:val="28"/>
        </w:rPr>
        <w:t>
      Политика по стимулированию "зеленых" инвестиций будет дополнена мерами по улучшению общей деловой среды и инвестиционного климата в Казахстане, принимая во внимание прозрачные критерии для "зеленых" инвестиций – ESG-критерии. При этом таксономия "зеленых" проектов должна четко определить с учетом международных подходов соответствующие показатели "экологичности" деятельности предприятий, такие как повышение энергоэффективности и энергосбережение, сокращение выбросов ПГ, адаптация к изменению климата.</w:t>
      </w:r>
    </w:p>
    <w:bookmarkEnd w:id="422"/>
    <w:bookmarkStart w:name="z455" w:id="423"/>
    <w:p>
      <w:pPr>
        <w:spacing w:after="0"/>
        <w:ind w:left="0"/>
        <w:jc w:val="both"/>
      </w:pPr>
      <w:r>
        <w:rPr>
          <w:rFonts w:ascii="Times New Roman"/>
          <w:b w:val="false"/>
          <w:i w:val="false"/>
          <w:color w:val="000000"/>
          <w:sz w:val="28"/>
        </w:rPr>
        <w:t xml:space="preserve">
       Казахстан продолжит взаимодействие с Центром климатических технологий и сети (Climate Technology Center and Network) при ООН и Зеленым климатическим фондом (Green Climate Fund). </w:t>
      </w:r>
    </w:p>
    <w:bookmarkEnd w:id="423"/>
    <w:bookmarkStart w:name="z456" w:id="424"/>
    <w:p>
      <w:pPr>
        <w:spacing w:after="0"/>
        <w:ind w:left="0"/>
        <w:jc w:val="both"/>
      </w:pPr>
      <w:r>
        <w:rPr>
          <w:rFonts w:ascii="Times New Roman"/>
          <w:b w:val="false"/>
          <w:i w:val="false"/>
          <w:color w:val="000000"/>
          <w:sz w:val="28"/>
        </w:rPr>
        <w:t>
      В соответствии с Экологическим кодексом Республики Казахстан одними из задач экологического законодательства являются поощрение и стимулирование государством привлечения "зеленых" инвестиций и широкое применение наилучших доступных техник, ресурсосберегающих технологий и практик, сокращение объемов и снижение уровня опасности образуемых отходов и эффективного управления ими, использование возобновляемых источников энергии, водосбережения, а также осуществление мер по повышению энергоэффективности, устойчивому использованию, восстановлению и воспроизводству природных ресурсов.</w:t>
      </w:r>
    </w:p>
    <w:bookmarkEnd w:id="424"/>
    <w:bookmarkStart w:name="z457" w:id="425"/>
    <w:p>
      <w:pPr>
        <w:spacing w:after="0"/>
        <w:ind w:left="0"/>
        <w:jc w:val="both"/>
      </w:pPr>
      <w:r>
        <w:rPr>
          <w:rFonts w:ascii="Times New Roman"/>
          <w:b w:val="false"/>
          <w:i w:val="false"/>
          <w:color w:val="000000"/>
          <w:sz w:val="28"/>
        </w:rPr>
        <w:t>
      Экономическое стимулирование деятельности, направленной на охрану окружающей среды, осуществляется в том числе посредством организации трансфера и адаптации "зеленых" технологий, содействия привлечению "зеленых" инвестиций, предоставления мер государственной поддержки в рамках "зеленого" финансирования на условиях и в порядке, установленных законами Республики Казахстан.</w:t>
      </w:r>
    </w:p>
    <w:bookmarkEnd w:id="425"/>
    <w:bookmarkStart w:name="z458" w:id="426"/>
    <w:p>
      <w:pPr>
        <w:spacing w:after="0"/>
        <w:ind w:left="0"/>
        <w:jc w:val="both"/>
      </w:pPr>
      <w:r>
        <w:rPr>
          <w:rFonts w:ascii="Times New Roman"/>
          <w:b w:val="false"/>
          <w:i w:val="false"/>
          <w:color w:val="000000"/>
          <w:sz w:val="28"/>
        </w:rPr>
        <w:t>
      Стимулирование привлечения инвестиций в "зеленые" проекты будет проводиться с учетом достижения Целей устойчивого развития ООН, декарбонизации и на основе продвижения принципов ESG при реализации проектов.</w:t>
      </w:r>
    </w:p>
    <w:bookmarkEnd w:id="426"/>
    <w:bookmarkStart w:name="z459" w:id="427"/>
    <w:p>
      <w:pPr>
        <w:spacing w:after="0"/>
        <w:ind w:left="0"/>
        <w:jc w:val="both"/>
      </w:pPr>
      <w:r>
        <w:rPr>
          <w:rFonts w:ascii="Times New Roman"/>
          <w:b w:val="false"/>
          <w:i w:val="false"/>
          <w:color w:val="000000"/>
          <w:sz w:val="28"/>
        </w:rPr>
        <w:t>
      Ключевым инструментом, позволяющим оценить эффективность внедрения ESG вопросов в деятельность компании, является ESG рейтинг. Более того, подобный рейтинг направлен на выявление рисков и возможностей компании для определения еҰ устойчивости в долгосрочном периоде.</w:t>
      </w:r>
    </w:p>
    <w:bookmarkEnd w:id="427"/>
    <w:bookmarkStart w:name="z460" w:id="428"/>
    <w:p>
      <w:pPr>
        <w:spacing w:after="0"/>
        <w:ind w:left="0"/>
        <w:jc w:val="both"/>
      </w:pPr>
      <w:r>
        <w:rPr>
          <w:rFonts w:ascii="Times New Roman"/>
          <w:b w:val="false"/>
          <w:i w:val="false"/>
          <w:color w:val="000000"/>
          <w:sz w:val="28"/>
        </w:rPr>
        <w:t>
      При этом следует отметить, что раскрытие информации в области устойчивого развития помогает демонстрировать прозрачность и эффективность управленческих процессов, что создает благоприятные условия для привлечения долгосрочных ресурсов.</w:t>
      </w:r>
    </w:p>
    <w:bookmarkEnd w:id="428"/>
    <w:bookmarkStart w:name="z461" w:id="429"/>
    <w:p>
      <w:pPr>
        <w:spacing w:after="0"/>
        <w:ind w:left="0"/>
        <w:jc w:val="both"/>
      </w:pPr>
      <w:r>
        <w:rPr>
          <w:rFonts w:ascii="Times New Roman"/>
          <w:b w:val="false"/>
          <w:i w:val="false"/>
          <w:color w:val="000000"/>
          <w:sz w:val="28"/>
        </w:rPr>
        <w:t xml:space="preserve">
      На основании вышеизложенного для холдинга приоритетными направлениями в области устойчивого развития и ESG являются: </w:t>
      </w:r>
    </w:p>
    <w:bookmarkEnd w:id="429"/>
    <w:bookmarkStart w:name="z462" w:id="430"/>
    <w:p>
      <w:pPr>
        <w:spacing w:after="0"/>
        <w:ind w:left="0"/>
        <w:jc w:val="both"/>
      </w:pPr>
      <w:r>
        <w:rPr>
          <w:rFonts w:ascii="Times New Roman"/>
          <w:b w:val="false"/>
          <w:i w:val="false"/>
          <w:color w:val="000000"/>
          <w:sz w:val="28"/>
        </w:rPr>
        <w:t>
      1. Получение/подтверждение международного ESG-рейтинга.</w:t>
      </w:r>
    </w:p>
    <w:bookmarkEnd w:id="430"/>
    <w:bookmarkStart w:name="z463" w:id="431"/>
    <w:p>
      <w:pPr>
        <w:spacing w:after="0"/>
        <w:ind w:left="0"/>
        <w:jc w:val="both"/>
      </w:pPr>
      <w:r>
        <w:rPr>
          <w:rFonts w:ascii="Times New Roman"/>
          <w:b w:val="false"/>
          <w:i w:val="false"/>
          <w:color w:val="000000"/>
          <w:sz w:val="28"/>
        </w:rPr>
        <w:t>
      Холдинг и его дочерние организации получают ESG-рейтинг с целью выявления сильных и слабых сторон в рамках внедрения принципов устойчивого развития и повышения уровня прозрачности раскрытия ESG информации. При этом холдинг и его дочерние организации по результатам полученного ESG-рейтинга разрабатывают мероприятия по его повышению.</w:t>
      </w:r>
    </w:p>
    <w:bookmarkEnd w:id="431"/>
    <w:bookmarkStart w:name="z464" w:id="432"/>
    <w:p>
      <w:pPr>
        <w:spacing w:after="0"/>
        <w:ind w:left="0"/>
        <w:jc w:val="both"/>
      </w:pPr>
      <w:r>
        <w:rPr>
          <w:rFonts w:ascii="Times New Roman"/>
          <w:b w:val="false"/>
          <w:i w:val="false"/>
          <w:color w:val="000000"/>
          <w:sz w:val="28"/>
        </w:rPr>
        <w:t>
      2. Содействие выполнению национальной повестки по низкоуглеродному развитию.</w:t>
      </w:r>
    </w:p>
    <w:bookmarkEnd w:id="432"/>
    <w:bookmarkStart w:name="z465" w:id="433"/>
    <w:p>
      <w:pPr>
        <w:spacing w:after="0"/>
        <w:ind w:left="0"/>
        <w:jc w:val="both"/>
      </w:pPr>
      <w:r>
        <w:rPr>
          <w:rFonts w:ascii="Times New Roman"/>
          <w:b w:val="false"/>
          <w:i w:val="false"/>
          <w:color w:val="000000"/>
          <w:sz w:val="28"/>
        </w:rPr>
        <w:t>
      Для реализации данного направления в холдинге разработаны критерии "зеленых"/устойчивых проектов с учетом международного опыта разработки подобных таксономий и ожиданий инвесторов. При этом в холдинге и его дочерних организациях формируется база "зеленых"/устойчивых проектов, а также рассчитывается доля финансирования подобных проектов.</w:t>
      </w:r>
    </w:p>
    <w:bookmarkEnd w:id="433"/>
    <w:bookmarkStart w:name="z466" w:id="434"/>
    <w:p>
      <w:pPr>
        <w:spacing w:after="0"/>
        <w:ind w:left="0"/>
        <w:jc w:val="both"/>
      </w:pPr>
      <w:r>
        <w:rPr>
          <w:rFonts w:ascii="Times New Roman"/>
          <w:b w:val="false"/>
          <w:i w:val="false"/>
          <w:color w:val="000000"/>
          <w:sz w:val="28"/>
        </w:rPr>
        <w:t>
      Кроме того, учитывая национальную повестку по сокращению выбросов парниковых газов, холдинг и его дочерние организации осуществляют расчет выбросов парниковых газов (Scope 1,2,3).</w:t>
      </w:r>
    </w:p>
    <w:bookmarkEnd w:id="434"/>
    <w:bookmarkStart w:name="z467" w:id="435"/>
    <w:p>
      <w:pPr>
        <w:spacing w:after="0"/>
        <w:ind w:left="0"/>
        <w:jc w:val="both"/>
      </w:pPr>
      <w:r>
        <w:rPr>
          <w:rFonts w:ascii="Times New Roman"/>
          <w:b w:val="false"/>
          <w:i w:val="false"/>
          <w:color w:val="000000"/>
          <w:sz w:val="28"/>
        </w:rPr>
        <w:t>
      3. Развитие инструментов устойчивого финансирования, отвечающих принципам ESG.</w:t>
      </w:r>
    </w:p>
    <w:bookmarkEnd w:id="435"/>
    <w:bookmarkStart w:name="z468" w:id="436"/>
    <w:p>
      <w:pPr>
        <w:spacing w:after="0"/>
        <w:ind w:left="0"/>
        <w:jc w:val="both"/>
      </w:pPr>
      <w:r>
        <w:rPr>
          <w:rFonts w:ascii="Times New Roman"/>
          <w:b w:val="false"/>
          <w:i w:val="false"/>
          <w:color w:val="000000"/>
          <w:sz w:val="28"/>
        </w:rPr>
        <w:t>
      В холдинге активно развиваются инструменты "зеленого/устойчивого" финансирования. холдинг и его дочерние организации на ежегодной основе прорабатывают вопрос по выпуску облигаций устойчивого развития.</w:t>
      </w:r>
    </w:p>
    <w:bookmarkEnd w:id="436"/>
    <w:bookmarkStart w:name="z469" w:id="437"/>
    <w:p>
      <w:pPr>
        <w:spacing w:after="0"/>
        <w:ind w:left="0"/>
        <w:jc w:val="both"/>
      </w:pPr>
      <w:r>
        <w:rPr>
          <w:rFonts w:ascii="Times New Roman"/>
          <w:b w:val="false"/>
          <w:i w:val="false"/>
          <w:color w:val="000000"/>
          <w:sz w:val="28"/>
        </w:rPr>
        <w:t>
      4. Повышение прозрачности в деятельности АО "НУХ "Байтерек" и его ДО.</w:t>
      </w:r>
    </w:p>
    <w:bookmarkEnd w:id="437"/>
    <w:bookmarkStart w:name="z470" w:id="438"/>
    <w:p>
      <w:pPr>
        <w:spacing w:after="0"/>
        <w:ind w:left="0"/>
        <w:jc w:val="both"/>
      </w:pPr>
      <w:r>
        <w:rPr>
          <w:rFonts w:ascii="Times New Roman"/>
          <w:b w:val="false"/>
          <w:i w:val="false"/>
          <w:color w:val="000000"/>
          <w:sz w:val="28"/>
        </w:rPr>
        <w:t xml:space="preserve">
      Учитывая высокую экономическую и социальную значимость деятельности институтов развития, холдинг стремиться к активному информированию целевых аудиторий о своей деятельности. </w:t>
      </w:r>
    </w:p>
    <w:bookmarkEnd w:id="438"/>
    <w:bookmarkStart w:name="z471" w:id="439"/>
    <w:p>
      <w:pPr>
        <w:spacing w:after="0"/>
        <w:ind w:left="0"/>
        <w:jc w:val="both"/>
      </w:pPr>
      <w:r>
        <w:rPr>
          <w:rFonts w:ascii="Times New Roman"/>
          <w:b w:val="false"/>
          <w:i w:val="false"/>
          <w:color w:val="000000"/>
          <w:sz w:val="28"/>
        </w:rPr>
        <w:t>
      Холдинг и его ДО раскрывают ESG информацию (экологическую и социальную информацию, а также информацию о корпоративном управлении) в виде отдельного ESG отчета/отчета об устойчивом развитии или в составе годового отчета в соответствии с принципами Международного стандарта по раскрытию информации Глобальной инициативы по отчетности (Global Reporting Initiative, GRI) и требованиями KASE по раскрытию информации в годовом отчете листинговых компаний.</w:t>
      </w:r>
    </w:p>
    <w:bookmarkEnd w:id="439"/>
    <w:bookmarkStart w:name="z472" w:id="440"/>
    <w:p>
      <w:pPr>
        <w:spacing w:after="0"/>
        <w:ind w:left="0"/>
        <w:jc w:val="both"/>
      </w:pPr>
      <w:r>
        <w:rPr>
          <w:rFonts w:ascii="Times New Roman"/>
          <w:b w:val="false"/>
          <w:i w:val="false"/>
          <w:color w:val="000000"/>
          <w:sz w:val="28"/>
        </w:rPr>
        <w:t>
      При этом холдинг и его дочерние организации стремятся соответствовать лучшим практикам раскрытия информации, ежегодно применяя новые стандарты по раскрытию нефинансовой информации. Так, холдинг и его дочерние организации раскрывают информацию в соответствии с МСФО S1 "Общие требования к раскрытию финансовой информации в области устойчивого развития" и МСФО S2 "Раскрытие информации, связанной с климатом". Эти стандарты требуют от организаций раскрывать информацию обо всех существенных рисках и возможностях, связанных с устойчивым развитием и климатом, которые могут повлиять на денежные потоки организации, способность обеспечить финансирование или стоимость капитала.</w:t>
      </w:r>
    </w:p>
    <w:bookmarkEnd w:id="440"/>
    <w:bookmarkStart w:name="z473" w:id="441"/>
    <w:p>
      <w:pPr>
        <w:spacing w:after="0"/>
        <w:ind w:left="0"/>
        <w:jc w:val="both"/>
      </w:pPr>
      <w:r>
        <w:rPr>
          <w:rFonts w:ascii="Times New Roman"/>
          <w:b w:val="false"/>
          <w:i w:val="false"/>
          <w:color w:val="000000"/>
          <w:sz w:val="28"/>
        </w:rPr>
        <w:t>
      Помимо этого, холдинг и его дочерние организации учитывают рекомендации Руководства по раскрытию ESG-информации для банков и других финансовых организаций, утвержденного Агентством Республики Казахстан по регулированию и развитию финансового рынка от 28 апреля 2023 года (Приказ № 291), в качестве руководства для подготовки раскрытия достоверной, полезной и сопоставимой ESG-информации.</w:t>
      </w:r>
    </w:p>
    <w:bookmarkEnd w:id="441"/>
    <w:bookmarkStart w:name="z474" w:id="442"/>
    <w:p>
      <w:pPr>
        <w:spacing w:after="0"/>
        <w:ind w:left="0"/>
        <w:jc w:val="both"/>
      </w:pPr>
      <w:r>
        <w:rPr>
          <w:rFonts w:ascii="Times New Roman"/>
          <w:b w:val="false"/>
          <w:i w:val="false"/>
          <w:color w:val="000000"/>
          <w:sz w:val="28"/>
        </w:rPr>
        <w:t>
      5. Формирование единой кадровой политики холдинга.</w:t>
      </w:r>
    </w:p>
    <w:bookmarkEnd w:id="442"/>
    <w:bookmarkStart w:name="z475" w:id="443"/>
    <w:p>
      <w:pPr>
        <w:spacing w:after="0"/>
        <w:ind w:left="0"/>
        <w:jc w:val="both"/>
      </w:pPr>
      <w:r>
        <w:rPr>
          <w:rFonts w:ascii="Times New Roman"/>
          <w:b w:val="false"/>
          <w:i w:val="false"/>
          <w:color w:val="000000"/>
          <w:sz w:val="28"/>
        </w:rPr>
        <w:t>
      Цель единой кадровой политики холдинга – обеспечение устойчивого развития холдинга и дочерних организаций через формирование высокопрофессионального, мотивированного и мобильного трудового капитала, способного адаптироваться к современным вызовам.</w:t>
      </w:r>
    </w:p>
    <w:bookmarkEnd w:id="443"/>
    <w:bookmarkStart w:name="z476" w:id="444"/>
    <w:p>
      <w:pPr>
        <w:spacing w:after="0"/>
        <w:ind w:left="0"/>
        <w:jc w:val="both"/>
      </w:pPr>
      <w:r>
        <w:rPr>
          <w:rFonts w:ascii="Times New Roman"/>
          <w:b w:val="false"/>
          <w:i w:val="false"/>
          <w:color w:val="000000"/>
          <w:sz w:val="28"/>
        </w:rPr>
        <w:t>
      Задачи единой кадровой политики с учетом мировых тенденций в HR:</w:t>
      </w:r>
    </w:p>
    <w:bookmarkEnd w:id="444"/>
    <w:bookmarkStart w:name="z477" w:id="445"/>
    <w:p>
      <w:pPr>
        <w:spacing w:after="0"/>
        <w:ind w:left="0"/>
        <w:jc w:val="both"/>
      </w:pPr>
      <w:r>
        <w:rPr>
          <w:rFonts w:ascii="Times New Roman"/>
          <w:b w:val="false"/>
          <w:i w:val="false"/>
          <w:color w:val="000000"/>
          <w:sz w:val="28"/>
        </w:rPr>
        <w:t>
      обеспечение холдинга и ДО кадрами, соответствующими целям и задачам холдинга;</w:t>
      </w:r>
    </w:p>
    <w:bookmarkEnd w:id="445"/>
    <w:bookmarkStart w:name="z478" w:id="446"/>
    <w:p>
      <w:pPr>
        <w:spacing w:after="0"/>
        <w:ind w:left="0"/>
        <w:jc w:val="both"/>
      </w:pPr>
      <w:r>
        <w:rPr>
          <w:rFonts w:ascii="Times New Roman"/>
          <w:b w:val="false"/>
          <w:i w:val="false"/>
          <w:color w:val="000000"/>
          <w:sz w:val="28"/>
        </w:rPr>
        <w:t>
      формирование команды профессионалов, обладающих гибкостью и навыками, необходимыми для работы в условиях глобальных изменений;</w:t>
      </w:r>
    </w:p>
    <w:bookmarkEnd w:id="446"/>
    <w:bookmarkStart w:name="z479" w:id="447"/>
    <w:p>
      <w:pPr>
        <w:spacing w:after="0"/>
        <w:ind w:left="0"/>
        <w:jc w:val="both"/>
      </w:pPr>
      <w:r>
        <w:rPr>
          <w:rFonts w:ascii="Times New Roman"/>
          <w:b w:val="false"/>
          <w:i w:val="false"/>
          <w:color w:val="000000"/>
          <w:sz w:val="28"/>
        </w:rPr>
        <w:t>
      реализация принципов инклюзивности и диверсификации, включая равные возможности для женщин, молодежи и работников с ограниченными возможностями;</w:t>
      </w:r>
    </w:p>
    <w:bookmarkEnd w:id="447"/>
    <w:bookmarkStart w:name="z480" w:id="448"/>
    <w:p>
      <w:pPr>
        <w:spacing w:after="0"/>
        <w:ind w:left="0"/>
        <w:jc w:val="both"/>
      </w:pPr>
      <w:r>
        <w:rPr>
          <w:rFonts w:ascii="Times New Roman"/>
          <w:b w:val="false"/>
          <w:i w:val="false"/>
          <w:color w:val="000000"/>
          <w:sz w:val="28"/>
        </w:rPr>
        <w:t>
      развитие компетенций работников с акцентом на цифровизацию;</w:t>
      </w:r>
    </w:p>
    <w:bookmarkEnd w:id="448"/>
    <w:bookmarkStart w:name="z481" w:id="449"/>
    <w:p>
      <w:pPr>
        <w:spacing w:after="0"/>
        <w:ind w:left="0"/>
        <w:jc w:val="both"/>
      </w:pPr>
      <w:r>
        <w:rPr>
          <w:rFonts w:ascii="Times New Roman"/>
          <w:b w:val="false"/>
          <w:i w:val="false"/>
          <w:color w:val="000000"/>
          <w:sz w:val="28"/>
        </w:rPr>
        <w:t>
      инвестирование в повышение цифровой грамотности работников, включая навыки работы с большими данными, аналитикой и ИИ;</w:t>
      </w:r>
    </w:p>
    <w:bookmarkEnd w:id="449"/>
    <w:bookmarkStart w:name="z482" w:id="450"/>
    <w:p>
      <w:pPr>
        <w:spacing w:after="0"/>
        <w:ind w:left="0"/>
        <w:jc w:val="both"/>
      </w:pPr>
      <w:r>
        <w:rPr>
          <w:rFonts w:ascii="Times New Roman"/>
          <w:b w:val="false"/>
          <w:i w:val="false"/>
          <w:color w:val="000000"/>
          <w:sz w:val="28"/>
        </w:rPr>
        <w:t>
      организация программ переквалификации (reskilling) и повышения квалификации (upskilling) для адаптации к быстро меняющимся условиям рынка труда;</w:t>
      </w:r>
    </w:p>
    <w:bookmarkEnd w:id="450"/>
    <w:bookmarkStart w:name="z483" w:id="451"/>
    <w:p>
      <w:pPr>
        <w:spacing w:after="0"/>
        <w:ind w:left="0"/>
        <w:jc w:val="both"/>
      </w:pPr>
      <w:r>
        <w:rPr>
          <w:rFonts w:ascii="Times New Roman"/>
          <w:b w:val="false"/>
          <w:i w:val="false"/>
          <w:color w:val="000000"/>
          <w:sz w:val="28"/>
        </w:rPr>
        <w:t>
      повышение вовлеченности и продуктивности персонала;</w:t>
      </w:r>
    </w:p>
    <w:bookmarkEnd w:id="451"/>
    <w:bookmarkStart w:name="z484" w:id="452"/>
    <w:p>
      <w:pPr>
        <w:spacing w:after="0"/>
        <w:ind w:left="0"/>
        <w:jc w:val="both"/>
      </w:pPr>
      <w:r>
        <w:rPr>
          <w:rFonts w:ascii="Times New Roman"/>
          <w:b w:val="false"/>
          <w:i w:val="false"/>
          <w:color w:val="000000"/>
          <w:sz w:val="28"/>
        </w:rPr>
        <w:t>
      создание гибридных моделей работы, обеспечивающих баланс между личной и профессиональной жизнью;</w:t>
      </w:r>
    </w:p>
    <w:bookmarkEnd w:id="452"/>
    <w:bookmarkStart w:name="z485" w:id="453"/>
    <w:p>
      <w:pPr>
        <w:spacing w:after="0"/>
        <w:ind w:left="0"/>
        <w:jc w:val="both"/>
      </w:pPr>
      <w:r>
        <w:rPr>
          <w:rFonts w:ascii="Times New Roman"/>
          <w:b w:val="false"/>
          <w:i w:val="false"/>
          <w:color w:val="000000"/>
          <w:sz w:val="28"/>
        </w:rPr>
        <w:t>
      внедрение инициатив, направленных на поддержку ментального и физического здоровья работников (well-being программы);</w:t>
      </w:r>
    </w:p>
    <w:bookmarkEnd w:id="453"/>
    <w:bookmarkStart w:name="z486" w:id="454"/>
    <w:p>
      <w:pPr>
        <w:spacing w:after="0"/>
        <w:ind w:left="0"/>
        <w:jc w:val="both"/>
      </w:pPr>
      <w:r>
        <w:rPr>
          <w:rFonts w:ascii="Times New Roman"/>
          <w:b w:val="false"/>
          <w:i w:val="false"/>
          <w:color w:val="000000"/>
          <w:sz w:val="28"/>
        </w:rPr>
        <w:t>
      укрепление связей с работниками через цифровые каналы коммуникации и корпоративные порталы;</w:t>
      </w:r>
    </w:p>
    <w:bookmarkEnd w:id="454"/>
    <w:bookmarkStart w:name="z487" w:id="455"/>
    <w:p>
      <w:pPr>
        <w:spacing w:after="0"/>
        <w:ind w:left="0"/>
        <w:jc w:val="both"/>
      </w:pPr>
      <w:r>
        <w:rPr>
          <w:rFonts w:ascii="Times New Roman"/>
          <w:b w:val="false"/>
          <w:i w:val="false"/>
          <w:color w:val="000000"/>
          <w:sz w:val="28"/>
        </w:rPr>
        <w:t>
      цифровизация HR-процессов для повышения эффективности;</w:t>
      </w:r>
    </w:p>
    <w:bookmarkEnd w:id="455"/>
    <w:bookmarkStart w:name="z488" w:id="456"/>
    <w:p>
      <w:pPr>
        <w:spacing w:after="0"/>
        <w:ind w:left="0"/>
        <w:jc w:val="both"/>
      </w:pPr>
      <w:r>
        <w:rPr>
          <w:rFonts w:ascii="Times New Roman"/>
          <w:b w:val="false"/>
          <w:i w:val="false"/>
          <w:color w:val="000000"/>
          <w:sz w:val="28"/>
        </w:rPr>
        <w:t>
      автоматизация процессов подбора, адаптации, обучения и оценки работников с использованием искусственного интеллекта и HR – аналитики;</w:t>
      </w:r>
    </w:p>
    <w:bookmarkEnd w:id="456"/>
    <w:bookmarkStart w:name="z489" w:id="457"/>
    <w:p>
      <w:pPr>
        <w:spacing w:after="0"/>
        <w:ind w:left="0"/>
        <w:jc w:val="both"/>
      </w:pPr>
      <w:r>
        <w:rPr>
          <w:rFonts w:ascii="Times New Roman"/>
          <w:b w:val="false"/>
          <w:i w:val="false"/>
          <w:color w:val="000000"/>
          <w:sz w:val="28"/>
        </w:rPr>
        <w:t>
      внедрение систем прогнозирования потребностей в персонале и оценки риска текучести кадров;</w:t>
      </w:r>
    </w:p>
    <w:bookmarkEnd w:id="457"/>
    <w:bookmarkStart w:name="z490" w:id="458"/>
    <w:p>
      <w:pPr>
        <w:spacing w:after="0"/>
        <w:ind w:left="0"/>
        <w:jc w:val="both"/>
      </w:pPr>
      <w:r>
        <w:rPr>
          <w:rFonts w:ascii="Times New Roman"/>
          <w:b w:val="false"/>
          <w:i w:val="false"/>
          <w:color w:val="000000"/>
          <w:sz w:val="28"/>
        </w:rPr>
        <w:t>
      совершенствование системы управления эффективностью;</w:t>
      </w:r>
    </w:p>
    <w:bookmarkEnd w:id="458"/>
    <w:bookmarkStart w:name="z491" w:id="459"/>
    <w:p>
      <w:pPr>
        <w:spacing w:after="0"/>
        <w:ind w:left="0"/>
        <w:jc w:val="both"/>
      </w:pPr>
      <w:r>
        <w:rPr>
          <w:rFonts w:ascii="Times New Roman"/>
          <w:b w:val="false"/>
          <w:i w:val="false"/>
          <w:color w:val="000000"/>
          <w:sz w:val="28"/>
        </w:rPr>
        <w:t>
      введение гибкой и прозрачной системы оценки эффективности, привязанной к достижению индивидуальных и командных целей с дифференцированным подходом в зависимости от специфики деятельности ДО;</w:t>
      </w:r>
    </w:p>
    <w:bookmarkEnd w:id="459"/>
    <w:bookmarkStart w:name="z492" w:id="460"/>
    <w:p>
      <w:pPr>
        <w:spacing w:after="0"/>
        <w:ind w:left="0"/>
        <w:jc w:val="both"/>
      </w:pPr>
      <w:r>
        <w:rPr>
          <w:rFonts w:ascii="Times New Roman"/>
          <w:b w:val="false"/>
          <w:i w:val="false"/>
          <w:color w:val="000000"/>
          <w:sz w:val="28"/>
        </w:rPr>
        <w:t>
      регулярная калибровка ключевых показателей эффективности (KPI) с учетом изменений бизнес-целей холдинга и ДО, пересмотром подходов к формированию карт;</w:t>
      </w:r>
    </w:p>
    <w:bookmarkEnd w:id="460"/>
    <w:bookmarkStart w:name="z493" w:id="461"/>
    <w:p>
      <w:pPr>
        <w:spacing w:after="0"/>
        <w:ind w:left="0"/>
        <w:jc w:val="both"/>
      </w:pPr>
      <w:r>
        <w:rPr>
          <w:rFonts w:ascii="Times New Roman"/>
          <w:b w:val="false"/>
          <w:i w:val="false"/>
          <w:color w:val="000000"/>
          <w:sz w:val="28"/>
        </w:rPr>
        <w:t>
      акцент на развитие культуры обратной связи и наставничества для повышения производительности;</w:t>
      </w:r>
    </w:p>
    <w:bookmarkEnd w:id="461"/>
    <w:bookmarkStart w:name="z494" w:id="462"/>
    <w:p>
      <w:pPr>
        <w:spacing w:after="0"/>
        <w:ind w:left="0"/>
        <w:jc w:val="both"/>
      </w:pPr>
      <w:r>
        <w:rPr>
          <w:rFonts w:ascii="Times New Roman"/>
          <w:b w:val="false"/>
          <w:i w:val="false"/>
          <w:color w:val="000000"/>
          <w:sz w:val="28"/>
        </w:rPr>
        <w:t>
      развитие корпоративной культуры, основанной на ESG-принципах;</w:t>
      </w:r>
    </w:p>
    <w:bookmarkEnd w:id="462"/>
    <w:bookmarkStart w:name="z495" w:id="463"/>
    <w:p>
      <w:pPr>
        <w:spacing w:after="0"/>
        <w:ind w:left="0"/>
        <w:jc w:val="both"/>
      </w:pPr>
      <w:r>
        <w:rPr>
          <w:rFonts w:ascii="Times New Roman"/>
          <w:b w:val="false"/>
          <w:i w:val="false"/>
          <w:color w:val="000000"/>
          <w:sz w:val="28"/>
        </w:rPr>
        <w:t>
      укрепление ценностей устойчивого развития, социальной ответственности и прозрачности в рамках холдинга и ДО;</w:t>
      </w:r>
    </w:p>
    <w:bookmarkEnd w:id="463"/>
    <w:bookmarkStart w:name="z496" w:id="464"/>
    <w:p>
      <w:pPr>
        <w:spacing w:after="0"/>
        <w:ind w:left="0"/>
        <w:jc w:val="both"/>
      </w:pPr>
      <w:r>
        <w:rPr>
          <w:rFonts w:ascii="Times New Roman"/>
          <w:b w:val="false"/>
          <w:i w:val="false"/>
          <w:color w:val="000000"/>
          <w:sz w:val="28"/>
        </w:rPr>
        <w:t>
      создание условий для участия работников в проектах ESG и формирование устойчивого корпоративного имиджа;</w:t>
      </w:r>
    </w:p>
    <w:bookmarkEnd w:id="464"/>
    <w:bookmarkStart w:name="z497" w:id="465"/>
    <w:p>
      <w:pPr>
        <w:spacing w:after="0"/>
        <w:ind w:left="0"/>
        <w:jc w:val="both"/>
      </w:pPr>
      <w:r>
        <w:rPr>
          <w:rFonts w:ascii="Times New Roman"/>
          <w:b w:val="false"/>
          <w:i w:val="false"/>
          <w:color w:val="000000"/>
          <w:sz w:val="28"/>
        </w:rPr>
        <w:t>
      интеграция ESG-принципов в повседневную работу работников через обучение, коммуникации и внутренние инициативы.</w:t>
      </w:r>
    </w:p>
    <w:bookmarkEnd w:id="465"/>
    <w:bookmarkStart w:name="z498" w:id="466"/>
    <w:p>
      <w:pPr>
        <w:spacing w:after="0"/>
        <w:ind w:left="0"/>
        <w:jc w:val="both"/>
      </w:pPr>
      <w:r>
        <w:rPr>
          <w:rFonts w:ascii="Times New Roman"/>
          <w:b w:val="false"/>
          <w:i w:val="false"/>
          <w:color w:val="000000"/>
          <w:sz w:val="28"/>
        </w:rPr>
        <w:t>
      Эти задачи адаптированы для достижения стратегических целей холдинга, повышения его конкурентоспособности на глобальном рынке и привлечения лучших специалистов.</w:t>
      </w:r>
    </w:p>
    <w:bookmarkEnd w:id="466"/>
    <w:bookmarkStart w:name="z499" w:id="467"/>
    <w:p>
      <w:pPr>
        <w:spacing w:after="0"/>
        <w:ind w:left="0"/>
        <w:jc w:val="both"/>
      </w:pPr>
      <w:r>
        <w:rPr>
          <w:rFonts w:ascii="Times New Roman"/>
          <w:b w:val="false"/>
          <w:i w:val="false"/>
          <w:color w:val="000000"/>
          <w:sz w:val="28"/>
        </w:rPr>
        <w:t>
      Также холдинг в своей деятельности учитывает поставленную в НПР-2029 задачу по укреплению института гендерного равенства.</w:t>
      </w:r>
    </w:p>
    <w:bookmarkEnd w:id="467"/>
    <w:bookmarkStart w:name="z500" w:id="468"/>
    <w:p>
      <w:pPr>
        <w:spacing w:after="0"/>
        <w:ind w:left="0"/>
        <w:jc w:val="both"/>
      </w:pPr>
      <w:r>
        <w:rPr>
          <w:rFonts w:ascii="Times New Roman"/>
          <w:b w:val="false"/>
          <w:i w:val="false"/>
          <w:color w:val="000000"/>
          <w:sz w:val="28"/>
        </w:rPr>
        <w:t>
      6. Содействие ответственным закупкам.</w:t>
      </w:r>
    </w:p>
    <w:bookmarkEnd w:id="468"/>
    <w:bookmarkStart w:name="z501" w:id="469"/>
    <w:p>
      <w:pPr>
        <w:spacing w:after="0"/>
        <w:ind w:left="0"/>
        <w:jc w:val="both"/>
      </w:pPr>
      <w:r>
        <w:rPr>
          <w:rFonts w:ascii="Times New Roman"/>
          <w:b w:val="false"/>
          <w:i w:val="false"/>
          <w:color w:val="000000"/>
          <w:sz w:val="28"/>
        </w:rPr>
        <w:t xml:space="preserve">
      При принятии решений относительно закупок холдинг и его ДО принимают во внимание экологические, социальные и этические характеристики закупаемых товаров, работ и услуг (далее – ТРУ), по возможности их интегрируя в практику закупок. </w:t>
      </w:r>
    </w:p>
    <w:bookmarkEnd w:id="469"/>
    <w:bookmarkStart w:name="z502" w:id="470"/>
    <w:p>
      <w:pPr>
        <w:spacing w:after="0"/>
        <w:ind w:left="0"/>
        <w:jc w:val="both"/>
      </w:pPr>
      <w:r>
        <w:rPr>
          <w:rFonts w:ascii="Times New Roman"/>
          <w:b w:val="false"/>
          <w:i w:val="false"/>
          <w:color w:val="000000"/>
          <w:sz w:val="28"/>
        </w:rPr>
        <w:t>
      АО "НУХ "Байтерек" и его ДО отдают предпочтение ТРУ, оказывающим минимальное воздействие на окружающую среду, в частности, рассматривают возможность приоритетного закупа товаров из экологичных материалов.</w:t>
      </w:r>
    </w:p>
    <w:bookmarkEnd w:id="470"/>
    <w:bookmarkStart w:name="z503" w:id="471"/>
    <w:p>
      <w:pPr>
        <w:spacing w:after="0"/>
        <w:ind w:left="0"/>
        <w:jc w:val="both"/>
      </w:pPr>
      <w:r>
        <w:rPr>
          <w:rFonts w:ascii="Times New Roman"/>
          <w:b w:val="false"/>
          <w:i w:val="false"/>
          <w:color w:val="000000"/>
          <w:sz w:val="28"/>
        </w:rPr>
        <w:t>
      АО "НУХ "Байтерек" и его ДО актуализируют типовые формы договоров о закупках товаров, работ и услуг с учетом принципов устойчивого развития.</w:t>
      </w:r>
    </w:p>
    <w:bookmarkEnd w:id="471"/>
    <w:bookmarkStart w:name="z504" w:id="472"/>
    <w:p>
      <w:pPr>
        <w:spacing w:after="0"/>
        <w:ind w:left="0"/>
        <w:jc w:val="both"/>
      </w:pPr>
      <w:r>
        <w:rPr>
          <w:rFonts w:ascii="Times New Roman"/>
          <w:b w:val="false"/>
          <w:i w:val="false"/>
          <w:color w:val="000000"/>
          <w:sz w:val="28"/>
        </w:rPr>
        <w:t>
      7. Управление ESG-рисками.</w:t>
      </w:r>
    </w:p>
    <w:bookmarkEnd w:id="472"/>
    <w:bookmarkStart w:name="z505" w:id="473"/>
    <w:p>
      <w:pPr>
        <w:spacing w:after="0"/>
        <w:ind w:left="0"/>
        <w:jc w:val="both"/>
      </w:pPr>
      <w:r>
        <w:rPr>
          <w:rFonts w:ascii="Times New Roman"/>
          <w:b w:val="false"/>
          <w:i w:val="false"/>
          <w:color w:val="000000"/>
          <w:sz w:val="28"/>
        </w:rPr>
        <w:t>
      АО "НУХ "Байтерек" и его ДО интегрируют ESG-риски в существующую систему управления рисками холдинга на основе лучшей международной практики. В этой связи на периодической основе ответственные работники проходят обучение по управлению данными рисками.</w:t>
      </w:r>
    </w:p>
    <w:bookmarkEnd w:id="473"/>
    <w:bookmarkStart w:name="z506" w:id="474"/>
    <w:p>
      <w:pPr>
        <w:spacing w:after="0"/>
        <w:ind w:left="0"/>
        <w:jc w:val="left"/>
      </w:pPr>
      <w:r>
        <w:rPr>
          <w:rFonts w:ascii="Times New Roman"/>
          <w:b/>
          <w:i w:val="false"/>
          <w:color w:val="000000"/>
        </w:rPr>
        <w:t xml:space="preserve"> Параграф 2. Оптимизация портфеля функций ДО</w:t>
      </w:r>
    </w:p>
    <w:bookmarkEnd w:id="474"/>
    <w:bookmarkStart w:name="z507" w:id="475"/>
    <w:p>
      <w:pPr>
        <w:spacing w:after="0"/>
        <w:ind w:left="0"/>
        <w:jc w:val="both"/>
      </w:pPr>
      <w:r>
        <w:rPr>
          <w:rFonts w:ascii="Times New Roman"/>
          <w:b w:val="false"/>
          <w:i w:val="false"/>
          <w:color w:val="000000"/>
          <w:sz w:val="28"/>
        </w:rPr>
        <w:t>
      Для эффективного функционирования в трех стратегических направлениях деятельности (поддержка предпринимательства, развитие экосистемы долевого финансирования и обеспечение населения жильем) АО "НУХ "Байтерек" будет работать над оптимизацией портфеля функций ДО и определением их дальнейшего развития в перспективе до 2033 года. При этом АО "НУХ "Байтерек" будет ориентироваться на следующие критерии при формировании целевого портфеля функций:</w:t>
      </w:r>
    </w:p>
    <w:bookmarkEnd w:id="475"/>
    <w:bookmarkStart w:name="z508" w:id="476"/>
    <w:p>
      <w:pPr>
        <w:spacing w:after="0"/>
        <w:ind w:left="0"/>
        <w:jc w:val="both"/>
      </w:pPr>
      <w:r>
        <w:rPr>
          <w:rFonts w:ascii="Times New Roman"/>
          <w:b w:val="false"/>
          <w:i w:val="false"/>
          <w:color w:val="000000"/>
          <w:sz w:val="28"/>
        </w:rPr>
        <w:t>
      Отсутствие дублирования функций</w:t>
      </w:r>
    </w:p>
    <w:bookmarkEnd w:id="476"/>
    <w:bookmarkStart w:name="z509" w:id="477"/>
    <w:p>
      <w:pPr>
        <w:spacing w:after="0"/>
        <w:ind w:left="0"/>
        <w:jc w:val="both"/>
      </w:pPr>
      <w:r>
        <w:rPr>
          <w:rFonts w:ascii="Times New Roman"/>
          <w:b w:val="false"/>
          <w:i w:val="false"/>
          <w:color w:val="000000"/>
          <w:sz w:val="28"/>
        </w:rPr>
        <w:t>
      Дублирование функций внутри АО "НУХ "Байтерек", а также функций других организаций приводит к неясности в отношении разделения ответственности за результаты деятельности между соответствующими организациями. В случаях, где функции дублируются, – АО "НУХ "Байтерек" централизует функцию, как исключительную компетенцию одной из ДО АО "НУХ "Байтерек", либо сократит ее в среднесрочной или долгосрочной перспективе в рамках централизации функции в других государственных органах.</w:t>
      </w:r>
    </w:p>
    <w:bookmarkEnd w:id="477"/>
    <w:bookmarkStart w:name="z510" w:id="478"/>
    <w:p>
      <w:pPr>
        <w:spacing w:after="0"/>
        <w:ind w:left="0"/>
        <w:jc w:val="both"/>
      </w:pPr>
      <w:r>
        <w:rPr>
          <w:rFonts w:ascii="Times New Roman"/>
          <w:b w:val="false"/>
          <w:i w:val="false"/>
          <w:color w:val="000000"/>
          <w:sz w:val="28"/>
        </w:rPr>
        <w:t>
      Соответствие роли института развития</w:t>
      </w:r>
    </w:p>
    <w:bookmarkEnd w:id="478"/>
    <w:bookmarkStart w:name="z511" w:id="479"/>
    <w:p>
      <w:pPr>
        <w:spacing w:after="0"/>
        <w:ind w:left="0"/>
        <w:jc w:val="both"/>
      </w:pPr>
      <w:r>
        <w:rPr>
          <w:rFonts w:ascii="Times New Roman"/>
          <w:b w:val="false"/>
          <w:i w:val="false"/>
          <w:color w:val="000000"/>
          <w:sz w:val="28"/>
        </w:rPr>
        <w:t>
      АО "НУХ "Байтерек" является финансовым оператором концепций развития, при этом функции ДО АО "НУХ "Байтерек" должны соответствовать роли и миссии АО "НУХ "Байтерек".</w:t>
      </w:r>
    </w:p>
    <w:bookmarkEnd w:id="479"/>
    <w:bookmarkStart w:name="z512" w:id="480"/>
    <w:p>
      <w:pPr>
        <w:spacing w:after="0"/>
        <w:ind w:left="0"/>
        <w:jc w:val="both"/>
      </w:pPr>
      <w:r>
        <w:rPr>
          <w:rFonts w:ascii="Times New Roman"/>
          <w:b w:val="false"/>
          <w:i w:val="false"/>
          <w:color w:val="000000"/>
          <w:sz w:val="28"/>
        </w:rPr>
        <w:t xml:space="preserve">
      Соответствие принципам "YellowPages" </w:t>
      </w:r>
    </w:p>
    <w:bookmarkEnd w:id="480"/>
    <w:bookmarkStart w:name="z513" w:id="481"/>
    <w:p>
      <w:pPr>
        <w:spacing w:after="0"/>
        <w:ind w:left="0"/>
        <w:jc w:val="both"/>
      </w:pPr>
      <w:r>
        <w:rPr>
          <w:rFonts w:ascii="Times New Roman"/>
          <w:b w:val="false"/>
          <w:i w:val="false"/>
          <w:color w:val="000000"/>
          <w:sz w:val="28"/>
        </w:rPr>
        <w:t>
      Одной из приоритетных задач для Правительства Республики Казахстан является сокращение доли участия государства в экономике. В соответствии с данной задачей ДО АО "НУХ "Байтерек" не должны осуществлять функции, которые в достаточном объеме и уровне реализуются в частном секторе.</w:t>
      </w:r>
    </w:p>
    <w:bookmarkEnd w:id="481"/>
    <w:bookmarkStart w:name="z514" w:id="482"/>
    <w:p>
      <w:pPr>
        <w:spacing w:after="0"/>
        <w:ind w:left="0"/>
        <w:jc w:val="left"/>
      </w:pPr>
      <w:r>
        <w:rPr>
          <w:rFonts w:ascii="Times New Roman"/>
          <w:b/>
          <w:i w:val="false"/>
          <w:color w:val="000000"/>
        </w:rPr>
        <w:t xml:space="preserve"> Параграф 3. Децентрализация функций управления с корпоративного центра на советы директоров и правления ДО</w:t>
      </w:r>
    </w:p>
    <w:bookmarkEnd w:id="482"/>
    <w:bookmarkStart w:name="z515" w:id="483"/>
    <w:p>
      <w:pPr>
        <w:spacing w:after="0"/>
        <w:ind w:left="0"/>
        <w:jc w:val="both"/>
      </w:pPr>
      <w:r>
        <w:rPr>
          <w:rFonts w:ascii="Times New Roman"/>
          <w:b w:val="false"/>
          <w:i w:val="false"/>
          <w:color w:val="000000"/>
          <w:sz w:val="28"/>
        </w:rPr>
        <w:t xml:space="preserve">
      Структура АО "НУХ "Байтерек" предполагает создание ценности корпоративным центром только в ограниченном наборе функций управления: </w:t>
      </w:r>
    </w:p>
    <w:bookmarkEnd w:id="483"/>
    <w:bookmarkStart w:name="z516" w:id="48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 Система управления рисками</w:t>
      </w:r>
    </w:p>
    <w:bookmarkEnd w:id="484"/>
    <w:bookmarkStart w:name="z517" w:id="485"/>
    <w:p>
      <w:pPr>
        <w:spacing w:after="0"/>
        <w:ind w:left="0"/>
        <w:jc w:val="both"/>
      </w:pPr>
      <w:r>
        <w:rPr>
          <w:rFonts w:ascii="Times New Roman"/>
          <w:b w:val="false"/>
          <w:i w:val="false"/>
          <w:color w:val="000000"/>
          <w:sz w:val="28"/>
        </w:rPr>
        <w:t>
      В частности, осуществляется управление консолидированными рисками на уровне портфеля в отношении валютного, кредитного и процентного рисков. Более того, консолидированный взгляд позволит более точно определять валютный и процентный дисбаланс между активами и пассивами АО "НУХ "Байтерек", своевременно управлять соответствующими рисками.</w:t>
      </w:r>
    </w:p>
    <w:bookmarkEnd w:id="485"/>
    <w:bookmarkStart w:name="z518" w:id="486"/>
    <w:p>
      <w:pPr>
        <w:spacing w:after="0"/>
        <w:ind w:left="0"/>
        <w:jc w:val="both"/>
      </w:pPr>
      <w:r>
        <w:rPr>
          <w:rFonts w:ascii="Times New Roman"/>
          <w:b w:val="false"/>
          <w:i w:val="false"/>
          <w:color w:val="000000"/>
          <w:sz w:val="28"/>
        </w:rPr>
        <w:t>
      Согласно действующей системе управления рисками, зарегламентированной отдельными документами АО "НУХ "Байтерек" (политика управления рисками, правила управления рисками и др.), все потенциальные угрозы, описания риска и их возможные последствия, мероприятия по предупреждению риска и реагированию компании в случае его наступления отражаются в регистре рисков, который актуализируется/пересматривается на постоянной основе.</w:t>
      </w:r>
    </w:p>
    <w:bookmarkEnd w:id="486"/>
    <w:bookmarkStart w:name="z519" w:id="487"/>
    <w:p>
      <w:pPr>
        <w:spacing w:after="0"/>
        <w:ind w:left="0"/>
        <w:jc w:val="both"/>
      </w:pPr>
      <w:r>
        <w:rPr>
          <w:rFonts w:ascii="Times New Roman"/>
          <w:b w:val="false"/>
          <w:i w:val="false"/>
          <w:color w:val="000000"/>
          <w:sz w:val="28"/>
        </w:rPr>
        <w:t>
      АО "НУХ "Байтерек" продолжит практику оценки ключевых рисков – кредитного, процентного и валютного риска путем проведения гипотетического стресс тестирования с учетом различных сценариев и оценки влияния изменения макроэкономических параметров на качество кредитного и казначейского портфеля, включая такие параметры как валютный курс, инфляция, рост ВВП страны и другие.</w:t>
      </w:r>
    </w:p>
    <w:bookmarkEnd w:id="487"/>
    <w:bookmarkStart w:name="z520" w:id="488"/>
    <w:p>
      <w:pPr>
        <w:spacing w:after="0"/>
        <w:ind w:left="0"/>
        <w:jc w:val="both"/>
      </w:pPr>
      <w:r>
        <w:rPr>
          <w:rFonts w:ascii="Times New Roman"/>
          <w:b w:val="false"/>
          <w:i w:val="false"/>
          <w:color w:val="000000"/>
          <w:sz w:val="28"/>
        </w:rPr>
        <w:t>
      Также будет продолжена работа по совершенствованию подходов к управлению рисками в сделках АО "НУХ "Байтерек" с целью минимизации вероятности финансовых потерь.</w:t>
      </w:r>
    </w:p>
    <w:bookmarkEnd w:id="488"/>
    <w:bookmarkStart w:name="z521" w:id="489"/>
    <w:p>
      <w:pPr>
        <w:spacing w:after="0"/>
        <w:ind w:left="0"/>
        <w:jc w:val="both"/>
      </w:pPr>
      <w:r>
        <w:rPr>
          <w:rFonts w:ascii="Times New Roman"/>
          <w:b w:val="false"/>
          <w:i w:val="false"/>
          <w:color w:val="000000"/>
          <w:sz w:val="28"/>
        </w:rPr>
        <w:t>
      В целях повышения уровня риск-культуры в АО "НУХ "Байтерек" на постоянной основе будет организовано обучение для работников по следующим направлениям:</w:t>
      </w:r>
    </w:p>
    <w:bookmarkEnd w:id="489"/>
    <w:bookmarkStart w:name="z522" w:id="490"/>
    <w:p>
      <w:pPr>
        <w:spacing w:after="0"/>
        <w:ind w:left="0"/>
        <w:jc w:val="both"/>
      </w:pPr>
      <w:r>
        <w:rPr>
          <w:rFonts w:ascii="Times New Roman"/>
          <w:b w:val="false"/>
          <w:i w:val="false"/>
          <w:color w:val="000000"/>
          <w:sz w:val="28"/>
        </w:rPr>
        <w:t>
      1) система управления рисками;</w:t>
      </w:r>
    </w:p>
    <w:bookmarkEnd w:id="490"/>
    <w:bookmarkStart w:name="z523" w:id="491"/>
    <w:p>
      <w:pPr>
        <w:spacing w:after="0"/>
        <w:ind w:left="0"/>
        <w:jc w:val="both"/>
      </w:pPr>
      <w:r>
        <w:rPr>
          <w:rFonts w:ascii="Times New Roman"/>
          <w:b w:val="false"/>
          <w:i w:val="false"/>
          <w:color w:val="000000"/>
          <w:sz w:val="28"/>
        </w:rPr>
        <w:t>
      2) управление операционными рисками;</w:t>
      </w:r>
    </w:p>
    <w:bookmarkEnd w:id="491"/>
    <w:bookmarkStart w:name="z524" w:id="492"/>
    <w:p>
      <w:pPr>
        <w:spacing w:after="0"/>
        <w:ind w:left="0"/>
        <w:jc w:val="both"/>
      </w:pPr>
      <w:r>
        <w:rPr>
          <w:rFonts w:ascii="Times New Roman"/>
          <w:b w:val="false"/>
          <w:i w:val="false"/>
          <w:color w:val="000000"/>
          <w:sz w:val="28"/>
        </w:rPr>
        <w:t>
      3) система внутреннего контроля.</w:t>
      </w:r>
    </w:p>
    <w:bookmarkEnd w:id="492"/>
    <w:bookmarkStart w:name="z525" w:id="493"/>
    <w:p>
      <w:pPr>
        <w:spacing w:after="0"/>
        <w:ind w:left="0"/>
        <w:jc w:val="both"/>
      </w:pPr>
      <w:r>
        <w:rPr>
          <w:rFonts w:ascii="Times New Roman"/>
          <w:b w:val="false"/>
          <w:i w:val="false"/>
          <w:color w:val="000000"/>
          <w:sz w:val="28"/>
        </w:rPr>
        <w:t>
      2. Взаимодействие с государственными органами</w:t>
      </w:r>
    </w:p>
    <w:bookmarkEnd w:id="493"/>
    <w:bookmarkStart w:name="z526" w:id="494"/>
    <w:p>
      <w:pPr>
        <w:spacing w:after="0"/>
        <w:ind w:left="0"/>
        <w:jc w:val="both"/>
      </w:pPr>
      <w:r>
        <w:rPr>
          <w:rFonts w:ascii="Times New Roman"/>
          <w:b w:val="false"/>
          <w:i w:val="false"/>
          <w:color w:val="000000"/>
          <w:sz w:val="28"/>
        </w:rPr>
        <w:t>
      Взаимодействие с государственными органами через корпоративный центр создает большую ценность за счет выполнения роли единого окна. Централизация позволит скоординированно отрабатывать запросы, поступающие по всей группе АО "НУХ "Байтерек".</w:t>
      </w:r>
    </w:p>
    <w:bookmarkEnd w:id="494"/>
    <w:bookmarkStart w:name="z527" w:id="495"/>
    <w:p>
      <w:pPr>
        <w:spacing w:after="0"/>
        <w:ind w:left="0"/>
        <w:jc w:val="both"/>
      </w:pPr>
      <w:r>
        <w:rPr>
          <w:rFonts w:ascii="Times New Roman"/>
          <w:b w:val="false"/>
          <w:i w:val="false"/>
          <w:color w:val="000000"/>
          <w:sz w:val="28"/>
        </w:rPr>
        <w:t>
      3. Система корпоративного управления</w:t>
      </w:r>
    </w:p>
    <w:bookmarkEnd w:id="495"/>
    <w:bookmarkStart w:name="z528" w:id="496"/>
    <w:p>
      <w:pPr>
        <w:spacing w:after="0"/>
        <w:ind w:left="0"/>
        <w:jc w:val="both"/>
      </w:pPr>
      <w:r>
        <w:rPr>
          <w:rFonts w:ascii="Times New Roman"/>
          <w:b w:val="false"/>
          <w:i w:val="false"/>
          <w:color w:val="000000"/>
          <w:sz w:val="28"/>
        </w:rPr>
        <w:t>
      Корпоративное управление строится на основах справедливости, честности, ответственности, прозрачности, профессионализма и компетентности. Система корпоративного управления предусматривает четкое разграничение полномочий и ответственности между органами, должностными лицами и работниками.</w:t>
      </w:r>
    </w:p>
    <w:bookmarkEnd w:id="496"/>
    <w:bookmarkStart w:name="z529" w:id="497"/>
    <w:p>
      <w:pPr>
        <w:spacing w:after="0"/>
        <w:ind w:left="0"/>
        <w:jc w:val="both"/>
      </w:pPr>
      <w:r>
        <w:rPr>
          <w:rFonts w:ascii="Times New Roman"/>
          <w:b w:val="false"/>
          <w:i w:val="false"/>
          <w:color w:val="000000"/>
          <w:sz w:val="28"/>
        </w:rPr>
        <w:t>
      АО "НУХ "Байтерек" в своей деятельности строго соблюдает основополагающие принципы корпоративного управления:</w:t>
      </w:r>
    </w:p>
    <w:bookmarkEnd w:id="497"/>
    <w:bookmarkStart w:name="z530" w:id="498"/>
    <w:p>
      <w:pPr>
        <w:spacing w:after="0"/>
        <w:ind w:left="0"/>
        <w:jc w:val="both"/>
      </w:pPr>
      <w:r>
        <w:rPr>
          <w:rFonts w:ascii="Times New Roman"/>
          <w:b w:val="false"/>
          <w:i w:val="false"/>
          <w:color w:val="000000"/>
          <w:sz w:val="28"/>
        </w:rPr>
        <w:t>
      1) принцип разграничения полномочий;</w:t>
      </w:r>
    </w:p>
    <w:bookmarkEnd w:id="498"/>
    <w:bookmarkStart w:name="z531" w:id="499"/>
    <w:p>
      <w:pPr>
        <w:spacing w:after="0"/>
        <w:ind w:left="0"/>
        <w:jc w:val="both"/>
      </w:pPr>
      <w:r>
        <w:rPr>
          <w:rFonts w:ascii="Times New Roman"/>
          <w:b w:val="false"/>
          <w:i w:val="false"/>
          <w:color w:val="000000"/>
          <w:sz w:val="28"/>
        </w:rPr>
        <w:t>
      2) принцип защиты прав и интересов единственного акционера;</w:t>
      </w:r>
    </w:p>
    <w:bookmarkEnd w:id="499"/>
    <w:bookmarkStart w:name="z532" w:id="500"/>
    <w:p>
      <w:pPr>
        <w:spacing w:after="0"/>
        <w:ind w:left="0"/>
        <w:jc w:val="both"/>
      </w:pPr>
      <w:r>
        <w:rPr>
          <w:rFonts w:ascii="Times New Roman"/>
          <w:b w:val="false"/>
          <w:i w:val="false"/>
          <w:color w:val="000000"/>
          <w:sz w:val="28"/>
        </w:rPr>
        <w:t>
      3) принцип эффективного управления Советом директоров и Правлением;</w:t>
      </w:r>
    </w:p>
    <w:bookmarkEnd w:id="500"/>
    <w:bookmarkStart w:name="z533" w:id="501"/>
    <w:p>
      <w:pPr>
        <w:spacing w:after="0"/>
        <w:ind w:left="0"/>
        <w:jc w:val="both"/>
      </w:pPr>
      <w:r>
        <w:rPr>
          <w:rFonts w:ascii="Times New Roman"/>
          <w:b w:val="false"/>
          <w:i w:val="false"/>
          <w:color w:val="000000"/>
          <w:sz w:val="28"/>
        </w:rPr>
        <w:t>
      4) принцип устойчивого развития;</w:t>
      </w:r>
    </w:p>
    <w:bookmarkEnd w:id="501"/>
    <w:bookmarkStart w:name="z534" w:id="502"/>
    <w:p>
      <w:pPr>
        <w:spacing w:after="0"/>
        <w:ind w:left="0"/>
        <w:jc w:val="both"/>
      </w:pPr>
      <w:r>
        <w:rPr>
          <w:rFonts w:ascii="Times New Roman"/>
          <w:b w:val="false"/>
          <w:i w:val="false"/>
          <w:color w:val="000000"/>
          <w:sz w:val="28"/>
        </w:rPr>
        <w:t>
      5) принцип управления рисками, внутреннего контроля и внутреннего аудита;</w:t>
      </w:r>
    </w:p>
    <w:bookmarkEnd w:id="502"/>
    <w:bookmarkStart w:name="z535" w:id="503"/>
    <w:p>
      <w:pPr>
        <w:spacing w:after="0"/>
        <w:ind w:left="0"/>
        <w:jc w:val="both"/>
      </w:pPr>
      <w:r>
        <w:rPr>
          <w:rFonts w:ascii="Times New Roman"/>
          <w:b w:val="false"/>
          <w:i w:val="false"/>
          <w:color w:val="000000"/>
          <w:sz w:val="28"/>
        </w:rPr>
        <w:t>
      6) принцип регулирования корпоративных конфликтов и конфликта интересов;</w:t>
      </w:r>
    </w:p>
    <w:bookmarkEnd w:id="503"/>
    <w:bookmarkStart w:name="z536" w:id="504"/>
    <w:p>
      <w:pPr>
        <w:spacing w:after="0"/>
        <w:ind w:left="0"/>
        <w:jc w:val="both"/>
      </w:pPr>
      <w:r>
        <w:rPr>
          <w:rFonts w:ascii="Times New Roman"/>
          <w:b w:val="false"/>
          <w:i w:val="false"/>
          <w:color w:val="000000"/>
          <w:sz w:val="28"/>
        </w:rPr>
        <w:t>
      7) принципы прозрачности и объективности раскрытия информации.</w:t>
      </w:r>
    </w:p>
    <w:bookmarkEnd w:id="504"/>
    <w:bookmarkStart w:name="z537" w:id="505"/>
    <w:p>
      <w:pPr>
        <w:spacing w:after="0"/>
        <w:ind w:left="0"/>
        <w:jc w:val="both"/>
      </w:pPr>
      <w:r>
        <w:rPr>
          <w:rFonts w:ascii="Times New Roman"/>
          <w:b w:val="false"/>
          <w:i w:val="false"/>
          <w:color w:val="000000"/>
          <w:sz w:val="28"/>
        </w:rPr>
        <w:t xml:space="preserve">
      Высший орган – единственный акционер, орган управления – Совет директоров, исполнительный орган – Правление. </w:t>
      </w:r>
    </w:p>
    <w:bookmarkEnd w:id="505"/>
    <w:bookmarkStart w:name="z538" w:id="506"/>
    <w:p>
      <w:pPr>
        <w:spacing w:after="0"/>
        <w:ind w:left="0"/>
        <w:jc w:val="both"/>
      </w:pPr>
      <w:r>
        <w:rPr>
          <w:rFonts w:ascii="Times New Roman"/>
          <w:b w:val="false"/>
          <w:i w:val="false"/>
          <w:color w:val="000000"/>
          <w:sz w:val="28"/>
        </w:rPr>
        <w:t>
      Система корпоративного управления АО "НУХ "Байтерек" обеспечивает:</w:t>
      </w:r>
    </w:p>
    <w:bookmarkEnd w:id="506"/>
    <w:bookmarkStart w:name="z539" w:id="507"/>
    <w:p>
      <w:pPr>
        <w:spacing w:after="0"/>
        <w:ind w:left="0"/>
        <w:jc w:val="both"/>
      </w:pPr>
      <w:r>
        <w:rPr>
          <w:rFonts w:ascii="Times New Roman"/>
          <w:b w:val="false"/>
          <w:i w:val="false"/>
          <w:color w:val="000000"/>
          <w:sz w:val="28"/>
        </w:rPr>
        <w:t>
      1) наличие четкой системы управления, разграниченных полномочий и процесса принятия решений, отсутствие дублирования функций и процессов;</w:t>
      </w:r>
    </w:p>
    <w:bookmarkEnd w:id="507"/>
    <w:bookmarkStart w:name="z540" w:id="508"/>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508"/>
    <w:bookmarkStart w:name="z541" w:id="509"/>
    <w:p>
      <w:pPr>
        <w:spacing w:after="0"/>
        <w:ind w:left="0"/>
        <w:jc w:val="both"/>
      </w:pPr>
      <w:r>
        <w:rPr>
          <w:rFonts w:ascii="Times New Roman"/>
          <w:b w:val="false"/>
          <w:i w:val="false"/>
          <w:color w:val="000000"/>
          <w:sz w:val="28"/>
        </w:rPr>
        <w:t xml:space="preserve">
      3) доступ к качественной информации; </w:t>
      </w:r>
    </w:p>
    <w:bookmarkEnd w:id="509"/>
    <w:bookmarkStart w:name="z542" w:id="510"/>
    <w:p>
      <w:pPr>
        <w:spacing w:after="0"/>
        <w:ind w:left="0"/>
        <w:jc w:val="both"/>
      </w:pPr>
      <w:r>
        <w:rPr>
          <w:rFonts w:ascii="Times New Roman"/>
          <w:b w:val="false"/>
          <w:i w:val="false"/>
          <w:color w:val="000000"/>
          <w:sz w:val="28"/>
        </w:rPr>
        <w:t>
      4) надлежащее управление рисками;</w:t>
      </w:r>
    </w:p>
    <w:bookmarkEnd w:id="510"/>
    <w:bookmarkStart w:name="z543" w:id="511"/>
    <w:p>
      <w:pPr>
        <w:spacing w:after="0"/>
        <w:ind w:left="0"/>
        <w:jc w:val="both"/>
      </w:pPr>
      <w:r>
        <w:rPr>
          <w:rFonts w:ascii="Times New Roman"/>
          <w:b w:val="false"/>
          <w:i w:val="false"/>
          <w:color w:val="000000"/>
          <w:sz w:val="28"/>
        </w:rPr>
        <w:t>
      5) невмешательство в операционную деятельность ДО АО "НУХ "Байтерек".</w:t>
      </w:r>
    </w:p>
    <w:bookmarkEnd w:id="511"/>
    <w:bookmarkStart w:name="z544" w:id="512"/>
    <w:p>
      <w:pPr>
        <w:spacing w:after="0"/>
        <w:ind w:left="0"/>
        <w:jc w:val="both"/>
      </w:pPr>
      <w:r>
        <w:rPr>
          <w:rFonts w:ascii="Times New Roman"/>
          <w:b w:val="false"/>
          <w:i w:val="false"/>
          <w:color w:val="000000"/>
          <w:sz w:val="28"/>
        </w:rPr>
        <w:t>
      Одним из основных путей повышения экономической и операционной эффективности деятельности АО "НУХ "Байтерек" является совершенствование системы корпоративного управления через активное вовлечение в работу советов директоров, как стратегических органов, через которые АО "НУХ "Байтерек" осуществляет управление, выступая в качестве единственного акционера.</w:t>
      </w:r>
    </w:p>
    <w:bookmarkEnd w:id="512"/>
    <w:bookmarkStart w:name="z545" w:id="513"/>
    <w:p>
      <w:pPr>
        <w:spacing w:after="0"/>
        <w:ind w:left="0"/>
        <w:jc w:val="both"/>
      </w:pPr>
      <w:r>
        <w:rPr>
          <w:rFonts w:ascii="Times New Roman"/>
          <w:b w:val="false"/>
          <w:i w:val="false"/>
          <w:color w:val="000000"/>
          <w:sz w:val="28"/>
        </w:rPr>
        <w:t>
      При этом независимость директоров является важнейшим фактором эффективной работы Совета директоров в целях обеспечения прозрачности и открытости деятельности. Учитывая, исторически высокую долю участия государства будет рассмотрена целесообразность более широкого привлечения независимых директоров, являющихся зарубежными практиками и/или экспертами в своих областях.</w:t>
      </w:r>
    </w:p>
    <w:bookmarkEnd w:id="513"/>
    <w:bookmarkStart w:name="z546" w:id="514"/>
    <w:p>
      <w:pPr>
        <w:spacing w:after="0"/>
        <w:ind w:left="0"/>
        <w:jc w:val="both"/>
      </w:pPr>
      <w:r>
        <w:rPr>
          <w:rFonts w:ascii="Times New Roman"/>
          <w:b w:val="false"/>
          <w:i w:val="false"/>
          <w:color w:val="000000"/>
          <w:sz w:val="28"/>
        </w:rPr>
        <w:t>
      В соответствии с рекомендациями Всемирного банка холдингу будет проработан вопрос требований к независимым директорам в части повышения эффективности, подотчетности, а также независимой оценки их деятельности. Кроме того, важно стремится, чтобы количество независимых директоров в составе Совета директоров АО "НУХ "Байтерек" увеличивалось с целью снижения зависимости от политического влияния.</w:t>
      </w:r>
    </w:p>
    <w:bookmarkEnd w:id="514"/>
    <w:bookmarkStart w:name="z547" w:id="515"/>
    <w:p>
      <w:pPr>
        <w:spacing w:after="0"/>
        <w:ind w:left="0"/>
        <w:jc w:val="left"/>
      </w:pPr>
      <w:r>
        <w:rPr>
          <w:rFonts w:ascii="Times New Roman"/>
          <w:b/>
          <w:i w:val="false"/>
          <w:color w:val="000000"/>
        </w:rPr>
        <w:t xml:space="preserve"> Параграф 4. Развитие новых компетенций и методов организации работы</w:t>
      </w:r>
    </w:p>
    <w:bookmarkEnd w:id="515"/>
    <w:bookmarkStart w:name="z548" w:id="516"/>
    <w:p>
      <w:pPr>
        <w:spacing w:after="0"/>
        <w:ind w:left="0"/>
        <w:jc w:val="both"/>
      </w:pPr>
      <w:r>
        <w:rPr>
          <w:rFonts w:ascii="Times New Roman"/>
          <w:b w:val="false"/>
          <w:i w:val="false"/>
          <w:color w:val="000000"/>
          <w:sz w:val="28"/>
        </w:rPr>
        <w:t xml:space="preserve">
      1. </w:t>
      </w:r>
      <w:r>
        <w:rPr>
          <w:rFonts w:ascii="Times New Roman"/>
          <w:b/>
          <w:i w:val="false"/>
          <w:color w:val="000000"/>
          <w:sz w:val="28"/>
        </w:rPr>
        <w:t>Развитие цифровых технологи</w:t>
      </w:r>
      <w:r>
        <w:rPr>
          <w:rFonts w:ascii="Times New Roman"/>
          <w:b w:val="false"/>
          <w:i w:val="false"/>
          <w:color w:val="000000"/>
          <w:sz w:val="28"/>
        </w:rPr>
        <w:t>й</w:t>
      </w:r>
    </w:p>
    <w:bookmarkEnd w:id="516"/>
    <w:bookmarkStart w:name="z549" w:id="517"/>
    <w:p>
      <w:pPr>
        <w:spacing w:after="0"/>
        <w:ind w:left="0"/>
        <w:jc w:val="both"/>
      </w:pPr>
      <w:r>
        <w:rPr>
          <w:rFonts w:ascii="Times New Roman"/>
          <w:b w:val="false"/>
          <w:i w:val="false"/>
          <w:color w:val="000000"/>
          <w:sz w:val="28"/>
        </w:rPr>
        <w:t xml:space="preserve">
      Развитие цифровых технологий является одним из важнейших факторов, способствующих решению ключевых задач, приведенных в Плане развития АО "НУХ "Байтерек". </w:t>
      </w:r>
    </w:p>
    <w:bookmarkEnd w:id="517"/>
    <w:bookmarkStart w:name="z550" w:id="518"/>
    <w:p>
      <w:pPr>
        <w:spacing w:after="0"/>
        <w:ind w:left="0"/>
        <w:jc w:val="both"/>
      </w:pPr>
      <w:r>
        <w:rPr>
          <w:rFonts w:ascii="Times New Roman"/>
          <w:b w:val="false"/>
          <w:i w:val="false"/>
          <w:color w:val="000000"/>
          <w:sz w:val="28"/>
        </w:rPr>
        <w:t xml:space="preserve">
      В соответствии с Посланием Главы государства от 1 сентября 2023 года "Экономический курс Справедливого Казахстана" в целях операционной эффективности государственной поддержки, в том числе поручено осуществление масштабной цифровизации деятельности АО "НУХ "Байтерек". </w:t>
      </w:r>
    </w:p>
    <w:bookmarkEnd w:id="518"/>
    <w:bookmarkStart w:name="z551" w:id="519"/>
    <w:p>
      <w:pPr>
        <w:spacing w:after="0"/>
        <w:ind w:left="0"/>
        <w:jc w:val="both"/>
      </w:pPr>
      <w:r>
        <w:rPr>
          <w:rFonts w:ascii="Times New Roman"/>
          <w:b w:val="false"/>
          <w:i w:val="false"/>
          <w:color w:val="000000"/>
          <w:sz w:val="28"/>
        </w:rPr>
        <w:t>
      Для реализации целей и поставленных перед холдингом задач утверждена Стратегия цифровизации АО "НУХ "Байтерек" на 2024-2026 годы (далее – Стратегия цифровизации), в которой определены основные стратегические фокусы цифровой трансформации холдинга:</w:t>
      </w:r>
    </w:p>
    <w:bookmarkEnd w:id="519"/>
    <w:bookmarkStart w:name="z552" w:id="520"/>
    <w:p>
      <w:pPr>
        <w:spacing w:after="0"/>
        <w:ind w:left="0"/>
        <w:jc w:val="both"/>
      </w:pPr>
      <w:r>
        <w:rPr>
          <w:rFonts w:ascii="Times New Roman"/>
          <w:b w:val="false"/>
          <w:i w:val="false"/>
          <w:color w:val="000000"/>
          <w:sz w:val="28"/>
        </w:rPr>
        <w:t>
      управление данными и аналитика (BigData, AI);</w:t>
      </w:r>
    </w:p>
    <w:bookmarkEnd w:id="520"/>
    <w:bookmarkStart w:name="z553" w:id="521"/>
    <w:p>
      <w:pPr>
        <w:spacing w:after="0"/>
        <w:ind w:left="0"/>
        <w:jc w:val="both"/>
      </w:pPr>
      <w:r>
        <w:rPr>
          <w:rFonts w:ascii="Times New Roman"/>
          <w:b w:val="false"/>
          <w:i w:val="false"/>
          <w:color w:val="000000"/>
          <w:sz w:val="28"/>
        </w:rPr>
        <w:t>
      цифровизация процессов (Business-process);</w:t>
      </w:r>
    </w:p>
    <w:bookmarkEnd w:id="521"/>
    <w:bookmarkStart w:name="z554" w:id="522"/>
    <w:p>
      <w:pPr>
        <w:spacing w:after="0"/>
        <w:ind w:left="0"/>
        <w:jc w:val="both"/>
      </w:pPr>
      <w:r>
        <w:rPr>
          <w:rFonts w:ascii="Times New Roman"/>
          <w:b w:val="false"/>
          <w:i w:val="false"/>
          <w:color w:val="000000"/>
          <w:sz w:val="28"/>
        </w:rPr>
        <w:t>
      интеграция с компонентами "электронного правительства" (Govtech);</w:t>
      </w:r>
    </w:p>
    <w:bookmarkEnd w:id="522"/>
    <w:bookmarkStart w:name="z555" w:id="523"/>
    <w:p>
      <w:pPr>
        <w:spacing w:after="0"/>
        <w:ind w:left="0"/>
        <w:jc w:val="both"/>
      </w:pPr>
      <w:r>
        <w:rPr>
          <w:rFonts w:ascii="Times New Roman"/>
          <w:b w:val="false"/>
          <w:i w:val="false"/>
          <w:color w:val="000000"/>
          <w:sz w:val="28"/>
        </w:rPr>
        <w:t>
      внедрение продуктового подхода (Product Approach);</w:t>
      </w:r>
    </w:p>
    <w:bookmarkEnd w:id="523"/>
    <w:bookmarkStart w:name="z556" w:id="524"/>
    <w:p>
      <w:pPr>
        <w:spacing w:after="0"/>
        <w:ind w:left="0"/>
        <w:jc w:val="both"/>
      </w:pPr>
      <w:r>
        <w:rPr>
          <w:rFonts w:ascii="Times New Roman"/>
          <w:b w:val="false"/>
          <w:i w:val="false"/>
          <w:color w:val="000000"/>
          <w:sz w:val="28"/>
        </w:rPr>
        <w:t>
      развитие ИТ-услуг и информационно-коммуникационной инфраструктуры (Core IT);</w:t>
      </w:r>
    </w:p>
    <w:bookmarkEnd w:id="524"/>
    <w:bookmarkStart w:name="z557" w:id="525"/>
    <w:p>
      <w:pPr>
        <w:spacing w:after="0"/>
        <w:ind w:left="0"/>
        <w:jc w:val="both"/>
      </w:pPr>
      <w:r>
        <w:rPr>
          <w:rFonts w:ascii="Times New Roman"/>
          <w:b w:val="false"/>
          <w:i w:val="false"/>
          <w:color w:val="000000"/>
          <w:sz w:val="28"/>
        </w:rPr>
        <w:t>
      корпоративное управление цифровой трансформацией (Culture);</w:t>
      </w:r>
    </w:p>
    <w:bookmarkEnd w:id="525"/>
    <w:bookmarkStart w:name="z558" w:id="526"/>
    <w:p>
      <w:pPr>
        <w:spacing w:after="0"/>
        <w:ind w:left="0"/>
        <w:jc w:val="both"/>
      </w:pPr>
      <w:r>
        <w:rPr>
          <w:rFonts w:ascii="Times New Roman"/>
          <w:b w:val="false"/>
          <w:i w:val="false"/>
          <w:color w:val="000000"/>
          <w:sz w:val="28"/>
        </w:rPr>
        <w:t>
      информационная безопасность (Cybersecurity).</w:t>
      </w:r>
    </w:p>
    <w:bookmarkEnd w:id="526"/>
    <w:bookmarkStart w:name="z559" w:id="527"/>
    <w:p>
      <w:pPr>
        <w:spacing w:after="0"/>
        <w:ind w:left="0"/>
        <w:jc w:val="both"/>
      </w:pPr>
      <w:r>
        <w:rPr>
          <w:rFonts w:ascii="Times New Roman"/>
          <w:b w:val="false"/>
          <w:i w:val="false"/>
          <w:color w:val="000000"/>
          <w:sz w:val="28"/>
        </w:rPr>
        <w:t>
      Внутренние бизнес-процессы холдинга автоматизированы в bpm-системе. Преимущества автоматизации процессов холдинга в единой bpm-системе в существенном сокращении сроков исполнения процессов, исключении дублирования функций холдинга и обеспечении перехода на безбумажный документооборот внутри холдинга в целом. Для управления финансовыми активами в холдинге используются продукты 1С, на базе которых также автоматизированы бизнес-процессы холдинга.</w:t>
      </w:r>
    </w:p>
    <w:bookmarkEnd w:id="527"/>
    <w:bookmarkStart w:name="z560" w:id="528"/>
    <w:p>
      <w:pPr>
        <w:spacing w:after="0"/>
        <w:ind w:left="0"/>
        <w:jc w:val="both"/>
      </w:pPr>
      <w:r>
        <w:rPr>
          <w:rFonts w:ascii="Times New Roman"/>
          <w:b w:val="false"/>
          <w:i w:val="false"/>
          <w:color w:val="000000"/>
          <w:sz w:val="28"/>
        </w:rPr>
        <w:t>
      В целях предоставления коллегиальным органам холдинга и ДО информационного инструмента, позволяющего учесть весь спектр мнений, аккумулировать знания и коллективный опыт членов коллегиального органа, учесть интересы всех заинтересованных групп, представители которых входят в состав коллегиального органа, обеспечивающего удаленное участие в процедурах голосования и принятия решений в холдинге и ДО, оперативное принятие управленческих и стратегических решений с учетом безопасного доступа к информации в любое время и в любом месте, а также для повышения эффективности работы коллегиальных органов работает портал коллегиальных органов.</w:t>
      </w:r>
    </w:p>
    <w:bookmarkEnd w:id="528"/>
    <w:bookmarkStart w:name="z561" w:id="529"/>
    <w:p>
      <w:pPr>
        <w:spacing w:after="0"/>
        <w:ind w:left="0"/>
        <w:jc w:val="both"/>
      </w:pPr>
      <w:r>
        <w:rPr>
          <w:rFonts w:ascii="Times New Roman"/>
          <w:b w:val="false"/>
          <w:i w:val="false"/>
          <w:color w:val="000000"/>
          <w:sz w:val="28"/>
        </w:rPr>
        <w:t xml:space="preserve">
      Кроме того, работники группы компаний холдинга обмениваются информацией в корпоративном портале холдинга, позволяющем осуществлять одновременную совместную работу над документами, мгновенный обмен сообщениями, ведение проектных задач, проведение видеоконференций между сотрудниками и прочее. На портале реализованы модули самообслуживания, цифровой кабинет, новостной портал, база знаний. </w:t>
      </w:r>
    </w:p>
    <w:bookmarkEnd w:id="529"/>
    <w:bookmarkStart w:name="z562" w:id="530"/>
    <w:p>
      <w:pPr>
        <w:spacing w:after="0"/>
        <w:ind w:left="0"/>
        <w:jc w:val="both"/>
      </w:pPr>
      <w:r>
        <w:rPr>
          <w:rFonts w:ascii="Times New Roman"/>
          <w:b w:val="false"/>
          <w:i w:val="false"/>
          <w:color w:val="000000"/>
          <w:sz w:val="28"/>
        </w:rPr>
        <w:t>
      С целью эффективной реализации Стратегии цифровизации и ускорения темпов развития цифровизации в холдинге работает коллегиально консультативно-совещательный орган – Офис цифровизации, где рассматриваются вопросы цифровой трансформации, внедрения новых подходов цифровизации, создания и развития объектов информатизации и информационно-коммуникационных технологий, автоматизации и реинжиниринга существующих бизнес-процессов.</w:t>
      </w:r>
    </w:p>
    <w:bookmarkEnd w:id="530"/>
    <w:bookmarkStart w:name="z563" w:id="531"/>
    <w:p>
      <w:pPr>
        <w:spacing w:after="0"/>
        <w:ind w:left="0"/>
        <w:jc w:val="both"/>
      </w:pPr>
      <w:r>
        <w:rPr>
          <w:rFonts w:ascii="Times New Roman"/>
          <w:b w:val="false"/>
          <w:i w:val="false"/>
          <w:color w:val="000000"/>
          <w:sz w:val="28"/>
        </w:rPr>
        <w:t>
      АО "НУХ "Байтерек" определит приоритеты по цифровой трансформации, включающие в себя комплекс мероприятий по внедрению цифровых технологий, реинжинирингу и использованию данных.</w:t>
      </w:r>
    </w:p>
    <w:bookmarkEnd w:id="531"/>
    <w:bookmarkStart w:name="z564" w:id="53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Совершенствование системы управления бизнес-процессами</w:t>
      </w:r>
    </w:p>
    <w:bookmarkEnd w:id="532"/>
    <w:bookmarkStart w:name="z565" w:id="533"/>
    <w:p>
      <w:pPr>
        <w:spacing w:after="0"/>
        <w:ind w:left="0"/>
        <w:jc w:val="both"/>
      </w:pPr>
      <w:r>
        <w:rPr>
          <w:rFonts w:ascii="Times New Roman"/>
          <w:b w:val="false"/>
          <w:i w:val="false"/>
          <w:color w:val="000000"/>
          <w:sz w:val="28"/>
        </w:rPr>
        <w:t>
      Управление бизнес-процессами – это концепция управления, связывающая стратегию развития/план развития и цели компании с ожиданиями и потребностями клиентов путем соответствующей организации сквозных процессов.</w:t>
      </w:r>
    </w:p>
    <w:bookmarkEnd w:id="533"/>
    <w:bookmarkStart w:name="z566" w:id="534"/>
    <w:p>
      <w:pPr>
        <w:spacing w:after="0"/>
        <w:ind w:left="0"/>
        <w:jc w:val="both"/>
      </w:pPr>
      <w:r>
        <w:rPr>
          <w:rFonts w:ascii="Times New Roman"/>
          <w:b w:val="false"/>
          <w:i w:val="false"/>
          <w:color w:val="000000"/>
          <w:sz w:val="28"/>
        </w:rPr>
        <w:t>
      Процессный подход в управлении компанией нацелен на гибкость и определенность в принятии эффективных управленческих решений и их реализации и выражается в формировании процессов таким образом, что решения, принимаемые в рамках процессов, механизмы их принятия, ответственные за принятие решений заблаговременно формализованы и предопределены.</w:t>
      </w:r>
    </w:p>
    <w:bookmarkEnd w:id="534"/>
    <w:bookmarkStart w:name="z567" w:id="535"/>
    <w:p>
      <w:pPr>
        <w:spacing w:after="0"/>
        <w:ind w:left="0"/>
        <w:jc w:val="both"/>
      </w:pPr>
      <w:r>
        <w:rPr>
          <w:rFonts w:ascii="Times New Roman"/>
          <w:b w:val="false"/>
          <w:i w:val="false"/>
          <w:color w:val="000000"/>
          <w:sz w:val="28"/>
        </w:rPr>
        <w:t>
      В целях качественного улучшения деятельности АО "НУХ "Байтерек" продолжается работа по совершенствованию системы управления бизнес-процессами. АО "НУХ "Байтерек" стремится к достижению следующих постановочных целей:</w:t>
      </w:r>
    </w:p>
    <w:bookmarkEnd w:id="535"/>
    <w:bookmarkStart w:name="z568" w:id="536"/>
    <w:p>
      <w:pPr>
        <w:spacing w:after="0"/>
        <w:ind w:left="0"/>
        <w:jc w:val="both"/>
      </w:pPr>
      <w:r>
        <w:rPr>
          <w:rFonts w:ascii="Times New Roman"/>
          <w:b w:val="false"/>
          <w:i w:val="false"/>
          <w:color w:val="000000"/>
          <w:sz w:val="28"/>
        </w:rPr>
        <w:t>
      1) скорость – сокращение времени на процессы: регламентация, автоматизация и временные ограничения;</w:t>
      </w:r>
    </w:p>
    <w:bookmarkEnd w:id="536"/>
    <w:bookmarkStart w:name="z569" w:id="537"/>
    <w:p>
      <w:pPr>
        <w:spacing w:after="0"/>
        <w:ind w:left="0"/>
        <w:jc w:val="both"/>
      </w:pPr>
      <w:r>
        <w:rPr>
          <w:rFonts w:ascii="Times New Roman"/>
          <w:b w:val="false"/>
          <w:i w:val="false"/>
          <w:color w:val="000000"/>
          <w:sz w:val="28"/>
        </w:rPr>
        <w:t>
      2) качество – прозрачность бизнес-процессов, регламентация и мониторинг;</w:t>
      </w:r>
    </w:p>
    <w:bookmarkEnd w:id="537"/>
    <w:bookmarkStart w:name="z570" w:id="538"/>
    <w:p>
      <w:pPr>
        <w:spacing w:after="0"/>
        <w:ind w:left="0"/>
        <w:jc w:val="both"/>
      </w:pPr>
      <w:r>
        <w:rPr>
          <w:rFonts w:ascii="Times New Roman"/>
          <w:b w:val="false"/>
          <w:i w:val="false"/>
          <w:color w:val="000000"/>
          <w:sz w:val="28"/>
        </w:rPr>
        <w:t>
      3) управление на основе показателей – контроль через показатели по затратам, времени и загрузке ресурсов;</w:t>
      </w:r>
    </w:p>
    <w:bookmarkEnd w:id="538"/>
    <w:bookmarkStart w:name="z571" w:id="539"/>
    <w:p>
      <w:pPr>
        <w:spacing w:after="0"/>
        <w:ind w:left="0"/>
        <w:jc w:val="both"/>
      </w:pPr>
      <w:r>
        <w:rPr>
          <w:rFonts w:ascii="Times New Roman"/>
          <w:b w:val="false"/>
          <w:i w:val="false"/>
          <w:color w:val="000000"/>
          <w:sz w:val="28"/>
        </w:rPr>
        <w:t>
      4) организационная гибкость – моделирование и перестройка процессов.</w:t>
      </w:r>
    </w:p>
    <w:bookmarkEnd w:id="539"/>
    <w:bookmarkStart w:name="z572" w:id="5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Комплексная поддержка клиентов</w:t>
      </w:r>
      <w:r>
        <w:rPr>
          <w:rFonts w:ascii="Times New Roman"/>
          <w:b w:val="false"/>
          <w:i w:val="false"/>
          <w:color w:val="000000"/>
          <w:sz w:val="28"/>
        </w:rPr>
        <w:t xml:space="preserve"> </w:t>
      </w:r>
      <w:r>
        <w:rPr>
          <w:rFonts w:ascii="Times New Roman"/>
          <w:b/>
          <w:i w:val="false"/>
          <w:color w:val="000000"/>
          <w:sz w:val="28"/>
        </w:rPr>
        <w:t>по принципу "одного окна"</w:t>
      </w:r>
    </w:p>
    <w:bookmarkEnd w:id="540"/>
    <w:bookmarkStart w:name="z573" w:id="541"/>
    <w:p>
      <w:pPr>
        <w:spacing w:after="0"/>
        <w:ind w:left="0"/>
        <w:jc w:val="both"/>
      </w:pPr>
      <w:r>
        <w:rPr>
          <w:rFonts w:ascii="Times New Roman"/>
          <w:b w:val="false"/>
          <w:i w:val="false"/>
          <w:color w:val="000000"/>
          <w:sz w:val="28"/>
        </w:rPr>
        <w:t>
      Для успешной реализации целей и задач АО "НУХ "Байтерек" внедряет принцип "одного окна" в предоставлении комплексных решений с использованием всех мер господдержки. Это подразумевает формирование комплексной поддержки на уровне АО "НУХ "Байтерек" путем развития Единого портала поддержки бизнеса "bgov.kz" как "единого окна" по предоставлению господдержки и услуг для бизнеса.</w:t>
      </w:r>
    </w:p>
    <w:bookmarkEnd w:id="541"/>
    <w:bookmarkStart w:name="z574" w:id="542"/>
    <w:p>
      <w:pPr>
        <w:spacing w:after="0"/>
        <w:ind w:left="0"/>
        <w:jc w:val="both"/>
      </w:pPr>
      <w:r>
        <w:rPr>
          <w:rFonts w:ascii="Times New Roman"/>
          <w:b w:val="false"/>
          <w:i w:val="false"/>
          <w:color w:val="000000"/>
          <w:sz w:val="28"/>
        </w:rPr>
        <w:t>
      Предоставление клиентам АО "НУХ "Байтерек" комплексной поддержки по принципу "одного окна" требует непрерывной работы по совершенствованию своей деятельности в части клиентоориентированности через повышение эффективности предоставляемых инструментов поддержки субъектам предпринимательства и населению в заданных государством приоритетных направлениях.</w:t>
      </w:r>
    </w:p>
    <w:bookmarkEnd w:id="542"/>
    <w:bookmarkStart w:name="z575" w:id="543"/>
    <w:p>
      <w:pPr>
        <w:spacing w:after="0"/>
        <w:ind w:left="0"/>
        <w:jc w:val="both"/>
      </w:pPr>
      <w:r>
        <w:rPr>
          <w:rFonts w:ascii="Times New Roman"/>
          <w:b w:val="false"/>
          <w:i w:val="false"/>
          <w:color w:val="000000"/>
          <w:sz w:val="28"/>
        </w:rPr>
        <w:t xml:space="preserve">
      На сегодняшний день на Bgov доступны 65 услуг дочерних организаций холдинга по 6 направлениям государственной поддержки: кредитование, субсидирование, лизинг, страхование, гарантирование и инвестирование. </w:t>
      </w:r>
    </w:p>
    <w:bookmarkEnd w:id="543"/>
    <w:bookmarkStart w:name="z576" w:id="544"/>
    <w:p>
      <w:pPr>
        <w:spacing w:after="0"/>
        <w:ind w:left="0"/>
        <w:jc w:val="both"/>
      </w:pPr>
      <w:r>
        <w:rPr>
          <w:rFonts w:ascii="Times New Roman"/>
          <w:b w:val="false"/>
          <w:i w:val="false"/>
          <w:color w:val="000000"/>
          <w:sz w:val="28"/>
        </w:rPr>
        <w:t>
      При этом непосредственная реализация и предоставление инструментов комплексной поддержки осуществляются на уровне ДО с ограниченной вовлеченностью со стороны АО "НУХ "Байтерек" в рамках администрирования процесса без привлечения дополнительных человеческих ресурсов.</w:t>
      </w:r>
    </w:p>
    <w:bookmarkEnd w:id="544"/>
    <w:bookmarkStart w:name="z577" w:id="545"/>
    <w:p>
      <w:pPr>
        <w:spacing w:after="0"/>
        <w:ind w:left="0"/>
        <w:jc w:val="both"/>
      </w:pPr>
      <w:r>
        <w:rPr>
          <w:rFonts w:ascii="Times New Roman"/>
          <w:b w:val="false"/>
          <w:i w:val="false"/>
          <w:color w:val="000000"/>
          <w:sz w:val="28"/>
        </w:rPr>
        <w:t xml:space="preserve">
      Реализация комплексной поддержки позволяет получить дополнительный синергетический эффект от работы институтов развития под эгидой АО "НУХ "Байтерек", как единого института развития. </w:t>
      </w:r>
    </w:p>
    <w:bookmarkEnd w:id="545"/>
    <w:bookmarkStart w:name="z578" w:id="546"/>
    <w:p>
      <w:pPr>
        <w:spacing w:after="0"/>
        <w:ind w:left="0"/>
        <w:jc w:val="both"/>
      </w:pPr>
      <w:r>
        <w:rPr>
          <w:rFonts w:ascii="Times New Roman"/>
          <w:b w:val="false"/>
          <w:i w:val="false"/>
          <w:color w:val="000000"/>
          <w:sz w:val="28"/>
        </w:rPr>
        <w:t>
      Результатом работы станет перевод всех инструментов поддержки в онлайн формат: подача заявки, статус рассмотрения, одобрение, предоставление необходимых документов, поддержка, консультация и другое.</w:t>
      </w:r>
    </w:p>
    <w:bookmarkEnd w:id="546"/>
    <w:bookmarkStart w:name="z579" w:id="547"/>
    <w:p>
      <w:pPr>
        <w:spacing w:after="0"/>
        <w:ind w:left="0"/>
        <w:jc w:val="both"/>
      </w:pPr>
      <w:r>
        <w:rPr>
          <w:rFonts w:ascii="Times New Roman"/>
          <w:b w:val="false"/>
          <w:i w:val="false"/>
          <w:color w:val="000000"/>
          <w:sz w:val="28"/>
        </w:rPr>
        <w:t>
      В качестве еще одного инструмента для упрощения процесса взаимодействия с холдингом и его ДО, предоставив клиентам единое окно для получения информации, консультаций и оперативного решения вопросов, запущен единый контакт-центр. Клиенты могут получить консультации по продуктам и услугам ДО и по использованию Bgov, а также актуальную информацию о программах поддержки бизнеса.</w:t>
      </w:r>
    </w:p>
    <w:bookmarkEnd w:id="547"/>
    <w:bookmarkStart w:name="z580" w:id="54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Аналитический центр</w:t>
      </w:r>
    </w:p>
    <w:bookmarkEnd w:id="548"/>
    <w:bookmarkStart w:name="z581" w:id="549"/>
    <w:p>
      <w:pPr>
        <w:spacing w:after="0"/>
        <w:ind w:left="0"/>
        <w:jc w:val="both"/>
      </w:pPr>
      <w:r>
        <w:rPr>
          <w:rFonts w:ascii="Times New Roman"/>
          <w:b w:val="false"/>
          <w:i w:val="false"/>
          <w:color w:val="000000"/>
          <w:sz w:val="28"/>
        </w:rPr>
        <w:t>
      В настоящее время АО "НУХ "Байтерек" руководствуется приоритетами, обозначенными государством в рамках утвержденных программ поддержки и развития экономики, решений и поручений Правительства Республики Казахстан, других государственных органов.</w:t>
      </w:r>
    </w:p>
    <w:bookmarkEnd w:id="549"/>
    <w:bookmarkStart w:name="z582" w:id="550"/>
    <w:p>
      <w:pPr>
        <w:spacing w:after="0"/>
        <w:ind w:left="0"/>
        <w:jc w:val="both"/>
      </w:pPr>
      <w:r>
        <w:rPr>
          <w:rFonts w:ascii="Times New Roman"/>
          <w:b w:val="false"/>
          <w:i w:val="false"/>
          <w:color w:val="000000"/>
          <w:sz w:val="28"/>
        </w:rPr>
        <w:t>
      Благодаря наработанному опыту АО "НУХ "Байтерек" и его ДО имеют глубокое понимание потребностей клиентов, в частности, на основе институциональной памяти во всех стратегических направлениях деятельности АО "НУХ "Байтерек". Прямой контакт ДО АО "НУХ "Байтерек" с клиентами – получателями услуг позволяет получать актуальную информацию относительно существующих проблем и сложностей, текущих и будущих потребностей, а также необходимых инструментов и объемов поддержки со стороны институтов развития. АО "НУХ "Байтерек" может эффективно использовать доступ к данной информации и централизованно ее обрабатывать. В связи с этим основой аналитического центра будет являться централизованное хранилище данных, которое содержит в себе весь "наработанный опыт" холдинга в цифровом виде и будет доступно широкому кругу пользователей с учетом принципа соблюдения конфиденциальности информации, охраняемой законодательством Республики Казахстан.</w:t>
      </w:r>
    </w:p>
    <w:bookmarkEnd w:id="550"/>
    <w:bookmarkStart w:name="z583" w:id="551"/>
    <w:p>
      <w:pPr>
        <w:spacing w:after="0"/>
        <w:ind w:left="0"/>
        <w:jc w:val="both"/>
      </w:pPr>
      <w:r>
        <w:rPr>
          <w:rFonts w:ascii="Times New Roman"/>
          <w:b w:val="false"/>
          <w:i w:val="false"/>
          <w:color w:val="000000"/>
          <w:sz w:val="28"/>
        </w:rPr>
        <w:t>
      Динамичный процесс принятия решений по актуальным вопросам развития требует системных знаний, основанных на изучении и обобщении положительного опыта.</w:t>
      </w:r>
    </w:p>
    <w:bookmarkEnd w:id="551"/>
    <w:bookmarkStart w:name="z584" w:id="552"/>
    <w:p>
      <w:pPr>
        <w:spacing w:after="0"/>
        <w:ind w:left="0"/>
        <w:jc w:val="both"/>
      </w:pPr>
      <w:r>
        <w:rPr>
          <w:rFonts w:ascii="Times New Roman"/>
          <w:b w:val="false"/>
          <w:i w:val="false"/>
          <w:color w:val="000000"/>
          <w:sz w:val="28"/>
        </w:rPr>
        <w:t xml:space="preserve">
      Аналитический центр, основываясь на обработке Big Data со всей группы холдинга, позволит таргетировать поддержку для граждан и бизнес-предприятий, а также повысить эффективность деятельности АО "НУХ "Байтерек" и ДО через приятие data-driven решений. </w:t>
      </w:r>
    </w:p>
    <w:bookmarkEnd w:id="552"/>
    <w:bookmarkStart w:name="z585" w:id="553"/>
    <w:p>
      <w:pPr>
        <w:spacing w:after="0"/>
        <w:ind w:left="0"/>
        <w:jc w:val="both"/>
      </w:pPr>
      <w:r>
        <w:rPr>
          <w:rFonts w:ascii="Times New Roman"/>
          <w:b w:val="false"/>
          <w:i w:val="false"/>
          <w:color w:val="000000"/>
          <w:sz w:val="28"/>
        </w:rPr>
        <w:t>
      Основные задачи аналитического центра:</w:t>
      </w:r>
    </w:p>
    <w:bookmarkEnd w:id="553"/>
    <w:bookmarkStart w:name="z586" w:id="554"/>
    <w:p>
      <w:pPr>
        <w:spacing w:after="0"/>
        <w:ind w:left="0"/>
        <w:jc w:val="both"/>
      </w:pPr>
      <w:r>
        <w:rPr>
          <w:rFonts w:ascii="Times New Roman"/>
          <w:b w:val="false"/>
          <w:i w:val="false"/>
          <w:color w:val="000000"/>
          <w:sz w:val="28"/>
        </w:rPr>
        <w:t>
      1) определение приоритетов в поддержке развития экономики на основе концепций развития, а также расширенного анализа поддержанных проектов в разрезе регионов и секторов экономики;</w:t>
      </w:r>
    </w:p>
    <w:bookmarkEnd w:id="554"/>
    <w:bookmarkStart w:name="z587" w:id="555"/>
    <w:p>
      <w:pPr>
        <w:spacing w:after="0"/>
        <w:ind w:left="0"/>
        <w:jc w:val="both"/>
      </w:pPr>
      <w:r>
        <w:rPr>
          <w:rFonts w:ascii="Times New Roman"/>
          <w:b w:val="false"/>
          <w:i w:val="false"/>
          <w:color w:val="000000"/>
          <w:sz w:val="28"/>
        </w:rPr>
        <w:t>
      2) анализ инструментов поддержки АО "НУХ "Байтерек" и ДО на предмет их эффективности, актуальности и применимости, включая оптимизацию процессов;</w:t>
      </w:r>
    </w:p>
    <w:bookmarkEnd w:id="555"/>
    <w:bookmarkStart w:name="z588" w:id="556"/>
    <w:p>
      <w:pPr>
        <w:spacing w:after="0"/>
        <w:ind w:left="0"/>
        <w:jc w:val="both"/>
      </w:pPr>
      <w:r>
        <w:rPr>
          <w:rFonts w:ascii="Times New Roman"/>
          <w:b w:val="false"/>
          <w:i w:val="false"/>
          <w:color w:val="000000"/>
          <w:sz w:val="28"/>
        </w:rPr>
        <w:t xml:space="preserve">
      3) выработка предложений по новым решениям поддержки бизнеса и другие. </w:t>
      </w:r>
    </w:p>
    <w:bookmarkEnd w:id="556"/>
    <w:bookmarkStart w:name="z589" w:id="557"/>
    <w:p>
      <w:pPr>
        <w:spacing w:after="0"/>
        <w:ind w:left="0"/>
        <w:jc w:val="both"/>
      </w:pPr>
      <w:r>
        <w:rPr>
          <w:rFonts w:ascii="Times New Roman"/>
          <w:b w:val="false"/>
          <w:i w:val="false"/>
          <w:color w:val="000000"/>
          <w:sz w:val="28"/>
        </w:rPr>
        <w:t>
      Для реализации задач аналитического центра необходимы:</w:t>
      </w:r>
    </w:p>
    <w:bookmarkEnd w:id="557"/>
    <w:bookmarkStart w:name="z590" w:id="558"/>
    <w:p>
      <w:pPr>
        <w:spacing w:after="0"/>
        <w:ind w:left="0"/>
        <w:jc w:val="both"/>
      </w:pPr>
      <w:r>
        <w:rPr>
          <w:rFonts w:ascii="Times New Roman"/>
          <w:b w:val="false"/>
          <w:i w:val="false"/>
          <w:color w:val="000000"/>
          <w:sz w:val="28"/>
        </w:rPr>
        <w:t>
      1) повышение степени автоматизации ДО в части обработки данных;</w:t>
      </w:r>
    </w:p>
    <w:bookmarkEnd w:id="558"/>
    <w:bookmarkStart w:name="z591" w:id="559"/>
    <w:p>
      <w:pPr>
        <w:spacing w:after="0"/>
        <w:ind w:left="0"/>
        <w:jc w:val="both"/>
      </w:pPr>
      <w:r>
        <w:rPr>
          <w:rFonts w:ascii="Times New Roman"/>
          <w:b w:val="false"/>
          <w:i w:val="false"/>
          <w:color w:val="000000"/>
          <w:sz w:val="28"/>
        </w:rPr>
        <w:t>
      2) повышение квалификации работников АО "НУХ "Байтерек" и ДО, обеспечивающих деятельность аналитического центра, в сфере Big Data с приоритетом на реализацию проекта;</w:t>
      </w:r>
    </w:p>
    <w:bookmarkEnd w:id="559"/>
    <w:bookmarkStart w:name="z592" w:id="560"/>
    <w:p>
      <w:pPr>
        <w:spacing w:after="0"/>
        <w:ind w:left="0"/>
        <w:jc w:val="both"/>
      </w:pPr>
      <w:r>
        <w:rPr>
          <w:rFonts w:ascii="Times New Roman"/>
          <w:b w:val="false"/>
          <w:i w:val="false"/>
          <w:color w:val="000000"/>
          <w:sz w:val="28"/>
        </w:rPr>
        <w:t>
      3) оптимизация рутинных задач департаментов АО "НУХ "Байтерек" за счет пересмотра объема форм отчетности, отказа от ручной обработки форм Excel;</w:t>
      </w:r>
    </w:p>
    <w:bookmarkEnd w:id="560"/>
    <w:bookmarkStart w:name="z593" w:id="561"/>
    <w:p>
      <w:pPr>
        <w:spacing w:after="0"/>
        <w:ind w:left="0"/>
        <w:jc w:val="both"/>
      </w:pPr>
      <w:r>
        <w:rPr>
          <w:rFonts w:ascii="Times New Roman"/>
          <w:b w:val="false"/>
          <w:i w:val="false"/>
          <w:color w:val="000000"/>
          <w:sz w:val="28"/>
        </w:rPr>
        <w:t>
      4) интеграция с внешними источниками данных;</w:t>
      </w:r>
    </w:p>
    <w:bookmarkEnd w:id="561"/>
    <w:bookmarkStart w:name="z594" w:id="562"/>
    <w:p>
      <w:pPr>
        <w:spacing w:after="0"/>
        <w:ind w:left="0"/>
        <w:jc w:val="both"/>
      </w:pPr>
      <w:r>
        <w:rPr>
          <w:rFonts w:ascii="Times New Roman"/>
          <w:b w:val="false"/>
          <w:i w:val="false"/>
          <w:color w:val="000000"/>
          <w:sz w:val="28"/>
        </w:rPr>
        <w:t>
      5) перевод управленческой отчетности в интерактивные аналитические панели за счет автоматизации расчетов и визуализации показателей деятельности АО "НУХ "Байтерек".</w:t>
      </w:r>
    </w:p>
    <w:bookmarkEnd w:id="562"/>
    <w:bookmarkStart w:name="z595" w:id="563"/>
    <w:p>
      <w:pPr>
        <w:spacing w:after="0"/>
        <w:ind w:left="0"/>
        <w:jc w:val="both"/>
      </w:pPr>
      <w:r>
        <w:rPr>
          <w:rFonts w:ascii="Times New Roman"/>
          <w:b w:val="false"/>
          <w:i w:val="false"/>
          <w:color w:val="000000"/>
          <w:sz w:val="28"/>
        </w:rPr>
        <w:t>
      Вместе с тем для повышения производительности труда работников, сокращения времени принятия решений по заявкам бизнеса и дебюрократизации процесса предоставления государственной поддержки необходимо широкое применение искусственного интеллекта (далее – ИИ).</w:t>
      </w:r>
    </w:p>
    <w:bookmarkEnd w:id="563"/>
    <w:bookmarkStart w:name="z596" w:id="564"/>
    <w:p>
      <w:pPr>
        <w:spacing w:after="0"/>
        <w:ind w:left="0"/>
        <w:jc w:val="both"/>
      </w:pPr>
      <w:r>
        <w:rPr>
          <w:rFonts w:ascii="Times New Roman"/>
          <w:b w:val="false"/>
          <w:i w:val="false"/>
          <w:color w:val="000000"/>
          <w:sz w:val="28"/>
        </w:rPr>
        <w:t>
      Основные направления внедрения ИИ в деятельность холдинга:</w:t>
      </w:r>
    </w:p>
    <w:bookmarkEnd w:id="564"/>
    <w:bookmarkStart w:name="z597" w:id="565"/>
    <w:p>
      <w:pPr>
        <w:spacing w:after="0"/>
        <w:ind w:left="0"/>
        <w:jc w:val="both"/>
      </w:pPr>
      <w:r>
        <w:rPr>
          <w:rFonts w:ascii="Times New Roman"/>
          <w:b w:val="false"/>
          <w:i w:val="false"/>
          <w:color w:val="000000"/>
          <w:sz w:val="28"/>
        </w:rPr>
        <w:t>
      1. Виртуальные ассистенты и чат-боты для клиентской поддержки.</w:t>
      </w:r>
    </w:p>
    <w:bookmarkEnd w:id="565"/>
    <w:bookmarkStart w:name="z598" w:id="566"/>
    <w:p>
      <w:pPr>
        <w:spacing w:after="0"/>
        <w:ind w:left="0"/>
        <w:jc w:val="both"/>
      </w:pPr>
      <w:r>
        <w:rPr>
          <w:rFonts w:ascii="Times New Roman"/>
          <w:b w:val="false"/>
          <w:i w:val="false"/>
          <w:color w:val="000000"/>
          <w:sz w:val="28"/>
        </w:rPr>
        <w:t>
      Разработка и внедрение ИИ-ботов для автоматизации работы контакт-центров и клиентской поддержки. Чат-боты смогут отвечать на частые вопросы, решать типичные проблемы, направлять клиентов к нужному специалисту и собирать обратную связь.</w:t>
      </w:r>
    </w:p>
    <w:bookmarkEnd w:id="566"/>
    <w:bookmarkStart w:name="z599" w:id="567"/>
    <w:p>
      <w:pPr>
        <w:spacing w:after="0"/>
        <w:ind w:left="0"/>
        <w:jc w:val="both"/>
      </w:pPr>
      <w:r>
        <w:rPr>
          <w:rFonts w:ascii="Times New Roman"/>
          <w:b w:val="false"/>
          <w:i w:val="false"/>
          <w:color w:val="000000"/>
          <w:sz w:val="28"/>
        </w:rPr>
        <w:t>
      2. ИИ для аналитики и прогнозирования бизнеса.</w:t>
      </w:r>
    </w:p>
    <w:bookmarkEnd w:id="567"/>
    <w:bookmarkStart w:name="z600" w:id="568"/>
    <w:p>
      <w:pPr>
        <w:spacing w:after="0"/>
        <w:ind w:left="0"/>
        <w:jc w:val="both"/>
      </w:pPr>
      <w:r>
        <w:rPr>
          <w:rFonts w:ascii="Times New Roman"/>
          <w:b w:val="false"/>
          <w:i w:val="false"/>
          <w:color w:val="000000"/>
          <w:sz w:val="28"/>
        </w:rPr>
        <w:t>
      Внедрение предиктивной аналитики на основе машинного обучения для прогнозирования показателей, выявления аномалий в бизнесе и автоматизированного принятия решений.</w:t>
      </w:r>
    </w:p>
    <w:bookmarkEnd w:id="568"/>
    <w:bookmarkStart w:name="z601" w:id="569"/>
    <w:p>
      <w:pPr>
        <w:spacing w:after="0"/>
        <w:ind w:left="0"/>
        <w:jc w:val="both"/>
      </w:pPr>
      <w:r>
        <w:rPr>
          <w:rFonts w:ascii="Times New Roman"/>
          <w:b w:val="false"/>
          <w:i w:val="false"/>
          <w:color w:val="000000"/>
          <w:sz w:val="28"/>
        </w:rPr>
        <w:t>
      3. ИИ-ассистенты для автоматизации процессов.</w:t>
      </w:r>
    </w:p>
    <w:bookmarkEnd w:id="569"/>
    <w:bookmarkStart w:name="z602" w:id="570"/>
    <w:p>
      <w:pPr>
        <w:spacing w:after="0"/>
        <w:ind w:left="0"/>
        <w:jc w:val="both"/>
      </w:pPr>
      <w:r>
        <w:rPr>
          <w:rFonts w:ascii="Times New Roman"/>
          <w:b w:val="false"/>
          <w:i w:val="false"/>
          <w:color w:val="000000"/>
          <w:sz w:val="28"/>
        </w:rPr>
        <w:t>
      Использование ИИ-агентов для автоматизации рутинных задач работников, таких как обработка документов, организация встреч, написание отчетов.</w:t>
      </w:r>
    </w:p>
    <w:bookmarkEnd w:id="570"/>
    <w:bookmarkStart w:name="z603" w:id="571"/>
    <w:p>
      <w:pPr>
        <w:spacing w:after="0"/>
        <w:ind w:left="0"/>
        <w:jc w:val="both"/>
      </w:pPr>
      <w:r>
        <w:rPr>
          <w:rFonts w:ascii="Times New Roman"/>
          <w:b w:val="false"/>
          <w:i w:val="false"/>
          <w:color w:val="000000"/>
          <w:sz w:val="28"/>
        </w:rPr>
        <w:t>
      4. Автоматизация IT и DevOps с помощью ИИ.</w:t>
      </w:r>
    </w:p>
    <w:bookmarkEnd w:id="571"/>
    <w:bookmarkStart w:name="z604" w:id="572"/>
    <w:p>
      <w:pPr>
        <w:spacing w:after="0"/>
        <w:ind w:left="0"/>
        <w:jc w:val="both"/>
      </w:pPr>
      <w:r>
        <w:rPr>
          <w:rFonts w:ascii="Times New Roman"/>
          <w:b w:val="false"/>
          <w:i w:val="false"/>
          <w:color w:val="000000"/>
          <w:sz w:val="28"/>
        </w:rPr>
        <w:t>
      Применение ИИ-инструментов для генерации кода, автоматического тестирования и мониторинга IT-инфраструктуры.</w:t>
      </w:r>
    </w:p>
    <w:bookmarkEnd w:id="572"/>
    <w:bookmarkStart w:name="z605" w:id="573"/>
    <w:p>
      <w:pPr>
        <w:spacing w:after="0"/>
        <w:ind w:left="0"/>
        <w:jc w:val="left"/>
      </w:pPr>
      <w:r>
        <w:rPr>
          <w:rFonts w:ascii="Times New Roman"/>
          <w:b/>
          <w:i w:val="false"/>
          <w:color w:val="000000"/>
        </w:rPr>
        <w:t xml:space="preserve"> Параграф 5. Стратегия управления внешним долгом АО "НУХ "Байтерек"</w:t>
      </w:r>
    </w:p>
    <w:bookmarkEnd w:id="573"/>
    <w:bookmarkStart w:name="z606" w:id="574"/>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i w:val="false"/>
          <w:color w:val="000000"/>
          <w:sz w:val="28"/>
        </w:rPr>
        <w:t>Общие положения</w:t>
      </w:r>
    </w:p>
    <w:bookmarkEnd w:id="574"/>
    <w:bookmarkStart w:name="z607" w:id="575"/>
    <w:p>
      <w:pPr>
        <w:spacing w:after="0"/>
        <w:ind w:left="0"/>
        <w:jc w:val="both"/>
      </w:pPr>
      <w:r>
        <w:rPr>
          <w:rFonts w:ascii="Times New Roman"/>
          <w:b w:val="false"/>
          <w:i w:val="false"/>
          <w:color w:val="000000"/>
          <w:sz w:val="28"/>
        </w:rPr>
        <w:t>
      Целью настоящего раздела является определение основных целей и принципов заимствования и управления портфелем заимствования для привлечения АО НУХ "Байтерек" денежных ресурсов на оптимально возможных условиях (инструмент заимствования, его стоимость, срок, сумма, валюта) для последующего финансирования дочерних организаций холдинга с последующим финансированием инвестиционных проектов, экспортных операций, лизинговых сделок и организаций-лизингодателей, межбанковского кредитования, агропромышленного комплекса и других видов финансирования, осуществляемых в соответствии с уставной деятельностью.</w:t>
      </w:r>
    </w:p>
    <w:bookmarkEnd w:id="575"/>
    <w:bookmarkStart w:name="z608" w:id="576"/>
    <w:p>
      <w:pPr>
        <w:spacing w:after="0"/>
        <w:ind w:left="0"/>
        <w:jc w:val="both"/>
      </w:pPr>
      <w:r>
        <w:rPr>
          <w:rFonts w:ascii="Times New Roman"/>
          <w:b w:val="false"/>
          <w:i w:val="false"/>
          <w:color w:val="000000"/>
          <w:sz w:val="28"/>
        </w:rPr>
        <w:t>
      В своей деятельности холдинг осуществляет заимствование и регулирует предельный объем внешнего долга в соответствии с нормативными правовыми актами государственных органов и внутренними документами холдинга:</w:t>
      </w:r>
    </w:p>
    <w:bookmarkEnd w:id="576"/>
    <w:bookmarkStart w:name="z609" w:id="577"/>
    <w:p>
      <w:pPr>
        <w:spacing w:after="0"/>
        <w:ind w:left="0"/>
        <w:jc w:val="both"/>
      </w:pPr>
      <w:r>
        <w:rPr>
          <w:rFonts w:ascii="Times New Roman"/>
          <w:b w:val="false"/>
          <w:i w:val="false"/>
          <w:color w:val="000000"/>
          <w:sz w:val="28"/>
        </w:rPr>
        <w:t>
      приказ Министра национальной экономики Республики Казахстан от 18 сентября 2023 года №164 "Об утверждении Правил определения предельного объема внешнего долга квазигосударственного сектора", зарегистрирован в реестре государственной регистрации нормативных правовых актов Республики Казахстан 21 сентября 2023 года под № 33444;</w:t>
      </w:r>
    </w:p>
    <w:bookmarkEnd w:id="577"/>
    <w:bookmarkStart w:name="z610" w:id="578"/>
    <w:p>
      <w:pPr>
        <w:spacing w:after="0"/>
        <w:ind w:left="0"/>
        <w:jc w:val="both"/>
      </w:pPr>
      <w:r>
        <w:rPr>
          <w:rFonts w:ascii="Times New Roman"/>
          <w:b w:val="false"/>
          <w:i w:val="false"/>
          <w:color w:val="000000"/>
          <w:sz w:val="28"/>
        </w:rPr>
        <w:t>
      приказ Министра национальной экономики Республики Казахстан от 19 июня 2023 года № 117 "Об определении параметров финансовой устойчивости (коэффициентов) Банка Развития Казахстана, их пороговых значений и утверждении методики расчета пороговых значений параметров финансовой устойчивости (коэффициентов) Банка Развития Казахстана", зарегистрирован в реестре государственной регистрации нормативных правовых актов Республики Казахстан 19 июня 2023 года № 32845;</w:t>
      </w:r>
    </w:p>
    <w:bookmarkEnd w:id="578"/>
    <w:bookmarkStart w:name="z611" w:id="579"/>
    <w:p>
      <w:pPr>
        <w:spacing w:after="0"/>
        <w:ind w:left="0"/>
        <w:jc w:val="both"/>
      </w:pPr>
      <w:r>
        <w:rPr>
          <w:rFonts w:ascii="Times New Roman"/>
          <w:b w:val="false"/>
          <w:i w:val="false"/>
          <w:color w:val="000000"/>
          <w:sz w:val="28"/>
        </w:rPr>
        <w:t>
      Политика управления рисками АО НУХ "Байтерек" (протокол Совета директоров АО "НУХ "Байтерек" от 19 октября 2023 года № 07/23);</w:t>
      </w:r>
    </w:p>
    <w:bookmarkEnd w:id="579"/>
    <w:bookmarkStart w:name="z612" w:id="580"/>
    <w:p>
      <w:pPr>
        <w:spacing w:after="0"/>
        <w:ind w:left="0"/>
        <w:jc w:val="both"/>
      </w:pPr>
      <w:r>
        <w:rPr>
          <w:rFonts w:ascii="Times New Roman"/>
          <w:b w:val="false"/>
          <w:i w:val="false"/>
          <w:color w:val="000000"/>
          <w:sz w:val="28"/>
        </w:rPr>
        <w:t>
      Правила управления рисками АО "НУХ "Байтерек" (протокол Совета директоров АО "НУХ "Байтерек" от 27 мая 2021 года № 03/21);</w:t>
      </w:r>
    </w:p>
    <w:bookmarkEnd w:id="580"/>
    <w:bookmarkStart w:name="z613" w:id="581"/>
    <w:p>
      <w:pPr>
        <w:spacing w:after="0"/>
        <w:ind w:left="0"/>
        <w:jc w:val="both"/>
      </w:pPr>
      <w:r>
        <w:rPr>
          <w:rFonts w:ascii="Times New Roman"/>
          <w:b w:val="false"/>
          <w:i w:val="false"/>
          <w:color w:val="000000"/>
          <w:sz w:val="28"/>
        </w:rPr>
        <w:t>
      Правила заимствования АО "НУХ "Байтерек" и юридических лиц, более пятидесяти процентов голосующих акций (долей участия) которых прямо или косвенно принадлежат АО "НУХ "Байтерек" на праве собственности или доверительного управления (протокол Совета директоров АО "НУХ "Байтерек" от 26 сентября 2013 года № 08/13);</w:t>
      </w:r>
    </w:p>
    <w:bookmarkEnd w:id="581"/>
    <w:bookmarkStart w:name="z614" w:id="582"/>
    <w:p>
      <w:pPr>
        <w:spacing w:after="0"/>
        <w:ind w:left="0"/>
        <w:jc w:val="both"/>
      </w:pPr>
      <w:r>
        <w:rPr>
          <w:rFonts w:ascii="Times New Roman"/>
          <w:b w:val="false"/>
          <w:i w:val="false"/>
          <w:color w:val="000000"/>
          <w:sz w:val="28"/>
        </w:rPr>
        <w:t>
      План мероприятий АО "НУХ "Байтерек" на 2024-2028 годы (10 форма - структура заимствований и график погашения) (протокол Совета директоров АО "НУХ "Байтерек" от 23 ноября 2023 года № 08/23).</w:t>
      </w:r>
    </w:p>
    <w:bookmarkEnd w:id="582"/>
    <w:bookmarkStart w:name="z615" w:id="58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 xml:space="preserve"> Основные цели </w:t>
      </w:r>
    </w:p>
    <w:bookmarkEnd w:id="583"/>
    <w:bookmarkStart w:name="z616" w:id="584"/>
    <w:p>
      <w:pPr>
        <w:spacing w:after="0"/>
        <w:ind w:left="0"/>
        <w:jc w:val="both"/>
      </w:pPr>
      <w:r>
        <w:rPr>
          <w:rFonts w:ascii="Times New Roman"/>
          <w:b w:val="false"/>
          <w:i w:val="false"/>
          <w:color w:val="000000"/>
          <w:sz w:val="28"/>
        </w:rPr>
        <w:t>
      Стратегия управления внешним долгом (далее – Стратегия) представляет собой систему выработки долгосрочных целей, задач, принципов и мероприятий по управлению внешним долгом, определения механизма и условий их реализации через коэффициенты, характеризующие финансовую устойчивость холдинга.</w:t>
      </w:r>
    </w:p>
    <w:bookmarkEnd w:id="584"/>
    <w:bookmarkStart w:name="z617" w:id="585"/>
    <w:p>
      <w:pPr>
        <w:spacing w:after="0"/>
        <w:ind w:left="0"/>
        <w:jc w:val="both"/>
      </w:pPr>
      <w:r>
        <w:rPr>
          <w:rFonts w:ascii="Times New Roman"/>
          <w:b w:val="false"/>
          <w:i w:val="false"/>
          <w:color w:val="000000"/>
          <w:sz w:val="28"/>
        </w:rPr>
        <w:t>
      Основными целями Стратегии являются своевременное обслуживание внешнего долга с минимальными затратами, идентификация, хеджирование и предотвращение финансовых рисков на основе анализа и прогноза внутренних и внешних экономических факторов посредством оптимального выбора долговых методов и инструментов, долгосрочное планирование в условиях экономической нестабильности.</w:t>
      </w:r>
    </w:p>
    <w:bookmarkEnd w:id="585"/>
    <w:bookmarkStart w:name="z618" w:id="5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 xml:space="preserve">Задачи и принципы </w:t>
      </w:r>
    </w:p>
    <w:bookmarkEnd w:id="586"/>
    <w:bookmarkStart w:name="z619" w:id="587"/>
    <w:p>
      <w:pPr>
        <w:spacing w:after="0"/>
        <w:ind w:left="0"/>
        <w:jc w:val="both"/>
      </w:pPr>
      <w:r>
        <w:rPr>
          <w:rFonts w:ascii="Times New Roman"/>
          <w:b w:val="false"/>
          <w:i w:val="false"/>
          <w:color w:val="000000"/>
          <w:sz w:val="28"/>
        </w:rPr>
        <w:t xml:space="preserve">
      текущее обслуживание внешнего долга и работа по снижению долговой нагрузки путем совершенствования структуры долга и улучшения профиля долговых выплат; </w:t>
      </w:r>
    </w:p>
    <w:bookmarkEnd w:id="587"/>
    <w:bookmarkStart w:name="z620" w:id="588"/>
    <w:p>
      <w:pPr>
        <w:spacing w:after="0"/>
        <w:ind w:left="0"/>
        <w:jc w:val="both"/>
      </w:pPr>
      <w:r>
        <w:rPr>
          <w:rFonts w:ascii="Times New Roman"/>
          <w:b w:val="false"/>
          <w:i w:val="false"/>
          <w:color w:val="000000"/>
          <w:sz w:val="28"/>
        </w:rPr>
        <w:t xml:space="preserve">
      повышение эффективности дальнейшего использования привлеченных средств; </w:t>
      </w:r>
    </w:p>
    <w:bookmarkEnd w:id="588"/>
    <w:bookmarkStart w:name="z621" w:id="589"/>
    <w:p>
      <w:pPr>
        <w:spacing w:after="0"/>
        <w:ind w:left="0"/>
        <w:jc w:val="both"/>
      </w:pPr>
      <w:r>
        <w:rPr>
          <w:rFonts w:ascii="Times New Roman"/>
          <w:b w:val="false"/>
          <w:i w:val="false"/>
          <w:color w:val="000000"/>
          <w:sz w:val="28"/>
        </w:rPr>
        <w:t xml:space="preserve">
      выработка обоснованной политики привлечения заемных ресурсов; </w:t>
      </w:r>
    </w:p>
    <w:bookmarkEnd w:id="589"/>
    <w:bookmarkStart w:name="z622" w:id="590"/>
    <w:p>
      <w:pPr>
        <w:spacing w:after="0"/>
        <w:ind w:left="0"/>
        <w:jc w:val="both"/>
      </w:pPr>
      <w:r>
        <w:rPr>
          <w:rFonts w:ascii="Times New Roman"/>
          <w:b w:val="false"/>
          <w:i w:val="false"/>
          <w:color w:val="000000"/>
          <w:sz w:val="28"/>
        </w:rPr>
        <w:t xml:space="preserve">
      усиление инвестиционного характера займов; </w:t>
      </w:r>
    </w:p>
    <w:bookmarkEnd w:id="590"/>
    <w:bookmarkStart w:name="z623" w:id="591"/>
    <w:p>
      <w:pPr>
        <w:spacing w:after="0"/>
        <w:ind w:left="0"/>
        <w:jc w:val="both"/>
      </w:pPr>
      <w:r>
        <w:rPr>
          <w:rFonts w:ascii="Times New Roman"/>
          <w:b w:val="false"/>
          <w:i w:val="false"/>
          <w:color w:val="000000"/>
          <w:sz w:val="28"/>
        </w:rPr>
        <w:t xml:space="preserve">
      определение приоритетов кредитной политики холдинга, обеспечения своевременного возврата предоставленных займов; </w:t>
      </w:r>
    </w:p>
    <w:bookmarkEnd w:id="591"/>
    <w:bookmarkStart w:name="z624" w:id="592"/>
    <w:p>
      <w:pPr>
        <w:spacing w:after="0"/>
        <w:ind w:left="0"/>
        <w:jc w:val="both"/>
      </w:pPr>
      <w:r>
        <w:rPr>
          <w:rFonts w:ascii="Times New Roman"/>
          <w:b w:val="false"/>
          <w:i w:val="false"/>
          <w:color w:val="000000"/>
          <w:sz w:val="28"/>
        </w:rPr>
        <w:t xml:space="preserve">
      поиск дополнительных источников погашения долга. </w:t>
      </w:r>
    </w:p>
    <w:bookmarkEnd w:id="592"/>
    <w:bookmarkStart w:name="z625" w:id="593"/>
    <w:p>
      <w:pPr>
        <w:spacing w:after="0"/>
        <w:ind w:left="0"/>
        <w:jc w:val="both"/>
      </w:pPr>
      <w:r>
        <w:rPr>
          <w:rFonts w:ascii="Times New Roman"/>
          <w:b w:val="false"/>
          <w:i w:val="false"/>
          <w:color w:val="000000"/>
          <w:sz w:val="28"/>
        </w:rPr>
        <w:t xml:space="preserve">
      Достижение целей Стратегии и ее задач основывается на принципах: </w:t>
      </w:r>
    </w:p>
    <w:bookmarkEnd w:id="593"/>
    <w:bookmarkStart w:name="z626" w:id="594"/>
    <w:p>
      <w:pPr>
        <w:spacing w:after="0"/>
        <w:ind w:left="0"/>
        <w:jc w:val="both"/>
      </w:pPr>
      <w:r>
        <w:rPr>
          <w:rFonts w:ascii="Times New Roman"/>
          <w:b w:val="false"/>
          <w:i w:val="false"/>
          <w:color w:val="000000"/>
          <w:sz w:val="28"/>
        </w:rPr>
        <w:t>
      безусловности – обеспечение точного и своевременного выполнения обязательств холдинга перед инвесторами и кредиторами без выставления дополнительных условий;</w:t>
      </w:r>
    </w:p>
    <w:bookmarkEnd w:id="594"/>
    <w:bookmarkStart w:name="z627" w:id="595"/>
    <w:p>
      <w:pPr>
        <w:spacing w:after="0"/>
        <w:ind w:left="0"/>
        <w:jc w:val="both"/>
      </w:pPr>
      <w:r>
        <w:rPr>
          <w:rFonts w:ascii="Times New Roman"/>
          <w:b w:val="false"/>
          <w:i w:val="false"/>
          <w:color w:val="000000"/>
          <w:sz w:val="28"/>
        </w:rPr>
        <w:t>
      единства долговой политики – обеспечение единого подхода в политике управления внешним долгом;</w:t>
      </w:r>
    </w:p>
    <w:bookmarkEnd w:id="595"/>
    <w:bookmarkStart w:name="z628" w:id="596"/>
    <w:p>
      <w:pPr>
        <w:spacing w:after="0"/>
        <w:ind w:left="0"/>
        <w:jc w:val="both"/>
      </w:pPr>
      <w:r>
        <w:rPr>
          <w:rFonts w:ascii="Times New Roman"/>
          <w:b w:val="false"/>
          <w:i w:val="false"/>
          <w:color w:val="000000"/>
          <w:sz w:val="28"/>
        </w:rPr>
        <w:t>
      согласованности – обеспечение максимально возможной гармонизации интересов кредиторов и целей поставленных перед холдингом;</w:t>
      </w:r>
    </w:p>
    <w:bookmarkEnd w:id="596"/>
    <w:bookmarkStart w:name="z629" w:id="597"/>
    <w:p>
      <w:pPr>
        <w:spacing w:after="0"/>
        <w:ind w:left="0"/>
        <w:jc w:val="both"/>
      </w:pPr>
      <w:r>
        <w:rPr>
          <w:rFonts w:ascii="Times New Roman"/>
          <w:b w:val="false"/>
          <w:i w:val="false"/>
          <w:color w:val="000000"/>
          <w:sz w:val="28"/>
        </w:rPr>
        <w:t>
      снижения рисков – выполнение всех необходимых действий, позволяющих снизить как риски кредитора, так и риски инвестора;</w:t>
      </w:r>
    </w:p>
    <w:bookmarkEnd w:id="597"/>
    <w:bookmarkStart w:name="z630" w:id="598"/>
    <w:p>
      <w:pPr>
        <w:spacing w:after="0"/>
        <w:ind w:left="0"/>
        <w:jc w:val="both"/>
      </w:pPr>
      <w:r>
        <w:rPr>
          <w:rFonts w:ascii="Times New Roman"/>
          <w:b w:val="false"/>
          <w:i w:val="false"/>
          <w:color w:val="000000"/>
          <w:sz w:val="28"/>
        </w:rPr>
        <w:t xml:space="preserve">
      оптимальности – создание такой структуры внешних займов, чтобы выполнение обязательств по ним было сопряжено с минимальными затратами и минимальным риском и оказывало наименьшее отрицательное влияние на деятельность холдинга; </w:t>
      </w:r>
    </w:p>
    <w:bookmarkEnd w:id="598"/>
    <w:bookmarkStart w:name="z631" w:id="599"/>
    <w:p>
      <w:pPr>
        <w:spacing w:after="0"/>
        <w:ind w:left="0"/>
        <w:jc w:val="both"/>
      </w:pPr>
      <w:r>
        <w:rPr>
          <w:rFonts w:ascii="Times New Roman"/>
          <w:b w:val="false"/>
          <w:i w:val="false"/>
          <w:color w:val="000000"/>
          <w:sz w:val="28"/>
        </w:rPr>
        <w:t>
      рациональности – максимально эффективное дальнейшее управление и размещение заемных средств;</w:t>
      </w:r>
    </w:p>
    <w:bookmarkEnd w:id="599"/>
    <w:bookmarkStart w:name="z632" w:id="600"/>
    <w:p>
      <w:pPr>
        <w:spacing w:after="0"/>
        <w:ind w:left="0"/>
        <w:jc w:val="both"/>
      </w:pPr>
      <w:r>
        <w:rPr>
          <w:rFonts w:ascii="Times New Roman"/>
          <w:b w:val="false"/>
          <w:i w:val="false"/>
          <w:color w:val="000000"/>
          <w:sz w:val="28"/>
        </w:rPr>
        <w:t>
      поддержания ликвидности – обеспечение движения денежных потоков таким образом, чтобы поступление средств (доходов) превышало соответствующее выбытие средств (расходы);</w:t>
      </w:r>
    </w:p>
    <w:bookmarkEnd w:id="600"/>
    <w:bookmarkStart w:name="z633" w:id="601"/>
    <w:p>
      <w:pPr>
        <w:spacing w:after="0"/>
        <w:ind w:left="0"/>
        <w:jc w:val="both"/>
      </w:pPr>
      <w:r>
        <w:rPr>
          <w:rFonts w:ascii="Times New Roman"/>
          <w:b w:val="false"/>
          <w:i w:val="false"/>
          <w:color w:val="000000"/>
          <w:sz w:val="28"/>
        </w:rPr>
        <w:t xml:space="preserve">
      открытости – предоставление достоверной, своевременной и полной информации о параметрах займов всем заинтересованным в ней пользователям; </w:t>
      </w:r>
    </w:p>
    <w:bookmarkEnd w:id="601"/>
    <w:bookmarkStart w:name="z634" w:id="602"/>
    <w:p>
      <w:pPr>
        <w:spacing w:after="0"/>
        <w:ind w:left="0"/>
        <w:jc w:val="both"/>
      </w:pPr>
      <w:r>
        <w:rPr>
          <w:rFonts w:ascii="Times New Roman"/>
          <w:b w:val="false"/>
          <w:i w:val="false"/>
          <w:color w:val="000000"/>
          <w:sz w:val="28"/>
        </w:rPr>
        <w:t>
      адекватного правового обеспечения при привлечении и размещении заемных средств.</w:t>
      </w:r>
    </w:p>
    <w:bookmarkEnd w:id="602"/>
    <w:bookmarkStart w:name="z635" w:id="60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 xml:space="preserve"> Управление рисками </w:t>
      </w:r>
    </w:p>
    <w:bookmarkEnd w:id="603"/>
    <w:bookmarkStart w:name="z636" w:id="604"/>
    <w:p>
      <w:pPr>
        <w:spacing w:after="0"/>
        <w:ind w:left="0"/>
        <w:jc w:val="both"/>
      </w:pPr>
      <w:r>
        <w:rPr>
          <w:rFonts w:ascii="Times New Roman"/>
          <w:b w:val="false"/>
          <w:i w:val="false"/>
          <w:color w:val="000000"/>
          <w:sz w:val="28"/>
        </w:rPr>
        <w:t xml:space="preserve">
      В рамках Стратегии риск представляет собой вероятность финансовых потерь в результате наступления определенных событий или совершения каких-либо действий, которые не могут быть заранее однозначно спрогнозированы. </w:t>
      </w:r>
    </w:p>
    <w:bookmarkEnd w:id="604"/>
    <w:bookmarkStart w:name="z637" w:id="605"/>
    <w:p>
      <w:pPr>
        <w:spacing w:after="0"/>
        <w:ind w:left="0"/>
        <w:jc w:val="both"/>
      </w:pPr>
      <w:r>
        <w:rPr>
          <w:rFonts w:ascii="Times New Roman"/>
          <w:b w:val="false"/>
          <w:i w:val="false"/>
          <w:color w:val="000000"/>
          <w:sz w:val="28"/>
        </w:rPr>
        <w:t>
      Анализ рисков внешнего долга должен согласовываться и принимать во внимание сдерживающие факторы макроэкономического развития и рынка долговых обязательств. Размеры погашения и обслуживания долга зависят от материализации следующих видов рисков:</w:t>
      </w:r>
    </w:p>
    <w:bookmarkEnd w:id="605"/>
    <w:bookmarkStart w:name="z638" w:id="606"/>
    <w:p>
      <w:pPr>
        <w:spacing w:after="0"/>
        <w:ind w:left="0"/>
        <w:jc w:val="both"/>
      </w:pPr>
      <w:r>
        <w:rPr>
          <w:rFonts w:ascii="Times New Roman"/>
          <w:b w:val="false"/>
          <w:i w:val="false"/>
          <w:color w:val="000000"/>
          <w:sz w:val="28"/>
        </w:rPr>
        <w:t xml:space="preserve">
      Процентный риск – связан с неустойчивостью стоимости обслуживания долга в результате неожиданных изменений рыночных процентных ставок. </w:t>
      </w:r>
    </w:p>
    <w:bookmarkEnd w:id="606"/>
    <w:bookmarkStart w:name="z639" w:id="607"/>
    <w:p>
      <w:pPr>
        <w:spacing w:after="0"/>
        <w:ind w:left="0"/>
        <w:jc w:val="both"/>
      </w:pPr>
      <w:r>
        <w:rPr>
          <w:rFonts w:ascii="Times New Roman"/>
          <w:b w:val="false"/>
          <w:i w:val="false"/>
          <w:color w:val="000000"/>
          <w:sz w:val="28"/>
        </w:rPr>
        <w:t xml:space="preserve">
      Валютный риск – вероятность валютных потерь в результате изменения курса валюты, которое может произойти в период между привлечением внешнего долга и фактическим производством расчетов по нему (выплата процентов и/или погашение основной суммы). </w:t>
      </w:r>
    </w:p>
    <w:bookmarkEnd w:id="607"/>
    <w:bookmarkStart w:name="z640" w:id="608"/>
    <w:p>
      <w:pPr>
        <w:spacing w:after="0"/>
        <w:ind w:left="0"/>
        <w:jc w:val="both"/>
      </w:pPr>
      <w:r>
        <w:rPr>
          <w:rFonts w:ascii="Times New Roman"/>
          <w:b w:val="false"/>
          <w:i w:val="false"/>
          <w:color w:val="000000"/>
          <w:sz w:val="28"/>
        </w:rPr>
        <w:t xml:space="preserve">
      Риск ликвидности определяется способностью (возможностью) своевременно и полностью обслуживать конкретные внешние долги. </w:t>
      </w:r>
    </w:p>
    <w:bookmarkEnd w:id="608"/>
    <w:bookmarkStart w:name="z641"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Мероприятия по управления внешним долгом</w:t>
      </w:r>
      <w:r>
        <w:rPr>
          <w:rFonts w:ascii="Times New Roman"/>
          <w:b/>
          <w:i w:val="false"/>
          <w:color w:val="000000"/>
          <w:sz w:val="28"/>
        </w:rPr>
        <w:t>:</w:t>
      </w:r>
    </w:p>
    <w:bookmarkEnd w:id="609"/>
    <w:bookmarkStart w:name="z642" w:id="610"/>
    <w:p>
      <w:pPr>
        <w:spacing w:after="0"/>
        <w:ind w:left="0"/>
        <w:jc w:val="both"/>
      </w:pPr>
      <w:r>
        <w:rPr>
          <w:rFonts w:ascii="Times New Roman"/>
          <w:b w:val="false"/>
          <w:i w:val="false"/>
          <w:color w:val="000000"/>
          <w:sz w:val="28"/>
        </w:rPr>
        <w:t xml:space="preserve">
      проведение холдингом адекватной и эффективной политики заимствования; </w:t>
      </w:r>
    </w:p>
    <w:bookmarkEnd w:id="610"/>
    <w:bookmarkStart w:name="z643" w:id="611"/>
    <w:p>
      <w:pPr>
        <w:spacing w:after="0"/>
        <w:ind w:left="0"/>
        <w:jc w:val="both"/>
      </w:pPr>
      <w:r>
        <w:rPr>
          <w:rFonts w:ascii="Times New Roman"/>
          <w:b w:val="false"/>
          <w:i w:val="false"/>
          <w:color w:val="000000"/>
          <w:sz w:val="28"/>
        </w:rPr>
        <w:t xml:space="preserve">
      установление целевых параметров, внешнего долга в соответствии с потребностями холдинга и ситуацией на международных рынках капитала; </w:t>
      </w:r>
    </w:p>
    <w:bookmarkEnd w:id="611"/>
    <w:bookmarkStart w:name="z644" w:id="612"/>
    <w:p>
      <w:pPr>
        <w:spacing w:after="0"/>
        <w:ind w:left="0"/>
        <w:jc w:val="both"/>
      </w:pPr>
      <w:r>
        <w:rPr>
          <w:rFonts w:ascii="Times New Roman"/>
          <w:b w:val="false"/>
          <w:i w:val="false"/>
          <w:color w:val="000000"/>
          <w:sz w:val="28"/>
        </w:rPr>
        <w:t xml:space="preserve">
      постоянный контроль объема внешнего долга и его структуры в соответствии с установленными параметрами; </w:t>
      </w:r>
    </w:p>
    <w:bookmarkEnd w:id="612"/>
    <w:bookmarkStart w:name="z645" w:id="613"/>
    <w:p>
      <w:pPr>
        <w:spacing w:after="0"/>
        <w:ind w:left="0"/>
        <w:jc w:val="both"/>
      </w:pPr>
      <w:r>
        <w:rPr>
          <w:rFonts w:ascii="Times New Roman"/>
          <w:b w:val="false"/>
          <w:i w:val="false"/>
          <w:color w:val="000000"/>
          <w:sz w:val="28"/>
        </w:rPr>
        <w:t>
      использование рыночных долговых инструментов – выпуск корпоративных ценных бумаг с целью замещения внешних долгов;</w:t>
      </w:r>
    </w:p>
    <w:bookmarkEnd w:id="613"/>
    <w:bookmarkStart w:name="z646" w:id="614"/>
    <w:p>
      <w:pPr>
        <w:spacing w:after="0"/>
        <w:ind w:left="0"/>
        <w:jc w:val="both"/>
      </w:pPr>
      <w:r>
        <w:rPr>
          <w:rFonts w:ascii="Times New Roman"/>
          <w:b w:val="false"/>
          <w:i w:val="false"/>
          <w:color w:val="000000"/>
          <w:sz w:val="28"/>
        </w:rPr>
        <w:t xml:space="preserve">
      досрочное погашение долга (при наличии соответствующих условий); </w:t>
      </w:r>
    </w:p>
    <w:bookmarkEnd w:id="614"/>
    <w:bookmarkStart w:name="z647" w:id="615"/>
    <w:p>
      <w:pPr>
        <w:spacing w:after="0"/>
        <w:ind w:left="0"/>
        <w:jc w:val="both"/>
      </w:pPr>
      <w:r>
        <w:rPr>
          <w:rFonts w:ascii="Times New Roman"/>
          <w:b w:val="false"/>
          <w:i w:val="false"/>
          <w:color w:val="000000"/>
          <w:sz w:val="28"/>
        </w:rPr>
        <w:t xml:space="preserve">
      качественная оценка и отбор инвестиционных проектов, финансируемых за счет внешнего долга; </w:t>
      </w:r>
    </w:p>
    <w:bookmarkEnd w:id="615"/>
    <w:bookmarkStart w:name="z648" w:id="616"/>
    <w:p>
      <w:pPr>
        <w:spacing w:after="0"/>
        <w:ind w:left="0"/>
        <w:jc w:val="both"/>
      </w:pPr>
      <w:r>
        <w:rPr>
          <w:rFonts w:ascii="Times New Roman"/>
          <w:b w:val="false"/>
          <w:i w:val="false"/>
          <w:color w:val="000000"/>
          <w:sz w:val="28"/>
        </w:rPr>
        <w:t>
      поддержка и развитие отношений сотрудничества с участниками и инвесторами внутренних и внешних финансовых рынков с целью получения информации о развитии финансовой конъюнктуры, гарантирования благоприятных условий заимствования, выбора добросовестных инвесторов и банков-кредиторов</w:t>
      </w:r>
    </w:p>
    <w:bookmarkEnd w:id="616"/>
    <w:bookmarkStart w:name="z649" w:id="617"/>
    <w:p>
      <w:pPr>
        <w:spacing w:after="0"/>
        <w:ind w:left="0"/>
        <w:jc w:val="both"/>
      </w:pPr>
      <w:r>
        <w:rPr>
          <w:rFonts w:ascii="Times New Roman"/>
          <w:b w:val="false"/>
          <w:i w:val="false"/>
          <w:color w:val="000000"/>
          <w:sz w:val="28"/>
        </w:rPr>
        <w:t>
      информирование на постоянной основе руководства холдинга об уровне внешнего долга, финансовой устойчивости (предоставление периодической отчетности).</w:t>
      </w:r>
    </w:p>
    <w:bookmarkEnd w:id="617"/>
    <w:bookmarkStart w:name="z650" w:id="618"/>
    <w:p>
      <w:pPr>
        <w:spacing w:after="0"/>
        <w:ind w:left="0"/>
        <w:jc w:val="both"/>
      </w:pPr>
      <w:r>
        <w:rPr>
          <w:rFonts w:ascii="Times New Roman"/>
          <w:b w:val="false"/>
          <w:i w:val="false"/>
          <w:color w:val="000000"/>
          <w:sz w:val="28"/>
        </w:rPr>
        <w:t>
      обращение за поддержкой к акционеру холдинга, в случае потенциальной угрозы реализации рисков финансовой устойчивости холдинга (необходимость капитализации, пересмотр дивидендной политики и т.п.).</w:t>
      </w:r>
    </w:p>
    <w:bookmarkEnd w:id="618"/>
    <w:bookmarkStart w:name="z651"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 xml:space="preserve">Коэффициенты, характеризующие финансовую устойчивость </w:t>
      </w:r>
      <w:r>
        <w:rPr>
          <w:rFonts w:ascii="Times New Roman"/>
          <w:b/>
          <w:i w:val="false"/>
          <w:color w:val="000000"/>
          <w:sz w:val="28"/>
        </w:rPr>
        <w:t>х</w:t>
      </w:r>
      <w:r>
        <w:rPr>
          <w:rFonts w:ascii="Times New Roman"/>
          <w:b/>
          <w:i w:val="false"/>
          <w:color w:val="000000"/>
          <w:sz w:val="28"/>
        </w:rPr>
        <w:t>олдинга</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0"/>
          <w:p>
            <w:pPr>
              <w:spacing w:after="20"/>
              <w:ind w:left="20"/>
              <w:jc w:val="both"/>
            </w:pPr>
            <w:r>
              <w:rPr>
                <w:rFonts w:ascii="Times New Roman"/>
                <w:b w:val="false"/>
                <w:i w:val="false"/>
                <w:color w:val="000000"/>
                <w:sz w:val="20"/>
              </w:rPr>
              <w:t>
DR=LC/EC</w:t>
            </w:r>
          </w:p>
          <w:bookmarkEnd w:id="620"/>
          <w:p>
            <w:pPr>
              <w:spacing w:after="20"/>
              <w:ind w:left="20"/>
              <w:jc w:val="both"/>
            </w:pPr>
            <w:r>
              <w:rPr>
                <w:rFonts w:ascii="Times New Roman"/>
                <w:b w:val="false"/>
                <w:i w:val="false"/>
                <w:color w:val="000000"/>
                <w:sz w:val="20"/>
              </w:rPr>
              <w:t>
где: LС – заемный капитал; ЕС – собственный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 мероприятий АО "НУХ "Байтерек" на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Характеризует долговую нагрузку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процентов=EBIT/ Проценты к уплате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 мероприятий АО "НУХ "Байтерек" на 2024–2028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 меньше коэффициент покрытия процентов, тем выше кредитное бремя Компании и тем выше вероятность наступления банкротства. </w:t>
            </w:r>
          </w:p>
        </w:tc>
      </w:tr>
    </w:tbl>
    <w:bookmarkStart w:name="z653" w:id="621"/>
    <w:p>
      <w:pPr>
        <w:spacing w:after="0"/>
        <w:ind w:left="0"/>
        <w:jc w:val="both"/>
      </w:pPr>
      <w:r>
        <w:rPr>
          <w:rFonts w:ascii="Times New Roman"/>
          <w:b w:val="false"/>
          <w:i w:val="false"/>
          <w:color w:val="000000"/>
          <w:sz w:val="28"/>
        </w:rPr>
        <w:t>
      *источник данных ГФО холдинга.</w:t>
      </w:r>
    </w:p>
    <w:bookmarkEnd w:id="621"/>
    <w:bookmarkStart w:name="z654" w:id="622"/>
    <w:p>
      <w:pPr>
        <w:spacing w:after="0"/>
        <w:ind w:left="0"/>
        <w:jc w:val="left"/>
      </w:pPr>
      <w:r>
        <w:rPr>
          <w:rFonts w:ascii="Times New Roman"/>
          <w:b/>
          <w:i w:val="false"/>
          <w:color w:val="000000"/>
        </w:rPr>
        <w:t xml:space="preserve"> Раздел 4. КПД АО "НУХ "Байтерек" до 2033 года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 (КПД)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3"/>
          <w:p>
            <w:pPr>
              <w:spacing w:after="20"/>
              <w:ind w:left="20"/>
              <w:jc w:val="both"/>
            </w:pPr>
            <w:r>
              <w:rPr>
                <w:rFonts w:ascii="Times New Roman"/>
                <w:b w:val="false"/>
                <w:i w:val="false"/>
                <w:color w:val="000000"/>
                <w:sz w:val="20"/>
              </w:rPr>
              <w:t>
2023 год</w:t>
            </w:r>
          </w:p>
          <w:bookmarkEnd w:id="623"/>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4"/>
          <w:p>
            <w:pPr>
              <w:spacing w:after="20"/>
              <w:ind w:left="20"/>
              <w:jc w:val="both"/>
            </w:pPr>
            <w:r>
              <w:rPr>
                <w:rFonts w:ascii="Times New Roman"/>
                <w:b w:val="false"/>
                <w:i w:val="false"/>
                <w:color w:val="000000"/>
                <w:sz w:val="20"/>
              </w:rPr>
              <w:t>
2033</w:t>
            </w:r>
          </w:p>
          <w:bookmarkEnd w:id="624"/>
          <w:p>
            <w:pPr>
              <w:spacing w:after="20"/>
              <w:ind w:left="20"/>
              <w:jc w:val="both"/>
            </w:pPr>
            <w:r>
              <w:rPr>
                <w:rFonts w:ascii="Times New Roman"/>
                <w:b w:val="false"/>
                <w:i w:val="false"/>
                <w:color w:val="000000"/>
                <w:sz w:val="20"/>
              </w:rPr>
              <w:t>
(прогноз)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доли работающих активов АО "НУХ "Байтерек" для развития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структуры кредитного и инвестиционного портфеля с целью повышения их доли в общих активах, включая расширение ассортимента финансовых продуктов и услуг для различных сегментов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кредитного и инвестиционного портфеля от общих активов АО "НУХ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мер финансовой поддержки через обратную связь клиентов холдинга на постоянной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обратной связи с клиентами, направленной на постоянное улучшение качества обслуживания и повышение уровня удовлетворенности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Удовлетворенность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использования государственных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баланса института развития в большей степени от негосударственных источников заимствования (как внутренних, так и внешних рынков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негосударственных источников заимствования в общей структуре заимствования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5"/>
          <w:p>
            <w:pPr>
              <w:spacing w:after="20"/>
              <w:ind w:left="20"/>
              <w:jc w:val="both"/>
            </w:pPr>
            <w:r>
              <w:rPr>
                <w:rFonts w:ascii="Times New Roman"/>
                <w:b w:val="false"/>
                <w:i w:val="false"/>
                <w:color w:val="000000"/>
                <w:sz w:val="20"/>
              </w:rPr>
              <w:t>
1. Повышение вклада холдинга в несырьевой ВВП</w:t>
            </w:r>
          </w:p>
          <w:bookmarkEnd w:id="625"/>
          <w:p>
            <w:pPr>
              <w:spacing w:after="20"/>
              <w:ind w:left="20"/>
              <w:jc w:val="both"/>
            </w:pPr>
            <w:r>
              <w:rPr>
                <w:rFonts w:ascii="Times New Roman"/>
                <w:b w:val="false"/>
                <w:i w:val="false"/>
                <w:color w:val="000000"/>
                <w:sz w:val="20"/>
              </w:rPr>
              <w:t>
2. Повышение вклада холдинга в несырьевой экспорт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6"/>
          <w:p>
            <w:pPr>
              <w:spacing w:after="20"/>
              <w:ind w:left="20"/>
              <w:jc w:val="both"/>
            </w:pPr>
            <w:r>
              <w:rPr>
                <w:rFonts w:ascii="Times New Roman"/>
                <w:b w:val="false"/>
                <w:i w:val="false"/>
                <w:color w:val="000000"/>
                <w:sz w:val="20"/>
              </w:rPr>
              <w:t>
1. Развитие несырьевых отраслей экономики.</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Развитие обрабатывающей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Поддержка экспорта несырьевой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производительности труда.</w:t>
            </w:r>
          </w:p>
          <w:p>
            <w:pPr>
              <w:spacing w:after="20"/>
              <w:ind w:left="20"/>
              <w:jc w:val="both"/>
            </w:pPr>
            <w:r>
              <w:rPr>
                <w:rFonts w:ascii="Times New Roman"/>
                <w:b w:val="false"/>
                <w:i w:val="false"/>
                <w:color w:val="000000"/>
                <w:sz w:val="20"/>
              </w:rPr>
              <w:t>
6. Развитие конкурентоспособного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выручки предприятий, получивших поддержку АО "НУХ "Байтерек"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экспортной выручки предприятий, получивших поддержку АО "НУХ "Байтерек"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Доля субъектов ММСП, которым оказана финансовая поддержка, к общему числу действующих субъектов ММСП на рынке (с накоплением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Объем инвестиций в основной капитал в отрасли АПК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экосистемы долевого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инвестиционного потенциала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инвестиционной привлекательности экономики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доли долевого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объема ввода доступного жилья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благосостояния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Увеличение доли займов на первичное и строящееся жилье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Доля очередников, обеспеченных жильем, имеющих первоочередное право (с накоплением с 2025г.)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Объем ввода жилья (многоквартирные жилые дома) за счет инструментов КЖК (в 2033 году с накопл. с 2024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21 664,7</w:t>
            </w:r>
          </w:p>
        </w:tc>
      </w:tr>
    </w:tbl>
    <w:p>
      <w:pPr>
        <w:spacing w:after="0"/>
        <w:ind w:left="0"/>
        <w:jc w:val="left"/>
      </w:pPr>
      <w:r>
        <w:br/>
      </w:r>
      <w:r>
        <w:rPr>
          <w:rFonts w:ascii="Times New Roman"/>
          <w:b w:val="false"/>
          <w:i w:val="false"/>
          <w:color w:val="000000"/>
          <w:sz w:val="28"/>
        </w:rPr>
        <w:t>
</w:t>
      </w:r>
    </w:p>
    <w:bookmarkStart w:name="z663" w:id="627"/>
    <w:p>
      <w:pPr>
        <w:spacing w:after="0"/>
        <w:ind w:left="0"/>
        <w:jc w:val="both"/>
      </w:pPr>
      <w:r>
        <w:rPr>
          <w:rFonts w:ascii="Times New Roman"/>
          <w:b w:val="false"/>
          <w:i w:val="false"/>
          <w:color w:val="000000"/>
          <w:sz w:val="28"/>
        </w:rPr>
        <w:t>
      Таблица 6. Ключевые показатели деятельности холдинга.</w:t>
      </w:r>
    </w:p>
    <w:bookmarkEnd w:id="627"/>
    <w:bookmarkStart w:name="z664" w:id="6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Целевые значения показателей являются индикативными и не учитывают возможные последствия непредвиденных экономических кризисов и ухудшения геополитической ситуации для экономики Казахстана</w:t>
      </w:r>
    </w:p>
    <w:bookmarkEnd w:id="628"/>
    <w:bookmarkStart w:name="z665" w:id="629"/>
    <w:p>
      <w:pPr>
        <w:spacing w:after="0"/>
        <w:ind w:left="0"/>
        <w:jc w:val="both"/>
      </w:pPr>
      <w:r>
        <w:rPr>
          <w:rFonts w:ascii="Times New Roman"/>
          <w:b w:val="false"/>
          <w:i w:val="false"/>
          <w:color w:val="000000"/>
          <w:sz w:val="28"/>
        </w:rPr>
        <w:t>
      Годовые целевые значения стратегических ключевых показателей деятельности холдинга, а также мероприятия в реализацию Плана развития холдинга утверждаются и реализуются в рамках плана мероприятий на пятилетний период согласно пункту 79 постановления Правительства Республики Казахстан от 29 ноября 2017 года № 790 "Об утверждении системы государственного планирования Республики Казахстан".</w:t>
      </w:r>
    </w:p>
    <w:bookmarkEnd w:id="629"/>
    <w:bookmarkStart w:name="z666" w:id="630"/>
    <w:p>
      <w:pPr>
        <w:spacing w:after="0"/>
        <w:ind w:left="0"/>
        <w:jc w:val="both"/>
      </w:pPr>
      <w:r>
        <w:rPr>
          <w:rFonts w:ascii="Times New Roman"/>
          <w:b w:val="false"/>
          <w:i w:val="false"/>
          <w:color w:val="000000"/>
          <w:sz w:val="28"/>
        </w:rPr>
        <w:t>
      Примечание: расшифровка аббревиатур:</w:t>
      </w:r>
    </w:p>
    <w:bookmarkEnd w:id="630"/>
    <w:bookmarkStart w:name="z667" w:id="631"/>
    <w:p>
      <w:pPr>
        <w:spacing w:after="0"/>
        <w:ind w:left="0"/>
        <w:jc w:val="both"/>
      </w:pPr>
      <w:r>
        <w:rPr>
          <w:rFonts w:ascii="Times New Roman"/>
          <w:b w:val="false"/>
          <w:i w:val="false"/>
          <w:color w:val="000000"/>
          <w:sz w:val="28"/>
        </w:rPr>
        <w:t>
      АКК – акционерное общество "Аграрная кредитная корпорация"</w:t>
      </w:r>
    </w:p>
    <w:bookmarkEnd w:id="631"/>
    <w:bookmarkStart w:name="z668" w:id="632"/>
    <w:p>
      <w:pPr>
        <w:spacing w:after="0"/>
        <w:ind w:left="0"/>
        <w:jc w:val="both"/>
      </w:pPr>
      <w:r>
        <w:rPr>
          <w:rFonts w:ascii="Times New Roman"/>
          <w:b w:val="false"/>
          <w:i w:val="false"/>
          <w:color w:val="000000"/>
          <w:sz w:val="28"/>
        </w:rPr>
        <w:t>
      Даму – акционерное общество "Фонд развития предпринимательства "Даму"</w:t>
      </w:r>
    </w:p>
    <w:bookmarkEnd w:id="632"/>
    <w:bookmarkStart w:name="z669" w:id="633"/>
    <w:p>
      <w:pPr>
        <w:spacing w:after="0"/>
        <w:ind w:left="0"/>
        <w:jc w:val="both"/>
      </w:pPr>
      <w:r>
        <w:rPr>
          <w:rFonts w:ascii="Times New Roman"/>
          <w:b w:val="false"/>
          <w:i w:val="false"/>
          <w:color w:val="000000"/>
          <w:sz w:val="28"/>
        </w:rPr>
        <w:t>
      БВУ – банки второго уровня</w:t>
      </w:r>
    </w:p>
    <w:bookmarkEnd w:id="633"/>
    <w:bookmarkStart w:name="z670" w:id="634"/>
    <w:p>
      <w:pPr>
        <w:spacing w:after="0"/>
        <w:ind w:left="0"/>
        <w:jc w:val="both"/>
      </w:pPr>
      <w:r>
        <w:rPr>
          <w:rFonts w:ascii="Times New Roman"/>
          <w:b w:val="false"/>
          <w:i w:val="false"/>
          <w:color w:val="000000"/>
          <w:sz w:val="28"/>
        </w:rPr>
        <w:t>
      ДО – дочерние организации акционерного общества "Национальный управляющий холдинг "Байтерек"</w:t>
      </w:r>
    </w:p>
    <w:bookmarkEnd w:id="634"/>
    <w:bookmarkStart w:name="z671" w:id="635"/>
    <w:p>
      <w:pPr>
        <w:spacing w:after="0"/>
        <w:ind w:left="0"/>
        <w:jc w:val="both"/>
      </w:pPr>
      <w:r>
        <w:rPr>
          <w:rFonts w:ascii="Times New Roman"/>
          <w:b w:val="false"/>
          <w:i w:val="false"/>
          <w:color w:val="000000"/>
          <w:sz w:val="28"/>
        </w:rPr>
        <w:t>
      МИО – местные исполнительные органы</w:t>
      </w:r>
    </w:p>
    <w:bookmarkEnd w:id="635"/>
    <w:bookmarkStart w:name="z672" w:id="636"/>
    <w:p>
      <w:pPr>
        <w:spacing w:after="0"/>
        <w:ind w:left="0"/>
        <w:jc w:val="both"/>
      </w:pPr>
      <w:r>
        <w:rPr>
          <w:rFonts w:ascii="Times New Roman"/>
          <w:b w:val="false"/>
          <w:i w:val="false"/>
          <w:color w:val="000000"/>
          <w:sz w:val="28"/>
        </w:rPr>
        <w:t>
      КАФ – акционерное общество "КазАгроФинанс"</w:t>
      </w:r>
    </w:p>
    <w:bookmarkEnd w:id="636"/>
    <w:bookmarkStart w:name="z673" w:id="637"/>
    <w:p>
      <w:pPr>
        <w:spacing w:after="0"/>
        <w:ind w:left="0"/>
        <w:jc w:val="both"/>
      </w:pPr>
      <w:r>
        <w:rPr>
          <w:rFonts w:ascii="Times New Roman"/>
          <w:b w:val="false"/>
          <w:i w:val="false"/>
          <w:color w:val="000000"/>
          <w:sz w:val="28"/>
        </w:rPr>
        <w:t>
      БРК – акционерное общество "Банк Развития Казахстана"</w:t>
      </w:r>
    </w:p>
    <w:bookmarkEnd w:id="637"/>
    <w:bookmarkStart w:name="z674" w:id="638"/>
    <w:p>
      <w:pPr>
        <w:spacing w:after="0"/>
        <w:ind w:left="0"/>
        <w:jc w:val="both"/>
      </w:pPr>
      <w:r>
        <w:rPr>
          <w:rFonts w:ascii="Times New Roman"/>
          <w:b w:val="false"/>
          <w:i w:val="false"/>
          <w:color w:val="000000"/>
          <w:sz w:val="28"/>
        </w:rPr>
        <w:t xml:space="preserve">
      БНС АСПИР РК – Бюро национальной статистики Агентства по стратегическому планированию и реформам Республики Казахстан </w:t>
      </w:r>
    </w:p>
    <w:bookmarkEnd w:id="638"/>
    <w:bookmarkStart w:name="z675" w:id="639"/>
    <w:p>
      <w:pPr>
        <w:spacing w:after="0"/>
        <w:ind w:left="0"/>
        <w:jc w:val="both"/>
      </w:pPr>
      <w:r>
        <w:rPr>
          <w:rFonts w:ascii="Times New Roman"/>
          <w:b w:val="false"/>
          <w:i w:val="false"/>
          <w:color w:val="000000"/>
          <w:sz w:val="28"/>
        </w:rPr>
        <w:t>
      МНЭ РК – Министерство национальной экономики Республики Казахстан</w:t>
      </w:r>
    </w:p>
    <w:bookmarkEnd w:id="639"/>
    <w:bookmarkStart w:name="z676" w:id="640"/>
    <w:p>
      <w:pPr>
        <w:spacing w:after="0"/>
        <w:ind w:left="0"/>
        <w:jc w:val="both"/>
      </w:pPr>
      <w:r>
        <w:rPr>
          <w:rFonts w:ascii="Times New Roman"/>
          <w:b w:val="false"/>
          <w:i w:val="false"/>
          <w:color w:val="000000"/>
          <w:sz w:val="28"/>
        </w:rPr>
        <w:t>
      КЖК – акционерное общество "Казахстанская Жилищная Компания"</w:t>
      </w:r>
    </w:p>
    <w:bookmarkEnd w:id="640"/>
    <w:bookmarkStart w:name="z677" w:id="641"/>
    <w:p>
      <w:pPr>
        <w:spacing w:after="0"/>
        <w:ind w:left="0"/>
        <w:jc w:val="both"/>
      </w:pPr>
      <w:r>
        <w:rPr>
          <w:rFonts w:ascii="Times New Roman"/>
          <w:b w:val="false"/>
          <w:i w:val="false"/>
          <w:color w:val="000000"/>
          <w:sz w:val="28"/>
        </w:rPr>
        <w:t>
      ММСП – микро малое и среднее предпринимательство</w:t>
      </w:r>
    </w:p>
    <w:bookmarkEnd w:id="641"/>
    <w:bookmarkStart w:name="z678" w:id="642"/>
    <w:p>
      <w:pPr>
        <w:spacing w:after="0"/>
        <w:ind w:left="0"/>
        <w:jc w:val="both"/>
      </w:pPr>
      <w:r>
        <w:rPr>
          <w:rFonts w:ascii="Times New Roman"/>
          <w:b w:val="false"/>
          <w:i w:val="false"/>
          <w:color w:val="000000"/>
          <w:sz w:val="28"/>
        </w:rPr>
        <w:t>
      Отбасы банк – акционерное общество "Жилищный строительный сберегательный банк "Отбасы банк"</w:t>
      </w:r>
    </w:p>
    <w:bookmarkEnd w:id="642"/>
    <w:bookmarkStart w:name="z679" w:id="643"/>
    <w:p>
      <w:pPr>
        <w:spacing w:after="0"/>
        <w:ind w:left="0"/>
        <w:jc w:val="both"/>
      </w:pPr>
      <w:r>
        <w:rPr>
          <w:rFonts w:ascii="Times New Roman"/>
          <w:b w:val="false"/>
          <w:i w:val="false"/>
          <w:color w:val="000000"/>
          <w:sz w:val="28"/>
        </w:rPr>
        <w:t>
      МСБ – малый и средний бизнес</w:t>
      </w:r>
    </w:p>
    <w:bookmarkEnd w:id="643"/>
    <w:bookmarkStart w:name="z680" w:id="644"/>
    <w:p>
      <w:pPr>
        <w:spacing w:after="0"/>
        <w:ind w:left="0"/>
        <w:jc w:val="both"/>
      </w:pPr>
      <w:r>
        <w:rPr>
          <w:rFonts w:ascii="Times New Roman"/>
          <w:b w:val="false"/>
          <w:i w:val="false"/>
          <w:color w:val="000000"/>
          <w:sz w:val="28"/>
        </w:rPr>
        <w:t xml:space="preserve">
      ЭКА – акционерное общество "Экспортно-кредитное агентство Казахстана" </w:t>
      </w:r>
    </w:p>
    <w:bookmarkEnd w:id="644"/>
    <w:bookmarkStart w:name="z681" w:id="645"/>
    <w:p>
      <w:pPr>
        <w:spacing w:after="0"/>
        <w:ind w:left="0"/>
        <w:jc w:val="both"/>
      </w:pPr>
      <w:r>
        <w:rPr>
          <w:rFonts w:ascii="Times New Roman"/>
          <w:b w:val="false"/>
          <w:i w:val="false"/>
          <w:color w:val="000000"/>
          <w:sz w:val="28"/>
        </w:rPr>
        <w:t>
      QIC – акционерное общество "Qazaqstan Investment Corporation"</w:t>
      </w:r>
    </w:p>
    <w:bookmarkEnd w:id="645"/>
    <w:bookmarkStart w:name="z682" w:id="64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на 2024 - 2033 годы</w:t>
            </w:r>
          </w:p>
        </w:tc>
      </w:tr>
    </w:tbl>
    <w:bookmarkStart w:name="z684" w:id="647"/>
    <w:p>
      <w:pPr>
        <w:spacing w:after="0"/>
        <w:ind w:left="0"/>
        <w:jc w:val="left"/>
      </w:pPr>
      <w:r>
        <w:rPr>
          <w:rFonts w:ascii="Times New Roman"/>
          <w:b/>
          <w:i w:val="false"/>
          <w:color w:val="000000"/>
        </w:rPr>
        <w:t xml:space="preserve"> Стратегическая карта АО "НУХ "Байтерек</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48"/>
          <w:p>
            <w:pPr>
              <w:spacing w:after="20"/>
              <w:ind w:left="20"/>
              <w:jc w:val="both"/>
            </w:pPr>
            <w:r>
              <w:rPr>
                <w:rFonts w:ascii="Times New Roman"/>
                <w:b w:val="false"/>
                <w:i w:val="false"/>
                <w:color w:val="000000"/>
                <w:sz w:val="20"/>
              </w:rPr>
              <w:t>
Документы целеполагания</w:t>
            </w:r>
          </w:p>
          <w:bookmarkEnd w:id="648"/>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49"/>
          <w:p>
            <w:pPr>
              <w:spacing w:after="20"/>
              <w:ind w:left="20"/>
              <w:jc w:val="both"/>
            </w:pPr>
            <w:r>
              <w:rPr>
                <w:rFonts w:ascii="Times New Roman"/>
                <w:b w:val="false"/>
                <w:i w:val="false"/>
                <w:color w:val="000000"/>
                <w:sz w:val="20"/>
              </w:rPr>
              <w:t>
Документы</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0"/>
          <w:p>
            <w:pPr>
              <w:spacing w:after="20"/>
              <w:ind w:left="20"/>
              <w:jc w:val="both"/>
            </w:pPr>
            <w:r>
              <w:rPr>
                <w:rFonts w:ascii="Times New Roman"/>
                <w:b w:val="false"/>
                <w:i w:val="false"/>
                <w:color w:val="000000"/>
                <w:sz w:val="20"/>
              </w:rPr>
              <w:t>
Документы Системы государственного планирования</w:t>
            </w:r>
          </w:p>
          <w:bookmarkEnd w:id="650"/>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АО "НУХ "Байтерек"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Всесторонняя поддержка предпринимательства – ведущей силы национальной экономики.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до 2029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1"/>
          <w:p>
            <w:pPr>
              <w:spacing w:after="20"/>
              <w:ind w:left="20"/>
              <w:jc w:val="both"/>
            </w:pPr>
            <w:r>
              <w:rPr>
                <w:rFonts w:ascii="Times New Roman"/>
                <w:b w:val="false"/>
                <w:i w:val="false"/>
                <w:color w:val="000000"/>
                <w:sz w:val="20"/>
              </w:rPr>
              <w:t>
Повышение роли банковского кредитования и развитие</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альтернативных источников финансирования для стимулирования реального сектора и</w:t>
            </w:r>
          </w:p>
          <w:p>
            <w:pPr>
              <w:spacing w:after="20"/>
              <w:ind w:left="20"/>
              <w:jc w:val="both"/>
            </w:pPr>
            <w:r>
              <w:rPr>
                <w:rFonts w:ascii="Times New Roman"/>
                <w:b w:val="false"/>
                <w:i w:val="false"/>
                <w:color w:val="000000"/>
                <w:sz w:val="20"/>
              </w:rPr>
              <w:t>
экономической активности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2"/>
          <w:p>
            <w:pPr>
              <w:spacing w:after="20"/>
              <w:ind w:left="20"/>
              <w:jc w:val="both"/>
            </w:pPr>
            <w:r>
              <w:rPr>
                <w:rFonts w:ascii="Times New Roman"/>
                <w:b w:val="false"/>
                <w:i w:val="false"/>
                <w:color w:val="000000"/>
                <w:sz w:val="20"/>
              </w:rPr>
              <w:t>
Прирост</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кредитов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бизнесу,</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кредитного и инвестиционного портфеля от общих активов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Удовлетворенность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негосударственных источников заимствования в общей структуре заимствования.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3"/>
          <w:p>
            <w:pPr>
              <w:spacing w:after="20"/>
              <w:ind w:left="20"/>
              <w:jc w:val="both"/>
            </w:pPr>
            <w:r>
              <w:rPr>
                <w:rFonts w:ascii="Times New Roman"/>
                <w:b w:val="false"/>
                <w:i w:val="false"/>
                <w:color w:val="000000"/>
                <w:sz w:val="20"/>
              </w:rPr>
              <w:t>
1. Повышение технологической сложности продуктов и модернизация производств.</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2. Стимулирование спроса и защита внутреннего рынка.</w:t>
            </w:r>
          </w:p>
          <w:p>
            <w:pPr>
              <w:spacing w:after="20"/>
              <w:ind w:left="20"/>
              <w:jc w:val="both"/>
            </w:pPr>
            <w:r>
              <w:rPr>
                <w:rFonts w:ascii="Times New Roman"/>
                <w:b w:val="false"/>
                <w:i w:val="false"/>
                <w:color w:val="000000"/>
                <w:sz w:val="20"/>
              </w:rPr>
              <w:t>
3. Расширение и модернизация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4"/>
          <w:p>
            <w:pPr>
              <w:spacing w:after="20"/>
              <w:ind w:left="20"/>
              <w:jc w:val="both"/>
            </w:pPr>
            <w:r>
              <w:rPr>
                <w:rFonts w:ascii="Times New Roman"/>
                <w:b w:val="false"/>
                <w:i w:val="false"/>
                <w:color w:val="000000"/>
                <w:sz w:val="20"/>
              </w:rPr>
              <w:t>
1. ВВП.</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Индекс накопленного роста производительности труда.</w:t>
            </w:r>
          </w:p>
          <w:p>
            <w:pPr>
              <w:spacing w:after="20"/>
              <w:ind w:left="20"/>
              <w:jc w:val="both"/>
            </w:pPr>
            <w:r>
              <w:rPr>
                <w:rFonts w:ascii="Times New Roman"/>
                <w:b w:val="false"/>
                <w:i w:val="false"/>
                <w:color w:val="000000"/>
                <w:sz w:val="20"/>
              </w:rPr>
              <w:t>
3. Энергоемкость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МНЭ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продвижение экономических интересов страны в мировой системе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обрабатывающей промышленности Республики Казахстан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5"/>
          <w:p>
            <w:pPr>
              <w:spacing w:after="20"/>
              <w:ind w:left="20"/>
              <w:jc w:val="both"/>
            </w:pPr>
            <w:r>
              <w:rPr>
                <w:rFonts w:ascii="Times New Roman"/>
                <w:b w:val="false"/>
                <w:i w:val="false"/>
                <w:color w:val="000000"/>
                <w:sz w:val="20"/>
              </w:rPr>
              <w:t>
1. Производительность труда в обрабатывающей. промышленности</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2. Валовая добавленная стоимость обрабатывающей промышленности.</w:t>
            </w:r>
          </w:p>
          <w:p>
            <w:pPr>
              <w:spacing w:after="20"/>
              <w:ind w:left="20"/>
              <w:jc w:val="both"/>
            </w:pPr>
            <w:r>
              <w:rPr>
                <w:rFonts w:ascii="Times New Roman"/>
                <w:b w:val="false"/>
                <w:i w:val="false"/>
                <w:color w:val="000000"/>
                <w:sz w:val="20"/>
              </w:rPr>
              <w:t>
3. ИФО производства обрабатывающей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выручки предприятий, получивших поддержку АО "НУХ "Байтерек"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56"/>
          <w:p>
            <w:pPr>
              <w:spacing w:after="20"/>
              <w:ind w:left="20"/>
              <w:jc w:val="both"/>
            </w:pPr>
            <w:r>
              <w:rPr>
                <w:rFonts w:ascii="Times New Roman"/>
                <w:b w:val="false"/>
                <w:i w:val="false"/>
                <w:color w:val="000000"/>
                <w:sz w:val="20"/>
              </w:rPr>
              <w:t>
1. Расширение несырьевого сектора, ориентированного на экспорт.</w:t>
            </w:r>
          </w:p>
          <w:bookmarkEnd w:id="656"/>
          <w:p>
            <w:pPr>
              <w:spacing w:after="20"/>
              <w:ind w:left="20"/>
              <w:jc w:val="both"/>
            </w:pPr>
            <w:r>
              <w:rPr>
                <w:rFonts w:ascii="Times New Roman"/>
                <w:b w:val="false"/>
                <w:i w:val="false"/>
                <w:color w:val="000000"/>
                <w:sz w:val="20"/>
              </w:rPr>
              <w:t>
2. Государственное стимулирование экспорта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экспорта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57"/>
          <w:p>
            <w:pPr>
              <w:spacing w:after="20"/>
              <w:ind w:left="20"/>
              <w:jc w:val="both"/>
            </w:pPr>
            <w:r>
              <w:rPr>
                <w:rFonts w:ascii="Times New Roman"/>
                <w:b w:val="false"/>
                <w:i w:val="false"/>
                <w:color w:val="000000"/>
                <w:sz w:val="20"/>
              </w:rPr>
              <w:t>
Экспорт</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w:t>
            </w:r>
          </w:p>
          <w:p>
            <w:pPr>
              <w:spacing w:after="20"/>
              <w:ind w:left="20"/>
              <w:jc w:val="both"/>
            </w:pPr>
            <w:r>
              <w:rPr>
                <w:rFonts w:ascii="Times New Roman"/>
                <w:b w:val="false"/>
                <w:i w:val="false"/>
                <w:color w:val="000000"/>
                <w:sz w:val="20"/>
              </w:rPr>
              <w:t>
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МТИ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продвижение экспорта несырьевых товаров и услуг, расширение торгово-экономического сотрудничества и развитие международной экономической интеграции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8"/>
          <w:p>
            <w:pPr>
              <w:spacing w:after="20"/>
              <w:ind w:left="20"/>
              <w:jc w:val="both"/>
            </w:pPr>
            <w:r>
              <w:rPr>
                <w:rFonts w:ascii="Times New Roman"/>
                <w:b w:val="false"/>
                <w:i w:val="false"/>
                <w:color w:val="000000"/>
                <w:sz w:val="20"/>
              </w:rPr>
              <w:t>
Объем несырьевого экспорта товаров и услуг по республике</w:t>
            </w:r>
          </w:p>
          <w:bookmarkEnd w:id="658"/>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Объем экспортной выручки предприятий, получивших поддержку АО "НУХ "Байтерек" (за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59"/>
          <w:p>
            <w:pPr>
              <w:spacing w:after="20"/>
              <w:ind w:left="20"/>
              <w:jc w:val="both"/>
            </w:pPr>
            <w:r>
              <w:rPr>
                <w:rFonts w:ascii="Times New Roman"/>
                <w:b w:val="false"/>
                <w:i w:val="false"/>
                <w:color w:val="000000"/>
                <w:sz w:val="20"/>
              </w:rPr>
              <w:t>
Стимулирование бизнеса к укрупнению и выходу из неформальной</w:t>
            </w:r>
          </w:p>
          <w:bookmarkEnd w:id="659"/>
          <w:p>
            <w:pPr>
              <w:spacing w:after="20"/>
              <w:ind w:left="20"/>
              <w:jc w:val="both"/>
            </w:pPr>
            <w:r>
              <w:rPr>
                <w:rFonts w:ascii="Times New Roman"/>
                <w:b w:val="false"/>
                <w:i w:val="false"/>
                <w:color w:val="000000"/>
                <w:sz w:val="20"/>
              </w:rPr>
              <w:t>
экономики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60"/>
          <w:p>
            <w:pPr>
              <w:spacing w:after="20"/>
              <w:ind w:left="20"/>
              <w:jc w:val="both"/>
            </w:pPr>
            <w:r>
              <w:rPr>
                <w:rFonts w:ascii="Times New Roman"/>
                <w:b w:val="false"/>
                <w:i w:val="false"/>
                <w:color w:val="000000"/>
                <w:sz w:val="20"/>
              </w:rPr>
              <w:t>
Д о л я</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В Д С</w:t>
            </w:r>
          </w:p>
          <w:p>
            <w:pPr>
              <w:spacing w:after="20"/>
              <w:ind w:left="20"/>
              <w:jc w:val="both"/>
            </w:pPr>
            <w:r>
              <w:rPr>
                <w:rFonts w:ascii="Times New Roman"/>
                <w:b w:val="false"/>
                <w:i w:val="false"/>
                <w:color w:val="000000"/>
                <w:sz w:val="20"/>
              </w:rPr>
              <w:t>
</w:t>
            </w:r>
            <w:r>
              <w:rPr>
                <w:rFonts w:ascii="Times New Roman"/>
                <w:b w:val="false"/>
                <w:i w:val="false"/>
                <w:color w:val="000000"/>
                <w:sz w:val="20"/>
              </w:rPr>
              <w:t>МСП в</w:t>
            </w:r>
          </w:p>
          <w:p>
            <w:pPr>
              <w:spacing w:after="20"/>
              <w:ind w:left="20"/>
              <w:jc w:val="both"/>
            </w:pPr>
            <w:r>
              <w:rPr>
                <w:rFonts w:ascii="Times New Roman"/>
                <w:b w:val="false"/>
                <w:i w:val="false"/>
                <w:color w:val="000000"/>
                <w:sz w:val="20"/>
              </w:rPr>
              <w:t>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МНЭ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целостной экосистемы для привлечения инвестиций и повышения инвестиционной привлекательности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ВДС МСП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малого и среднего предпринимательства в Республике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1"/>
          <w:p>
            <w:pPr>
              <w:spacing w:after="20"/>
              <w:ind w:left="20"/>
              <w:jc w:val="both"/>
            </w:pPr>
            <w:r>
              <w:rPr>
                <w:rFonts w:ascii="Times New Roman"/>
                <w:b w:val="false"/>
                <w:i w:val="false"/>
                <w:color w:val="000000"/>
                <w:sz w:val="20"/>
              </w:rPr>
              <w:t>
1. Доля МСП в ВВП</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развития агропромышленного комплекса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Уровень обновления сельскохозяйственной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Уровень обеспеченности продовольственными товарами (в том числе социально значимыми).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Рост объема привлеченных инвестиций в основной капитал в сельское хозяйство.</w:t>
            </w:r>
          </w:p>
          <w:p>
            <w:pPr>
              <w:spacing w:after="20"/>
              <w:ind w:left="20"/>
              <w:jc w:val="both"/>
            </w:pPr>
            <w:r>
              <w:rPr>
                <w:rFonts w:ascii="Times New Roman"/>
                <w:b w:val="false"/>
                <w:i w:val="false"/>
                <w:color w:val="000000"/>
                <w:sz w:val="20"/>
              </w:rPr>
              <w:t>
5. Рост объема привлеченных инвестиций в основной капитал в производство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Доля субъектов ММСП, которым оказана финансовая поддержка, к общему числу действующих субъектов ММСП на рынке (с накоплением с 2024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2"/>
          <w:p>
            <w:pPr>
              <w:spacing w:after="20"/>
              <w:ind w:left="20"/>
              <w:jc w:val="both"/>
            </w:pPr>
            <w:r>
              <w:rPr>
                <w:rFonts w:ascii="Times New Roman"/>
                <w:b w:val="false"/>
                <w:i w:val="false"/>
                <w:color w:val="000000"/>
                <w:sz w:val="20"/>
              </w:rPr>
              <w:t>
1. Стимулирование привлечения инвестиций в отрасль.</w:t>
            </w:r>
          </w:p>
          <w:bookmarkEnd w:id="662"/>
          <w:p>
            <w:pPr>
              <w:spacing w:after="20"/>
              <w:ind w:left="20"/>
              <w:jc w:val="both"/>
            </w:pPr>
            <w:r>
              <w:rPr>
                <w:rFonts w:ascii="Times New Roman"/>
                <w:b w:val="false"/>
                <w:i w:val="false"/>
                <w:color w:val="000000"/>
                <w:sz w:val="20"/>
              </w:rPr>
              <w:t>
2. Стимулирование переработки сельскохозяйственной продукции.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3"/>
          <w:p>
            <w:pPr>
              <w:spacing w:after="20"/>
              <w:ind w:left="20"/>
              <w:jc w:val="both"/>
            </w:pPr>
            <w:r>
              <w:rPr>
                <w:rFonts w:ascii="Times New Roman"/>
                <w:b w:val="false"/>
                <w:i w:val="false"/>
                <w:color w:val="000000"/>
                <w:sz w:val="20"/>
              </w:rPr>
              <w:t>
1. Инвестиции</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в основной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w:t>
            </w:r>
          </w:p>
          <w:p>
            <w:pPr>
              <w:spacing w:after="20"/>
              <w:ind w:left="20"/>
              <w:jc w:val="both"/>
            </w:pPr>
            <w:r>
              <w:rPr>
                <w:rFonts w:ascii="Times New Roman"/>
                <w:b w:val="false"/>
                <w:i w:val="false"/>
                <w:color w:val="000000"/>
                <w:sz w:val="20"/>
              </w:rPr>
              <w:t>
2. Доля переработанной продукции в АПК.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МСХ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повышения конкурентоспособности субъектов АПК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АПК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Концепции развития агропромышленного комплекса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4"/>
          <w:p>
            <w:pPr>
              <w:spacing w:after="20"/>
              <w:ind w:left="20"/>
              <w:jc w:val="both"/>
            </w:pPr>
            <w:r>
              <w:rPr>
                <w:rFonts w:ascii="Times New Roman"/>
                <w:b w:val="false"/>
                <w:i w:val="false"/>
                <w:color w:val="000000"/>
                <w:sz w:val="20"/>
              </w:rPr>
              <w:t>
1. Повышение производительности труда в сельском хозяйстве.</w:t>
            </w:r>
          </w:p>
          <w:bookmarkEnd w:id="664"/>
          <w:p>
            <w:pPr>
              <w:spacing w:after="20"/>
              <w:ind w:left="20"/>
              <w:jc w:val="both"/>
            </w:pPr>
            <w:r>
              <w:rPr>
                <w:rFonts w:ascii="Times New Roman"/>
                <w:b w:val="false"/>
                <w:i w:val="false"/>
                <w:color w:val="000000"/>
                <w:sz w:val="20"/>
              </w:rPr>
              <w:t>
2. Увеличение экспорта продукции агропромышленного комплекса.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Объем инвестиций в основной капитал в отрасли АПК (за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экосистемы долевого финансирования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точек экономического роста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новых рыночных ниш, где Казахстан может участвовать как равноправный бизнес-партнер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привлечения инвестиций в отрасль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65"/>
          <w:p>
            <w:pPr>
              <w:spacing w:after="20"/>
              <w:ind w:left="20"/>
              <w:jc w:val="both"/>
            </w:pPr>
            <w:r>
              <w:rPr>
                <w:rFonts w:ascii="Times New Roman"/>
                <w:b w:val="false"/>
                <w:i w:val="false"/>
                <w:color w:val="000000"/>
                <w:sz w:val="20"/>
              </w:rPr>
              <w:t>
1. Инвестиции в</w:t>
            </w:r>
            <w:r>
              <w:rPr>
                <w:rFonts w:ascii="Times New Roman"/>
                <w:b w:val="false"/>
                <w:i w:val="false"/>
                <w:color w:val="000000"/>
                <w:sz w:val="20"/>
              </w:rPr>
              <w:t xml:space="preserve"> основной</w:t>
            </w:r>
            <w:r>
              <w:rPr>
                <w:rFonts w:ascii="Times New Roman"/>
                <w:b w:val="false"/>
                <w:i w:val="false"/>
                <w:color w:val="000000"/>
                <w:sz w:val="20"/>
              </w:rPr>
              <w:t xml:space="preserve"> капитал.</w:t>
            </w:r>
          </w:p>
          <w:bookmarkEnd w:id="665"/>
          <w:p>
            <w:pPr>
              <w:spacing w:after="20"/>
              <w:ind w:left="20"/>
              <w:jc w:val="both"/>
            </w:pPr>
            <w:r>
              <w:rPr>
                <w:rFonts w:ascii="Times New Roman"/>
                <w:b w:val="false"/>
                <w:i w:val="false"/>
                <w:color w:val="000000"/>
                <w:sz w:val="20"/>
              </w:rPr>
              <w:t>
2. Валовый приток прямых иностранных инвестий.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МПС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промышленности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основной капитал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66"/>
          <w:p>
            <w:pPr>
              <w:spacing w:after="20"/>
              <w:ind w:left="20"/>
              <w:jc w:val="both"/>
            </w:pPr>
            <w:r>
              <w:rPr>
                <w:rFonts w:ascii="Times New Roman"/>
                <w:b w:val="false"/>
                <w:i w:val="false"/>
                <w:color w:val="000000"/>
                <w:sz w:val="20"/>
              </w:rPr>
              <w:t>
Концепция развития обрабатывающей промышленности Республики Казахстан</w:t>
            </w:r>
          </w:p>
          <w:bookmarkEnd w:id="666"/>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 обрабатывающую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Увеличение доли долевого финансирования.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67"/>
          <w:p>
            <w:pPr>
              <w:spacing w:after="20"/>
              <w:ind w:left="20"/>
              <w:jc w:val="both"/>
            </w:pPr>
            <w:r>
              <w:rPr>
                <w:rFonts w:ascii="Times New Roman"/>
                <w:b w:val="false"/>
                <w:i w:val="false"/>
                <w:color w:val="000000"/>
                <w:sz w:val="20"/>
              </w:rPr>
              <w:t xml:space="preserve">
Формирование новой социальной модели </w:t>
            </w:r>
          </w:p>
          <w:bookmarkEnd w:id="667"/>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доступности жилья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68"/>
          <w:p>
            <w:pPr>
              <w:spacing w:after="20"/>
              <w:ind w:left="20"/>
              <w:jc w:val="both"/>
            </w:pPr>
            <w:r>
              <w:rPr>
                <w:rFonts w:ascii="Times New Roman"/>
                <w:b w:val="false"/>
                <w:i w:val="false"/>
                <w:color w:val="000000"/>
                <w:sz w:val="20"/>
              </w:rPr>
              <w:t>
1. Стабильный экономический рост регионов на базе их конкурентных</w:t>
            </w:r>
            <w:r>
              <w:rPr>
                <w:rFonts w:ascii="Times New Roman"/>
                <w:b w:val="false"/>
                <w:i w:val="false"/>
                <w:color w:val="000000"/>
                <w:sz w:val="20"/>
              </w:rPr>
              <w:t xml:space="preserve"> Преимуществ.</w:t>
            </w:r>
          </w:p>
          <w:bookmarkEnd w:id="668"/>
          <w:p>
            <w:pPr>
              <w:spacing w:after="20"/>
              <w:ind w:left="20"/>
              <w:jc w:val="both"/>
            </w:pPr>
            <w:r>
              <w:rPr>
                <w:rFonts w:ascii="Times New Roman"/>
                <w:b w:val="false"/>
                <w:i w:val="false"/>
                <w:color w:val="000000"/>
                <w:sz w:val="20"/>
              </w:rPr>
              <w:t>
2. Комфортные и современные города.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9"/>
          <w:p>
            <w:pPr>
              <w:spacing w:after="20"/>
              <w:ind w:left="20"/>
              <w:jc w:val="both"/>
            </w:pPr>
            <w:r>
              <w:rPr>
                <w:rFonts w:ascii="Times New Roman"/>
                <w:b w:val="false"/>
                <w:i w:val="false"/>
                <w:color w:val="000000"/>
                <w:sz w:val="20"/>
              </w:rPr>
              <w:t>
Уровень</w:t>
            </w:r>
            <w:r>
              <w:rPr>
                <w:rFonts w:ascii="Times New Roman"/>
                <w:b w:val="false"/>
                <w:i w:val="false"/>
                <w:color w:val="000000"/>
                <w:sz w:val="20"/>
              </w:rPr>
              <w:t xml:space="preserve"> обеспече</w:t>
            </w:r>
            <w:r>
              <w:rPr>
                <w:rFonts w:ascii="Times New Roman"/>
                <w:b w:val="false"/>
                <w:i w:val="false"/>
                <w:color w:val="000000"/>
                <w:sz w:val="20"/>
              </w:rPr>
              <w:t>нности</w:t>
            </w:r>
            <w:r>
              <w:rPr>
                <w:rFonts w:ascii="Times New Roman"/>
                <w:b w:val="false"/>
                <w:i w:val="false"/>
                <w:color w:val="000000"/>
                <w:sz w:val="20"/>
              </w:rPr>
              <w:t xml:space="preserve"> социальн</w:t>
            </w:r>
            <w:r>
              <w:rPr>
                <w:rFonts w:ascii="Times New Roman"/>
                <w:b w:val="false"/>
                <w:i w:val="false"/>
                <w:color w:val="000000"/>
                <w:sz w:val="20"/>
              </w:rPr>
              <w:t>ы м и</w:t>
            </w:r>
            <w:r>
              <w:rPr>
                <w:rFonts w:ascii="Times New Roman"/>
                <w:b w:val="false"/>
                <w:i w:val="false"/>
                <w:color w:val="000000"/>
                <w:sz w:val="20"/>
              </w:rPr>
              <w:t xml:space="preserve"> благами</w:t>
            </w:r>
            <w:r>
              <w:rPr>
                <w:rFonts w:ascii="Times New Roman"/>
                <w:b w:val="false"/>
                <w:i w:val="false"/>
                <w:color w:val="000000"/>
                <w:sz w:val="20"/>
              </w:rPr>
              <w:t xml:space="preserve"> и</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Услугами</w:t>
            </w:r>
            <w:r>
              <w:rPr>
                <w:rFonts w:ascii="Times New Roman"/>
                <w:b w:val="false"/>
                <w:i w:val="false"/>
                <w:color w:val="000000"/>
                <w:sz w:val="20"/>
              </w:rPr>
              <w:t xml:space="preserve"> в</w:t>
            </w:r>
            <w:r>
              <w:rPr>
                <w:rFonts w:ascii="Times New Roman"/>
                <w:b w:val="false"/>
                <w:i w:val="false"/>
                <w:color w:val="000000"/>
                <w:sz w:val="20"/>
              </w:rPr>
              <w:t xml:space="preserve"> соответст</w:t>
            </w:r>
            <w:r>
              <w:rPr>
                <w:rFonts w:ascii="Times New Roman"/>
                <w:b w:val="false"/>
                <w:i w:val="false"/>
                <w:color w:val="000000"/>
                <w:sz w:val="20"/>
              </w:rPr>
              <w:t>вии с</w:t>
            </w:r>
            <w:r>
              <w:rPr>
                <w:rFonts w:ascii="Times New Roman"/>
                <w:b w:val="false"/>
                <w:i w:val="false"/>
                <w:color w:val="000000"/>
                <w:sz w:val="20"/>
              </w:rPr>
              <w:t xml:space="preserve"> Системой</w:t>
            </w:r>
            <w:r>
              <w:rPr>
                <w:rFonts w:ascii="Times New Roman"/>
                <w:b w:val="false"/>
                <w:i w:val="false"/>
                <w:color w:val="000000"/>
                <w:sz w:val="20"/>
              </w:rPr>
              <w:t xml:space="preserve"> регионал</w:t>
            </w:r>
            <w:r>
              <w:rPr>
                <w:rFonts w:ascii="Times New Roman"/>
                <w:b w:val="false"/>
                <w:i w:val="false"/>
                <w:color w:val="000000"/>
                <w:sz w:val="20"/>
              </w:rPr>
              <w:t>ь н ы х</w:t>
            </w:r>
            <w:r>
              <w:rPr>
                <w:rFonts w:ascii="Times New Roman"/>
                <w:b w:val="false"/>
                <w:i w:val="false"/>
                <w:color w:val="000000"/>
                <w:sz w:val="20"/>
              </w:rPr>
              <w:t xml:space="preserve"> стандартов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МПС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обеспечения населения доступным жильем, модернизация инфраструктуры и жилищно-коммунального хозяйства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в эксплуатацию жилья за счет всех источников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жилищно-коммунальной инфраструктуры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Увеличение доли займов на первичное и строящееся жилье.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Доля очередников, обеспеченных жильем, имеющих первоочередное право (с накоплением с 2025г.).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Объем ввода жилья (многоквартирные жилые дома) за счет инструментов КЖК.</w:t>
            </w:r>
          </w:p>
        </w:tc>
      </w:tr>
    </w:tbl>
    <w:bookmarkStart w:name="z744" w:id="670"/>
    <w:p>
      <w:pPr>
        <w:spacing w:after="0"/>
        <w:ind w:left="0"/>
        <w:jc w:val="both"/>
      </w:pPr>
      <w:r>
        <w:rPr>
          <w:rFonts w:ascii="Times New Roman"/>
          <w:b w:val="false"/>
          <w:i w:val="false"/>
          <w:color w:val="000000"/>
          <w:sz w:val="28"/>
        </w:rPr>
        <w:t>
      __________________________</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на 2024 – 2033 годы</w:t>
            </w:r>
          </w:p>
        </w:tc>
      </w:tr>
    </w:tbl>
    <w:bookmarkStart w:name="z746" w:id="671"/>
    <w:p>
      <w:pPr>
        <w:spacing w:after="0"/>
        <w:ind w:left="0"/>
        <w:jc w:val="left"/>
      </w:pPr>
      <w:r>
        <w:rPr>
          <w:rFonts w:ascii="Times New Roman"/>
          <w:b/>
          <w:i w:val="false"/>
          <w:color w:val="000000"/>
        </w:rPr>
        <w:t xml:space="preserve"> Список дочерних организаций АО "НУХ "Байтерек"</w:t>
      </w:r>
    </w:p>
    <w:bookmarkEnd w:id="671"/>
    <w:bookmarkStart w:name="z747" w:id="672"/>
    <w:p>
      <w:pPr>
        <w:spacing w:after="0"/>
        <w:ind w:left="0"/>
        <w:jc w:val="both"/>
      </w:pPr>
      <w:r>
        <w:rPr>
          <w:rFonts w:ascii="Times New Roman"/>
          <w:b w:val="false"/>
          <w:i w:val="false"/>
          <w:color w:val="000000"/>
          <w:sz w:val="28"/>
        </w:rPr>
        <w:t>
      1. АО "Банк Развития Казахстана".</w:t>
      </w:r>
    </w:p>
    <w:bookmarkEnd w:id="672"/>
    <w:bookmarkStart w:name="z748" w:id="673"/>
    <w:p>
      <w:pPr>
        <w:spacing w:after="0"/>
        <w:ind w:left="0"/>
        <w:jc w:val="both"/>
      </w:pPr>
      <w:r>
        <w:rPr>
          <w:rFonts w:ascii="Times New Roman"/>
          <w:b w:val="false"/>
          <w:i w:val="false"/>
          <w:color w:val="000000"/>
          <w:sz w:val="28"/>
        </w:rPr>
        <w:t>
      2. АО "Фонд развития предпринимательства "Даму".</w:t>
      </w:r>
    </w:p>
    <w:bookmarkEnd w:id="673"/>
    <w:bookmarkStart w:name="z749" w:id="674"/>
    <w:p>
      <w:pPr>
        <w:spacing w:after="0"/>
        <w:ind w:left="0"/>
        <w:jc w:val="both"/>
      </w:pPr>
      <w:r>
        <w:rPr>
          <w:rFonts w:ascii="Times New Roman"/>
          <w:b w:val="false"/>
          <w:i w:val="false"/>
          <w:color w:val="000000"/>
          <w:sz w:val="28"/>
        </w:rPr>
        <w:t>
      3. АО "Жилищный строительный сберегательный банк "Отбасы банк".</w:t>
      </w:r>
    </w:p>
    <w:bookmarkEnd w:id="674"/>
    <w:bookmarkStart w:name="z750" w:id="675"/>
    <w:p>
      <w:pPr>
        <w:spacing w:after="0"/>
        <w:ind w:left="0"/>
        <w:jc w:val="both"/>
      </w:pPr>
      <w:r>
        <w:rPr>
          <w:rFonts w:ascii="Times New Roman"/>
          <w:b w:val="false"/>
          <w:i w:val="false"/>
          <w:color w:val="000000"/>
          <w:sz w:val="28"/>
        </w:rPr>
        <w:t>
      4. АО "Qazaqstan Investment Corporation".</w:t>
      </w:r>
    </w:p>
    <w:bookmarkEnd w:id="675"/>
    <w:bookmarkStart w:name="z751" w:id="676"/>
    <w:p>
      <w:pPr>
        <w:spacing w:after="0"/>
        <w:ind w:left="0"/>
        <w:jc w:val="both"/>
      </w:pPr>
      <w:r>
        <w:rPr>
          <w:rFonts w:ascii="Times New Roman"/>
          <w:b w:val="false"/>
          <w:i w:val="false"/>
          <w:color w:val="000000"/>
          <w:sz w:val="28"/>
        </w:rPr>
        <w:t>
      5. АО "Казахстанская Жилищная Компания".</w:t>
      </w:r>
    </w:p>
    <w:bookmarkEnd w:id="676"/>
    <w:bookmarkStart w:name="z752" w:id="677"/>
    <w:p>
      <w:pPr>
        <w:spacing w:after="0"/>
        <w:ind w:left="0"/>
        <w:jc w:val="both"/>
      </w:pPr>
      <w:r>
        <w:rPr>
          <w:rFonts w:ascii="Times New Roman"/>
          <w:b w:val="false"/>
          <w:i w:val="false"/>
          <w:color w:val="000000"/>
          <w:sz w:val="28"/>
        </w:rPr>
        <w:t>
      6. АО "Экспортно-кредитное агентство Казахстана".</w:t>
      </w:r>
    </w:p>
    <w:bookmarkEnd w:id="677"/>
    <w:bookmarkStart w:name="z753" w:id="678"/>
    <w:p>
      <w:pPr>
        <w:spacing w:after="0"/>
        <w:ind w:left="0"/>
        <w:jc w:val="both"/>
      </w:pPr>
      <w:r>
        <w:rPr>
          <w:rFonts w:ascii="Times New Roman"/>
          <w:b w:val="false"/>
          <w:i w:val="false"/>
          <w:color w:val="000000"/>
          <w:sz w:val="28"/>
        </w:rPr>
        <w:t>
      7. АО "Аграрная кредитная корпорация".</w:t>
      </w:r>
    </w:p>
    <w:bookmarkEnd w:id="678"/>
    <w:bookmarkStart w:name="z754" w:id="67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w:t>
      </w:r>
    </w:p>
    <w:bookmarkEnd w:id="6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