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ce13" w14:textId="61cc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p>
      <w:pPr>
        <w:spacing w:after="0"/>
        <w:ind w:left="0"/>
        <w:jc w:val="both"/>
      </w:pPr>
      <w:r>
        <w:rPr>
          <w:rFonts w:ascii="Times New Roman"/>
          <w:b w:val="false"/>
          <w:i w:val="false"/>
          <w:color w:val="000000"/>
          <w:sz w:val="28"/>
        </w:rPr>
        <w:t>Постановление Правительства Республики Казахстан от 8 апреля 2025 года № 215.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Экологического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классификации (таксономии) "зеленых" проектов, подлежащих финансированию через "зеленые" облигации и "зеленые" кредиты, утвержденной указанным постановлением:</w:t>
      </w:r>
    </w:p>
    <w:bookmarkEnd w:id="3"/>
    <w:bookmarkStart w:name="z9" w:id="4"/>
    <w:p>
      <w:pPr>
        <w:spacing w:after="0"/>
        <w:ind w:left="0"/>
        <w:jc w:val="both"/>
      </w:pPr>
      <w:r>
        <w:rPr>
          <w:rFonts w:ascii="Times New Roman"/>
          <w:b w:val="false"/>
          <w:i w:val="false"/>
          <w:color w:val="000000"/>
          <w:sz w:val="28"/>
        </w:rPr>
        <w:t>
      графу 6 в строке "2. Энергоэффективность 2.2 Повышение энергоэффективности в бюджетном и коммунальном секторах 2.2.3 Услуги по энергосбережению" изложить в следующей редакции:</w:t>
      </w:r>
    </w:p>
    <w:bookmarkEnd w:id="4"/>
    <w:bookmarkStart w:name="z10" w:id="5"/>
    <w:p>
      <w:pPr>
        <w:spacing w:after="0"/>
        <w:ind w:left="0"/>
        <w:jc w:val="both"/>
      </w:pPr>
      <w:r>
        <w:rPr>
          <w:rFonts w:ascii="Times New Roman"/>
          <w:b w:val="false"/>
          <w:i w:val="false"/>
          <w:color w:val="000000"/>
          <w:sz w:val="28"/>
        </w:rPr>
        <w:t>
      "в соответствии с СТ РК ISO 50001-2019 "Системы энергетического менеджмента. Требования и руководство по использованию" или международно признанными аналогичными стандартами";</w:t>
      </w:r>
    </w:p>
    <w:bookmarkEnd w:id="5"/>
    <w:bookmarkStart w:name="z11" w:id="6"/>
    <w:p>
      <w:pPr>
        <w:spacing w:after="0"/>
        <w:ind w:left="0"/>
        <w:jc w:val="both"/>
      </w:pPr>
      <w:r>
        <w:rPr>
          <w:rFonts w:ascii="Times New Roman"/>
          <w:b w:val="false"/>
          <w:i w:val="false"/>
          <w:color w:val="000000"/>
          <w:sz w:val="28"/>
        </w:rPr>
        <w:t>
      графу 6 в строке "3. "Зеленые" здания 3.2 Сопутствующие системы и строительные материалы 3.2.1 Производство и применение систем, "зеленых" строительных материалов и продуктов" изложить в следующей редакции:</w:t>
      </w:r>
    </w:p>
    <w:bookmarkEnd w:id="6"/>
    <w:bookmarkStart w:name="z12" w:id="7"/>
    <w:p>
      <w:pPr>
        <w:spacing w:after="0"/>
        <w:ind w:left="0"/>
        <w:jc w:val="both"/>
      </w:pPr>
      <w:r>
        <w:rPr>
          <w:rFonts w:ascii="Times New Roman"/>
          <w:b w:val="false"/>
          <w:i w:val="false"/>
          <w:color w:val="000000"/>
          <w:sz w:val="28"/>
        </w:rPr>
        <w:t>
      "наличие (опционно):</w:t>
      </w:r>
    </w:p>
    <w:bookmarkEnd w:id="7"/>
    <w:bookmarkStart w:name="z13" w:id="8"/>
    <w:p>
      <w:pPr>
        <w:spacing w:after="0"/>
        <w:ind w:left="0"/>
        <w:jc w:val="both"/>
      </w:pPr>
      <w:r>
        <w:rPr>
          <w:rFonts w:ascii="Times New Roman"/>
          <w:b w:val="false"/>
          <w:i w:val="false"/>
          <w:color w:val="000000"/>
          <w:sz w:val="28"/>
        </w:rPr>
        <w:t>
      1) рейтинговых оценок в области "зеленого" строительства: LEED, EDGE, BREEAM, DGNB, OMIR;</w:t>
      </w:r>
    </w:p>
    <w:bookmarkEnd w:id="8"/>
    <w:bookmarkStart w:name="z14" w:id="9"/>
    <w:p>
      <w:pPr>
        <w:spacing w:after="0"/>
        <w:ind w:left="0"/>
        <w:jc w:val="both"/>
      </w:pPr>
      <w:r>
        <w:rPr>
          <w:rFonts w:ascii="Times New Roman"/>
          <w:b w:val="false"/>
          <w:i w:val="false"/>
          <w:color w:val="000000"/>
          <w:sz w:val="28"/>
        </w:rPr>
        <w:t>
      2) маркировки энергоэффективности (высокий класс энергоэффективности);</w:t>
      </w:r>
    </w:p>
    <w:bookmarkEnd w:id="9"/>
    <w:bookmarkStart w:name="z15" w:id="10"/>
    <w:p>
      <w:pPr>
        <w:spacing w:after="0"/>
        <w:ind w:left="0"/>
        <w:jc w:val="both"/>
      </w:pPr>
      <w:r>
        <w:rPr>
          <w:rFonts w:ascii="Times New Roman"/>
          <w:b w:val="false"/>
          <w:i w:val="false"/>
          <w:color w:val="000000"/>
          <w:sz w:val="28"/>
        </w:rPr>
        <w:t>
      3) знаков энергетического рейтинга, таких как US Energy Star, или соответствия схеме энергетической маркировки, такой как Energy Performance Certifications, используемой в Европейском Союзе, или сертификации по серии стандартов Международной организации по стандартизации в области энергоэффективности зданий (СТ РК ISO 52003-1-2023 "Энергоэффективность зданий. Показатели, требования, рейтинги и сертификаты. Часть 1. Общие аспекты и применение к общей энергоэффективности", СТ РК ISO/TR 52003-2-2023 "Энергоэффективность зданий. Индикаторы, требования, рейтинги и сертификаты. Часть 2. Разъяснение и обоснование ISO 52003-1", СТ РК ISO 52010-1-2023 "Энергоэффективность зданий. Наружные климатические условия. Часть 1. Преобразование климатических данных для расчетов энергии", СТ РК ISO 52016-1-2023 "Энергоэффективность зданий. Энергопотребности для отопления и охлаждения, внутренние температуры и нагрузки по явному и скрытому теплу. Часть 1. Методики расчета", СТ РК ISO 52018-1-2023 "Энергоэффективность зданий. Индикаторы для частных требований энергоэффективности зданий, относящихся к тепловому балансу и характеристикам каркаса здания. Часть 1. Обзор вариантов");</w:t>
      </w:r>
    </w:p>
    <w:bookmarkEnd w:id="10"/>
    <w:bookmarkStart w:name="z16" w:id="11"/>
    <w:p>
      <w:pPr>
        <w:spacing w:after="0"/>
        <w:ind w:left="0"/>
        <w:jc w:val="both"/>
      </w:pPr>
      <w:r>
        <w:rPr>
          <w:rFonts w:ascii="Times New Roman"/>
          <w:b w:val="false"/>
          <w:i w:val="false"/>
          <w:color w:val="000000"/>
          <w:sz w:val="28"/>
        </w:rPr>
        <w:t>
      4) сертификации по схемам сертификации отдельных строительных материалов (цемент, бетон, керамика, сталь и т.п.), таких как Concrete Sustainability Council (CSC) Certification либо верифицированной экологической декларации продукции (EPD), подготовленной в соответствии со стандартом СТ РК СТБ ISO 14025-2006 "Этикетки и декларации экологические. Экологические декларации типа III. Принципы и процедуры", в котором демонстрируется более низкий уровень негативного экологического следа продукции.";</w:t>
      </w:r>
    </w:p>
    <w:bookmarkEnd w:id="11"/>
    <w:bookmarkStart w:name="z17" w:id="12"/>
    <w:p>
      <w:pPr>
        <w:spacing w:after="0"/>
        <w:ind w:left="0"/>
        <w:jc w:val="both"/>
      </w:pPr>
      <w:r>
        <w:rPr>
          <w:rFonts w:ascii="Times New Roman"/>
          <w:b w:val="false"/>
          <w:i w:val="false"/>
          <w:color w:val="000000"/>
          <w:sz w:val="28"/>
        </w:rPr>
        <w:t>
      графу 5 в строке "4. Предотвращение и контроль загрязнения 4.2 Почва 4.2.1 Снижение загрязнения почвы; оборудование и инфраструктура для ее восстановления" изложить в следующей редакции:</w:t>
      </w:r>
    </w:p>
    <w:bookmarkEnd w:id="12"/>
    <w:bookmarkStart w:name="z18" w:id="13"/>
    <w:p>
      <w:pPr>
        <w:spacing w:after="0"/>
        <w:ind w:left="0"/>
        <w:jc w:val="both"/>
      </w:pPr>
      <w:r>
        <w:rPr>
          <w:rFonts w:ascii="Times New Roman"/>
          <w:b w:val="false"/>
          <w:i w:val="false"/>
          <w:color w:val="000000"/>
          <w:sz w:val="28"/>
        </w:rPr>
        <w:t>
      "оборудование и инфраструктура, использующие технологии и продукты восстановления почвы от загрязнения и деградации, улучшение плодородия почвы; устойчивое земледелие, переход на устойчивые системы земледелия, включая органические системы земледелия;</w:t>
      </w:r>
    </w:p>
    <w:bookmarkEnd w:id="13"/>
    <w:bookmarkStart w:name="z19" w:id="14"/>
    <w:p>
      <w:pPr>
        <w:spacing w:after="0"/>
        <w:ind w:left="0"/>
        <w:jc w:val="both"/>
      </w:pPr>
      <w:r>
        <w:rPr>
          <w:rFonts w:ascii="Times New Roman"/>
          <w:b w:val="false"/>
          <w:i w:val="false"/>
          <w:color w:val="000000"/>
          <w:sz w:val="28"/>
        </w:rPr>
        <w:t>
      применение фитомелиоративных и механических методов защиты почв;</w:t>
      </w:r>
    </w:p>
    <w:bookmarkEnd w:id="14"/>
    <w:bookmarkStart w:name="z20" w:id="15"/>
    <w:p>
      <w:pPr>
        <w:spacing w:after="0"/>
        <w:ind w:left="0"/>
        <w:jc w:val="both"/>
      </w:pPr>
      <w:r>
        <w:rPr>
          <w:rFonts w:ascii="Times New Roman"/>
          <w:b w:val="false"/>
          <w:i w:val="false"/>
          <w:color w:val="000000"/>
          <w:sz w:val="28"/>
        </w:rPr>
        <w:t>
      применение нулевых, влагосберегающих и почвозащитных технологий в обработке почвы;</w:t>
      </w:r>
    </w:p>
    <w:bookmarkEnd w:id="15"/>
    <w:bookmarkStart w:name="z21" w:id="16"/>
    <w:p>
      <w:pPr>
        <w:spacing w:after="0"/>
        <w:ind w:left="0"/>
        <w:jc w:val="both"/>
      </w:pPr>
      <w:r>
        <w:rPr>
          <w:rFonts w:ascii="Times New Roman"/>
          <w:b w:val="false"/>
          <w:i w:val="false"/>
          <w:color w:val="000000"/>
          <w:sz w:val="28"/>
        </w:rPr>
        <w:t>
      возделывание адаптированных к местным условиям культур и сортов;</w:t>
      </w:r>
    </w:p>
    <w:bookmarkEnd w:id="16"/>
    <w:bookmarkStart w:name="z22" w:id="17"/>
    <w:p>
      <w:pPr>
        <w:spacing w:after="0"/>
        <w:ind w:left="0"/>
        <w:jc w:val="both"/>
      </w:pPr>
      <w:r>
        <w:rPr>
          <w:rFonts w:ascii="Times New Roman"/>
          <w:b w:val="false"/>
          <w:i w:val="false"/>
          <w:color w:val="000000"/>
          <w:sz w:val="28"/>
        </w:rPr>
        <w:t>
      очищение от техногенных и антропогенных загрязнений";</w:t>
      </w:r>
    </w:p>
    <w:bookmarkEnd w:id="17"/>
    <w:bookmarkStart w:name="z23" w:id="18"/>
    <w:p>
      <w:pPr>
        <w:spacing w:after="0"/>
        <w:ind w:left="0"/>
        <w:jc w:val="both"/>
      </w:pPr>
      <w:r>
        <w:rPr>
          <w:rFonts w:ascii="Times New Roman"/>
          <w:b w:val="false"/>
          <w:i w:val="false"/>
          <w:color w:val="000000"/>
          <w:sz w:val="28"/>
        </w:rPr>
        <w:t>
      строку "5. Устойчивое использование воды, отходов 5.2 Отходы и сточные воды" дополнить строкой следующего содержания:</w:t>
      </w:r>
    </w:p>
    <w:bookmarkEnd w:id="18"/>
    <w:bookmarkStart w:name="z24"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Установки по утилизации отходов с выработкой энергии, за исключением отходов, указанных в перечне отходов, не подлежащих энергетической утилизации, утвержденном уполномоченным органом в области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28.22.9, 28.95.0, 28.96.0, 33.20.0, 38.11, 38.12, 38.20, 38.21, 38.22,</w:t>
            </w:r>
          </w:p>
          <w:bookmarkEnd w:id="20"/>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утилизации отходов, включая твердые бытовые отходы, отходы от переработки/компостирования/анаэробного дигерирования с получением качественного побочного продукта электроэнергии или тепла (например, сжигание, газификация, пиролиз и плазма)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 коэффициент полезного действия (КПД) установки ≥ 25 %;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утилизация зольного остатка;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извлечение металла из золы ≥ 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средняя интенсивность выбросов парниковых газов при производстве электроэнергии и/или тепла в течение срока службы завода ≤ лимита для утилизации отходов (лимит для утилизации отходов рассчитывается как интенсивность выбросов парниковых газов в г CO2е/кВтч, производимых мусоросжигающим заводом при минимальной квалификационной эффективности (КПД) в случае удаления плотного и пленочного пластика);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оценки проекта на устойчивость и адаптацию к последствиям изменения климата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климатических рисков и уязвимости объекта/площадки;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воздействия в более широком контексте (пространственном и временном) за пределами объекта/площадки (т.е. воздействие базовых активов и проектов на более широкую экосистему и заинтересованных лиц в этой экосистеме);</w:t>
            </w:r>
          </w:p>
          <w:p>
            <w:pPr>
              <w:spacing w:after="20"/>
              <w:ind w:left="20"/>
              <w:jc w:val="both"/>
            </w:pPr>
            <w:r>
              <w:rPr>
                <w:rFonts w:ascii="Times New Roman"/>
                <w:b w:val="false"/>
                <w:i w:val="false"/>
                <w:color w:val="000000"/>
                <w:sz w:val="20"/>
              </w:rPr>
              <w:t>
− разработка и внедрение стратегии для смягчения и адаптации объекта к этим климатическим рискам и уязвимостям</w:t>
            </w:r>
          </w:p>
        </w:tc>
      </w:tr>
    </w:tbl>
    <w:bookmarkStart w:name="z33" w:id="22"/>
    <w:p>
      <w:pPr>
        <w:spacing w:after="0"/>
        <w:ind w:left="0"/>
        <w:jc w:val="both"/>
      </w:pPr>
      <w:r>
        <w:rPr>
          <w:rFonts w:ascii="Times New Roman"/>
          <w:b w:val="false"/>
          <w:i w:val="false"/>
          <w:color w:val="000000"/>
          <w:sz w:val="28"/>
        </w:rPr>
        <w:t>
      ";</w:t>
      </w:r>
    </w:p>
    <w:bookmarkEnd w:id="22"/>
    <w:bookmarkStart w:name="z34" w:id="23"/>
    <w:p>
      <w:pPr>
        <w:spacing w:after="0"/>
        <w:ind w:left="0"/>
        <w:jc w:val="both"/>
      </w:pPr>
      <w:r>
        <w:rPr>
          <w:rFonts w:ascii="Times New Roman"/>
          <w:b w:val="false"/>
          <w:i w:val="false"/>
          <w:color w:val="000000"/>
          <w:sz w:val="28"/>
        </w:rPr>
        <w:t>
      графу 6 в строке "6. Устойчивое сельское хозяйство, землепользование, лесное хозяйство, сохранение биоразнообразия и экологический туризм 6.2 Устойчивое управление лесами и сохранение биоразнообразия и экосистем 6.2.1 Облесение и лесовосстановление" изложить в следующей редакции:</w:t>
      </w:r>
    </w:p>
    <w:bookmarkEnd w:id="23"/>
    <w:bookmarkStart w:name="z35" w:id="24"/>
    <w:p>
      <w:pPr>
        <w:spacing w:after="0"/>
        <w:ind w:left="0"/>
        <w:jc w:val="both"/>
      </w:pPr>
      <w:r>
        <w:rPr>
          <w:rFonts w:ascii="Times New Roman"/>
          <w:b w:val="false"/>
          <w:i w:val="false"/>
          <w:color w:val="000000"/>
          <w:sz w:val="28"/>
        </w:rPr>
        <w:t>
      "приживаемость лесных культур определяется согласно приложению 18 к Правилам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утвержденным приказом исполняющего обязанности Министра сельского хозяйства Республики Казахстан от 19 октября 2012 года № 17-02/532";</w:t>
      </w:r>
    </w:p>
    <w:bookmarkEnd w:id="24"/>
    <w:bookmarkStart w:name="z36" w:id="25"/>
    <w:p>
      <w:pPr>
        <w:spacing w:after="0"/>
        <w:ind w:left="0"/>
        <w:jc w:val="both"/>
      </w:pPr>
      <w:r>
        <w:rPr>
          <w:rFonts w:ascii="Times New Roman"/>
          <w:b w:val="false"/>
          <w:i w:val="false"/>
          <w:color w:val="000000"/>
          <w:sz w:val="28"/>
        </w:rPr>
        <w:t>
      графу 6 в строке "7. Чистый транспорт 7.2 Низкоуглеродные грузоперевозки 7.2.1 Низкоуглеродные грузоперевозки" изложить в следующей редакции:</w:t>
      </w:r>
    </w:p>
    <w:bookmarkEnd w:id="25"/>
    <w:bookmarkStart w:name="z37" w:id="26"/>
    <w:p>
      <w:pPr>
        <w:spacing w:after="0"/>
        <w:ind w:left="0"/>
        <w:jc w:val="both"/>
      </w:pPr>
      <w:r>
        <w:rPr>
          <w:rFonts w:ascii="Times New Roman"/>
          <w:b w:val="false"/>
          <w:i w:val="false"/>
          <w:color w:val="000000"/>
          <w:sz w:val="28"/>
        </w:rPr>
        <w:t>
      "для автомобильных перевозок – прямые выбросы 50 граммов CO2е/тонна км или соответствие стандарту Euro V или VI;</w:t>
      </w:r>
    </w:p>
    <w:bookmarkEnd w:id="26"/>
    <w:bookmarkStart w:name="z38" w:id="27"/>
    <w:p>
      <w:pPr>
        <w:spacing w:after="0"/>
        <w:ind w:left="0"/>
        <w:jc w:val="both"/>
      </w:pPr>
      <w:r>
        <w:rPr>
          <w:rFonts w:ascii="Times New Roman"/>
          <w:b w:val="false"/>
          <w:i w:val="false"/>
          <w:color w:val="000000"/>
          <w:sz w:val="28"/>
        </w:rPr>
        <w:t>
      для железнодорожных перевозок – прямые выбросы 40 граммов CO2е/тонна км;</w:t>
      </w:r>
    </w:p>
    <w:bookmarkEnd w:id="27"/>
    <w:bookmarkStart w:name="z39" w:id="28"/>
    <w:p>
      <w:pPr>
        <w:spacing w:after="0"/>
        <w:ind w:left="0"/>
        <w:jc w:val="both"/>
      </w:pPr>
      <w:r>
        <w:rPr>
          <w:rFonts w:ascii="Times New Roman"/>
          <w:b w:val="false"/>
          <w:i w:val="false"/>
          <w:color w:val="000000"/>
          <w:sz w:val="28"/>
        </w:rPr>
        <w:t>
      для водного транспорта – судно имеет нулевые прямые выбросы CO2e либо получает 100 % энергии из топлива или иных энергоносителей, обеспечивающих снижение выбросов парниковых газов как минимум на 80 % по сравнению с эквивалентом ископаемого топлива, при этом суда не предназначены для перевозки ископаемого топлива;</w:t>
      </w:r>
    </w:p>
    <w:bookmarkEnd w:id="28"/>
    <w:bookmarkStart w:name="z40" w:id="29"/>
    <w:p>
      <w:pPr>
        <w:spacing w:after="0"/>
        <w:ind w:left="0"/>
        <w:jc w:val="both"/>
      </w:pPr>
      <w:r>
        <w:rPr>
          <w:rFonts w:ascii="Times New Roman"/>
          <w:b w:val="false"/>
          <w:i w:val="false"/>
          <w:color w:val="000000"/>
          <w:sz w:val="28"/>
        </w:rPr>
        <w:t>
      для воздушного транспорта – источник энергии имеет нулевые прямые выбросы CO2 (например, водород или электричество), либо в качестве топлива применяется SAF (экологически чистое авиационное топливо), обеспечивающее существенное снижение выбросов CO2е на тонна/км или пассажир/км, при этом сырье для SAF должно быть признано ИКАО, соответствующим требованиям в рамках схемы компенсации и сокращения выбросов углерода для международной авиации (CORSIA), и (или) сертифицировано в рамках Директивы ЕС по возобновляемой энергии (EU RED)";</w:t>
      </w:r>
    </w:p>
    <w:bookmarkEnd w:id="29"/>
    <w:bookmarkStart w:name="z41" w:id="30"/>
    <w:p>
      <w:pPr>
        <w:spacing w:after="0"/>
        <w:ind w:left="0"/>
        <w:jc w:val="both"/>
      </w:pPr>
      <w:r>
        <w:rPr>
          <w:rFonts w:ascii="Times New Roman"/>
          <w:b w:val="false"/>
          <w:i w:val="false"/>
          <w:color w:val="000000"/>
          <w:sz w:val="28"/>
        </w:rPr>
        <w:t>
      графу 6 в строке "7. Чистый транспорт 7.4 Чистые транспортные ИКТ 7.4.1 ИКТ, которые улучшают использование активов, поток и модальное улучшение, независимо от вида транспорта" изложить в следующей редакции:</w:t>
      </w:r>
    </w:p>
    <w:bookmarkEnd w:id="30"/>
    <w:bookmarkStart w:name="z42" w:id="31"/>
    <w:p>
      <w:pPr>
        <w:spacing w:after="0"/>
        <w:ind w:left="0"/>
        <w:jc w:val="both"/>
      </w:pPr>
      <w:r>
        <w:rPr>
          <w:rFonts w:ascii="Times New Roman"/>
          <w:b w:val="false"/>
          <w:i w:val="false"/>
          <w:color w:val="000000"/>
          <w:sz w:val="28"/>
        </w:rPr>
        <w:t>
      "наличие сертификата соответствия сериям стандартов СТ РК ISO/IEC 30134-2019 "Информационные технологии. Центры обработки данных. Ключевые показатели эффективности", СТ РК ISO 14001-2016 "Системы экологического менеджмента. Требования и руководство по применению", СТ РК ISO 50001-2019 "Системы энергетического менеджмента. Требования и руководство по использованию"";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 коды Общего классификатора видов экономической деятельности (ОКЭД), соответствующие определенному подсектору проектов, приведены с целью упрощения применения "зеленой" таксономии организациями, деятельность которых предусматривает учет классификации экономической деятельности. Следует принимать во внимание, что коды ОКЭД не являются самостоятельным критерием отнесения проектов к категории экологически устойчивых проектов, поскольку они могут включать в себя, помимо прочего, виды товаров, услуг и работ, не отражающих содержания соответствующей категории, сектора или подсектора таксономии, а также то, что соответствие установленным в таксономии пороговым критериям является условием отнесения проектов к "зеленым".</w:t>
      </w:r>
    </w:p>
    <w:bookmarkEnd w:id="32"/>
    <w:bookmarkStart w:name="z45" w:id="33"/>
    <w:p>
      <w:pPr>
        <w:spacing w:after="0"/>
        <w:ind w:left="0"/>
        <w:jc w:val="both"/>
      </w:pPr>
      <w:r>
        <w:rPr>
          <w:rFonts w:ascii="Times New Roman"/>
          <w:b w:val="false"/>
          <w:i w:val="false"/>
          <w:color w:val="000000"/>
          <w:sz w:val="28"/>
        </w:rPr>
        <w:t>
      Если проект или деятельность, рассматриваемые на предмет соответствия таксономии в целях классификации в качестве "зеленого" проекта, отвечают по своему существу и характеру применяемых технологий содержательной части таксономии (наименования категорий, секторов, подсекторов, приведенные примеры и пороговые критерии), то отсутствие в таксономии в рамках рассматриваемой категории соответствующего кода ОКЭД, под который предположительно подпадают данный проект или деятельность, не может служить основанием для отказа в его классификации как соответствующего таксономии.</w:t>
      </w:r>
    </w:p>
    <w:bookmarkEnd w:id="33"/>
    <w:bookmarkStart w:name="z46" w:id="34"/>
    <w:p>
      <w:pPr>
        <w:spacing w:after="0"/>
        <w:ind w:left="0"/>
        <w:jc w:val="both"/>
      </w:pPr>
      <w:r>
        <w:rPr>
          <w:rFonts w:ascii="Times New Roman"/>
          <w:b w:val="false"/>
          <w:i w:val="false"/>
          <w:color w:val="000000"/>
          <w:sz w:val="28"/>
        </w:rPr>
        <w:t>
      Указанная классификация ОКЭД применима к производителям товаров, работ и услуг и не распространяется на физических и юридических лиц, приобретающих соответствующие товары, работы и услуги.</w:t>
      </w:r>
    </w:p>
    <w:bookmarkEnd w:id="34"/>
    <w:bookmarkStart w:name="z47" w:id="35"/>
    <w:p>
      <w:pPr>
        <w:spacing w:after="0"/>
        <w:ind w:left="0"/>
        <w:jc w:val="both"/>
      </w:pPr>
      <w:r>
        <w:rPr>
          <w:rFonts w:ascii="Times New Roman"/>
          <w:b w:val="false"/>
          <w:i w:val="false"/>
          <w:color w:val="000000"/>
          <w:sz w:val="28"/>
        </w:rPr>
        <w:t>
      ** здесь и далее под НДТ подразумеваются прежде всего национальные справочники по НДТ, при отсутствии национального справочника по НДТ следует ссылаться на соответствующие справочники НДТ Европейского Союза (BREF);</w:t>
      </w:r>
    </w:p>
    <w:bookmarkEnd w:id="35"/>
    <w:bookmarkStart w:name="z48" w:id="36"/>
    <w:p>
      <w:pPr>
        <w:spacing w:after="0"/>
        <w:ind w:left="0"/>
        <w:jc w:val="both"/>
      </w:pPr>
      <w:r>
        <w:rPr>
          <w:rFonts w:ascii="Times New Roman"/>
          <w:b w:val="false"/>
          <w:i w:val="false"/>
          <w:color w:val="000000"/>
          <w:sz w:val="28"/>
        </w:rPr>
        <w:t>
      *** действует до 31 декабря 2035 года.</w:t>
      </w:r>
    </w:p>
    <w:bookmarkEnd w:id="36"/>
    <w:bookmarkStart w:name="z49" w:id="37"/>
    <w:p>
      <w:pPr>
        <w:spacing w:after="0"/>
        <w:ind w:left="0"/>
        <w:jc w:val="both"/>
      </w:pPr>
      <w:r>
        <w:rPr>
          <w:rFonts w:ascii="Times New Roman"/>
          <w:b w:val="false"/>
          <w:i w:val="false"/>
          <w:color w:val="000000"/>
          <w:sz w:val="28"/>
        </w:rPr>
        <w:t>
      Расшифровка аббревиатур:</w:t>
      </w:r>
    </w:p>
    <w:bookmarkEnd w:id="37"/>
    <w:bookmarkStart w:name="z50" w:id="38"/>
    <w:p>
      <w:pPr>
        <w:spacing w:after="0"/>
        <w:ind w:left="0"/>
        <w:jc w:val="both"/>
      </w:pPr>
      <w:r>
        <w:rPr>
          <w:rFonts w:ascii="Times New Roman"/>
          <w:b w:val="false"/>
          <w:i w:val="false"/>
          <w:color w:val="000000"/>
          <w:sz w:val="28"/>
        </w:rPr>
        <w:t>
      ИКТ – информационные и коммуникационные технологии;</w:t>
      </w:r>
    </w:p>
    <w:bookmarkEnd w:id="38"/>
    <w:bookmarkStart w:name="z51" w:id="39"/>
    <w:p>
      <w:pPr>
        <w:spacing w:after="0"/>
        <w:ind w:left="0"/>
        <w:jc w:val="both"/>
      </w:pPr>
      <w:r>
        <w:rPr>
          <w:rFonts w:ascii="Times New Roman"/>
          <w:b w:val="false"/>
          <w:i w:val="false"/>
          <w:color w:val="000000"/>
          <w:sz w:val="28"/>
        </w:rPr>
        <w:t>
      НДТ – наилучшие доступные техники;</w:t>
      </w:r>
    </w:p>
    <w:bookmarkEnd w:id="39"/>
    <w:bookmarkStart w:name="z52" w:id="40"/>
    <w:p>
      <w:pPr>
        <w:spacing w:after="0"/>
        <w:ind w:left="0"/>
        <w:jc w:val="both"/>
      </w:pPr>
      <w:r>
        <w:rPr>
          <w:rFonts w:ascii="Times New Roman"/>
          <w:b w:val="false"/>
          <w:i w:val="false"/>
          <w:color w:val="000000"/>
          <w:sz w:val="28"/>
        </w:rPr>
        <w:t>
      ЕБРР – Европейский банк реконструкции и развития;</w:t>
      </w:r>
    </w:p>
    <w:bookmarkEnd w:id="40"/>
    <w:bookmarkStart w:name="z53" w:id="41"/>
    <w:p>
      <w:pPr>
        <w:spacing w:after="0"/>
        <w:ind w:left="0"/>
        <w:jc w:val="both"/>
      </w:pPr>
      <w:r>
        <w:rPr>
          <w:rFonts w:ascii="Times New Roman"/>
          <w:b w:val="false"/>
          <w:i w:val="false"/>
          <w:color w:val="000000"/>
          <w:sz w:val="28"/>
        </w:rPr>
        <w:t>
      ВИЭ – возобновляемые источники энергии;</w:t>
      </w:r>
    </w:p>
    <w:bookmarkEnd w:id="41"/>
    <w:bookmarkStart w:name="z54" w:id="42"/>
    <w:p>
      <w:pPr>
        <w:spacing w:after="0"/>
        <w:ind w:left="0"/>
        <w:jc w:val="both"/>
      </w:pPr>
      <w:r>
        <w:rPr>
          <w:rFonts w:ascii="Times New Roman"/>
          <w:b w:val="false"/>
          <w:i w:val="false"/>
          <w:color w:val="000000"/>
          <w:sz w:val="28"/>
        </w:rPr>
        <w:t>
      ИКАО – Международная организация гражданской авиации;</w:t>
      </w:r>
    </w:p>
    <w:bookmarkEnd w:id="42"/>
    <w:bookmarkStart w:name="z55" w:id="43"/>
    <w:p>
      <w:pPr>
        <w:spacing w:after="0"/>
        <w:ind w:left="0"/>
        <w:jc w:val="both"/>
      </w:pPr>
      <w:r>
        <w:rPr>
          <w:rFonts w:ascii="Times New Roman"/>
          <w:b w:val="false"/>
          <w:i w:val="false"/>
          <w:color w:val="000000"/>
          <w:sz w:val="28"/>
        </w:rPr>
        <w:t>
      ОВОС – Оценка воздействия на окружающую среду;</w:t>
      </w:r>
    </w:p>
    <w:bookmarkEnd w:id="43"/>
    <w:bookmarkStart w:name="z56" w:id="44"/>
    <w:p>
      <w:pPr>
        <w:spacing w:after="0"/>
        <w:ind w:left="0"/>
        <w:jc w:val="both"/>
      </w:pPr>
      <w:r>
        <w:rPr>
          <w:rFonts w:ascii="Times New Roman"/>
          <w:b w:val="false"/>
          <w:i w:val="false"/>
          <w:color w:val="000000"/>
          <w:sz w:val="28"/>
        </w:rPr>
        <w:t>
      СТ РК – национальный стандарт Республики Казахстан;</w:t>
      </w:r>
    </w:p>
    <w:bookmarkEnd w:id="44"/>
    <w:bookmarkStart w:name="z57" w:id="45"/>
    <w:p>
      <w:pPr>
        <w:spacing w:after="0"/>
        <w:ind w:left="0"/>
        <w:jc w:val="both"/>
      </w:pPr>
      <w:r>
        <w:rPr>
          <w:rFonts w:ascii="Times New Roman"/>
          <w:b w:val="false"/>
          <w:i w:val="false"/>
          <w:color w:val="000000"/>
          <w:sz w:val="28"/>
        </w:rPr>
        <w:t>
      ТЭР – топливно-энергетические ресурсы;</w:t>
      </w:r>
    </w:p>
    <w:bookmarkEnd w:id="45"/>
    <w:bookmarkStart w:name="z58" w:id="46"/>
    <w:p>
      <w:pPr>
        <w:spacing w:after="0"/>
        <w:ind w:left="0"/>
        <w:jc w:val="both"/>
      </w:pPr>
      <w:r>
        <w:rPr>
          <w:rFonts w:ascii="Times New Roman"/>
          <w:b w:val="false"/>
          <w:i w:val="false"/>
          <w:color w:val="000000"/>
          <w:sz w:val="28"/>
        </w:rPr>
        <w:t>
      BAT-AELs – сопутствующие уровни выбросов, приведенные в справочниках BREF;</w:t>
      </w:r>
    </w:p>
    <w:bookmarkEnd w:id="46"/>
    <w:bookmarkStart w:name="z59" w:id="47"/>
    <w:p>
      <w:pPr>
        <w:spacing w:after="0"/>
        <w:ind w:left="0"/>
        <w:jc w:val="both"/>
      </w:pPr>
      <w:r>
        <w:rPr>
          <w:rFonts w:ascii="Times New Roman"/>
          <w:b w:val="false"/>
          <w:i w:val="false"/>
          <w:color w:val="000000"/>
          <w:sz w:val="28"/>
        </w:rPr>
        <w:t>
      BREEAM, LEED, EDGE, DGNB – признанные международные системы рейтинговой оценки и стандарты экологической эффективности зданий и экологического строительства;</w:t>
      </w:r>
    </w:p>
    <w:bookmarkEnd w:id="47"/>
    <w:bookmarkStart w:name="z60" w:id="48"/>
    <w:p>
      <w:pPr>
        <w:spacing w:after="0"/>
        <w:ind w:left="0"/>
        <w:jc w:val="both"/>
      </w:pPr>
      <w:r>
        <w:rPr>
          <w:rFonts w:ascii="Times New Roman"/>
          <w:b w:val="false"/>
          <w:i w:val="false"/>
          <w:color w:val="000000"/>
          <w:sz w:val="28"/>
        </w:rPr>
        <w:t>
      BREF (Best Available Techniques Reference Document) – справочники по наилучшим доступным техникам Европейского Союза (представляют собой серию справочных документов, имеющих отношение к промышленной деятельности, условиям эксплуатации оборудования и нормам сбросов и выбросов загрязняющих веществ в окружающую среду);</w:t>
      </w:r>
    </w:p>
    <w:bookmarkEnd w:id="48"/>
    <w:bookmarkStart w:name="z61" w:id="49"/>
    <w:p>
      <w:pPr>
        <w:spacing w:after="0"/>
        <w:ind w:left="0"/>
        <w:jc w:val="both"/>
      </w:pPr>
      <w:r>
        <w:rPr>
          <w:rFonts w:ascii="Times New Roman"/>
          <w:b w:val="false"/>
          <w:i w:val="false"/>
          <w:color w:val="000000"/>
          <w:sz w:val="28"/>
        </w:rPr>
        <w:t>
      CO – монооксид углерода (угарный газ);</w:t>
      </w:r>
    </w:p>
    <w:bookmarkEnd w:id="49"/>
    <w:bookmarkStart w:name="z62" w:id="50"/>
    <w:p>
      <w:pPr>
        <w:spacing w:after="0"/>
        <w:ind w:left="0"/>
        <w:jc w:val="both"/>
      </w:pPr>
      <w:r>
        <w:rPr>
          <w:rFonts w:ascii="Times New Roman"/>
          <w:b w:val="false"/>
          <w:i w:val="false"/>
          <w:color w:val="000000"/>
          <w:sz w:val="28"/>
        </w:rPr>
        <w:t>
      CO2е (эквивалент CO2) – условная единица, используемая для оценки объемов выбросов парниковых газов (представляет собой объем выброса углекислого газа (CO2), имеющий радиационное воздействие, эквивалентное воздействию объема выброса идеально перемешанного парникового газа или смеси идеально перемешанных парниковых газов; при этом объем выброса каждого газа смеси умножают на соответствующий ему потенциал глобального потепления);</w:t>
      </w:r>
    </w:p>
    <w:bookmarkEnd w:id="50"/>
    <w:bookmarkStart w:name="z63" w:id="51"/>
    <w:p>
      <w:pPr>
        <w:spacing w:after="0"/>
        <w:ind w:left="0"/>
        <w:jc w:val="both"/>
      </w:pPr>
      <w:r>
        <w:rPr>
          <w:rFonts w:ascii="Times New Roman"/>
          <w:b w:val="false"/>
          <w:i w:val="false"/>
          <w:color w:val="000000"/>
          <w:sz w:val="28"/>
        </w:rPr>
        <w:t>
      CSP – технология концентрации солнечной энергии;</w:t>
      </w:r>
    </w:p>
    <w:bookmarkEnd w:id="51"/>
    <w:bookmarkStart w:name="z64" w:id="52"/>
    <w:p>
      <w:pPr>
        <w:spacing w:after="0"/>
        <w:ind w:left="0"/>
        <w:jc w:val="both"/>
      </w:pPr>
      <w:r>
        <w:rPr>
          <w:rFonts w:ascii="Times New Roman"/>
          <w:b w:val="false"/>
          <w:i w:val="false"/>
          <w:color w:val="000000"/>
          <w:sz w:val="28"/>
        </w:rPr>
        <w:t>
      NOx – оксиды азота NO и NO2;</w:t>
      </w:r>
    </w:p>
    <w:bookmarkEnd w:id="52"/>
    <w:bookmarkStart w:name="z65" w:id="53"/>
    <w:p>
      <w:pPr>
        <w:spacing w:after="0"/>
        <w:ind w:left="0"/>
        <w:jc w:val="both"/>
      </w:pPr>
      <w:r>
        <w:rPr>
          <w:rFonts w:ascii="Times New Roman"/>
          <w:b w:val="false"/>
          <w:i w:val="false"/>
          <w:color w:val="000000"/>
          <w:sz w:val="28"/>
        </w:rPr>
        <w:t>
      PV – модуль фотоэлектрических элементов (для производства солнечной энергии);</w:t>
      </w:r>
    </w:p>
    <w:bookmarkEnd w:id="53"/>
    <w:bookmarkStart w:name="z66" w:id="54"/>
    <w:p>
      <w:pPr>
        <w:spacing w:after="0"/>
        <w:ind w:left="0"/>
        <w:jc w:val="both"/>
      </w:pPr>
      <w:r>
        <w:rPr>
          <w:rFonts w:ascii="Times New Roman"/>
          <w:b w:val="false"/>
          <w:i w:val="false"/>
          <w:color w:val="000000"/>
          <w:sz w:val="28"/>
        </w:rPr>
        <w:t>
      REDD+ – (сокращение выбросов в результате облесения и деградации лесов) – это решение по смягчению последствий изменения климата, разработанное сторонами Рамочной конвенции Организации Объединенных Наций об изменении климата";</w:t>
      </w:r>
    </w:p>
    <w:bookmarkEnd w:id="54"/>
    <w:bookmarkStart w:name="z67" w:id="55"/>
    <w:p>
      <w:pPr>
        <w:spacing w:after="0"/>
        <w:ind w:left="0"/>
        <w:jc w:val="both"/>
      </w:pPr>
      <w:r>
        <w:rPr>
          <w:rFonts w:ascii="Times New Roman"/>
          <w:b w:val="false"/>
          <w:i w:val="false"/>
          <w:color w:val="000000"/>
          <w:sz w:val="28"/>
        </w:rPr>
        <w:t>
      SO2 – диоксид серы (IV);</w:t>
      </w:r>
    </w:p>
    <w:bookmarkEnd w:id="55"/>
    <w:bookmarkStart w:name="z68" w:id="56"/>
    <w:p>
      <w:pPr>
        <w:spacing w:after="0"/>
        <w:ind w:left="0"/>
        <w:jc w:val="both"/>
      </w:pPr>
      <w:r>
        <w:rPr>
          <w:rFonts w:ascii="Times New Roman"/>
          <w:b w:val="false"/>
          <w:i w:val="false"/>
          <w:color w:val="000000"/>
          <w:sz w:val="28"/>
        </w:rPr>
        <w:t>
      VERRA – сертификатор добровольной компенсации выбросов углерода";</w:t>
      </w:r>
    </w:p>
    <w:bookmarkEnd w:id="56"/>
    <w:bookmarkStart w:name="z69" w:id="57"/>
    <w:p>
      <w:pPr>
        <w:spacing w:after="0"/>
        <w:ind w:left="0"/>
        <w:jc w:val="both"/>
      </w:pPr>
      <w:r>
        <w:rPr>
          <w:rFonts w:ascii="Times New Roman"/>
          <w:b w:val="false"/>
          <w:i w:val="false"/>
          <w:color w:val="000000"/>
          <w:sz w:val="28"/>
        </w:rPr>
        <w:t>
      VFD drive – частотно-регулируемый привод".</w:t>
      </w:r>
    </w:p>
    <w:bookmarkEnd w:id="57"/>
    <w:bookmarkStart w:name="z70" w:id="5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