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2a82" w14:textId="db32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постановления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мая 2025 года № 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нормативные постановления Верховного Суда Республики Казахстан: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применении судами законодательства при рассмотрении дел о расторжении брака (супружества)" от 28 апреля 2000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22 декабря 2008 года № 13; от 31 мая 2012 года № 2; от 31 марта 2017 года № 2; от 15 апреля 2021 года № 1; от 30 сентября 2021 года № 2; от 7 декабря 2023 года № 2; от 28 ноября 2024 года № 4):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Супруги, брак которых расторгнут, осуществляют раздел имущества, являющегося общей совместной собственностью по взаимному согласию независимо от даты расторжения брака. При возникновении спора и наличии заявления ответчика о применении срока исковой давности, суд исчисляет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ГК.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трехлетнего срока исковой давности для требований о разделе имущества, являющегося общей совместной собственностью супругов, брак (супружество) которых расторгнут, следует исчислять со дня, когда супруг узнал или должен был узнать о нарушении своего права.";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применении судами законодательства при рассмотрении дел, связанных с взысканием алиментов"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15 апреля 2021 года № 1, от 30 сентября 2021 года № 2; от 7 декабря 2023 года № 2; от 28 ноября 2024 года № 4):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второй и четвертый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