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469e" w14:textId="7ac4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2024 год и внесении изменений и дополнений в постановление Правительства Республики Казахстан от 12 декабря 2023 года № 1108 "О реализации Закона Республики Казахстан "О республиканском бюджете на 2024 – 2026 годы"</w:t>
      </w:r>
    </w:p>
    <w:p>
      <w:pPr>
        <w:spacing w:after="0"/>
        <w:ind w:left="0"/>
        <w:jc w:val="both"/>
      </w:pPr>
      <w:r>
        <w:rPr>
          <w:rFonts w:ascii="Times New Roman"/>
          <w:b w:val="false"/>
          <w:i w:val="false"/>
          <w:color w:val="000000"/>
          <w:sz w:val="28"/>
        </w:rPr>
        <w:t>Постановление Правительства Республики Казахстан от 18 декабря 2024 года № 1073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01.01.2024.</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Осуществить </w:t>
      </w:r>
      <w:r>
        <w:rPr>
          <w:rFonts w:ascii="Times New Roman"/>
          <w:b w:val="false"/>
          <w:i w:val="false"/>
          <w:color w:val="000000"/>
          <w:sz w:val="28"/>
        </w:rPr>
        <w:t>корректировку</w:t>
      </w:r>
      <w:r>
        <w:rPr>
          <w:rFonts w:ascii="Times New Roman"/>
          <w:b w:val="false"/>
          <w:i w:val="false"/>
          <w:color w:val="000000"/>
          <w:sz w:val="28"/>
        </w:rPr>
        <w:t xml:space="preserve"> показателей республиканского бюджета на 2024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декабря 2023 года № 1108 "О реализации Закона Республики Казахстан "О республиканском бюджете на 2024 – 2026 годы" следующие изменения и дополнения: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Принять к исполнению республиканский бюджет на 2024 – 2026 годы, в том числе на 2024 год, в следующих объемах: </w:t>
      </w:r>
    </w:p>
    <w:bookmarkEnd w:id="3"/>
    <w:bookmarkStart w:name="z10" w:id="4"/>
    <w:p>
      <w:pPr>
        <w:spacing w:after="0"/>
        <w:ind w:left="0"/>
        <w:jc w:val="both"/>
      </w:pPr>
      <w:r>
        <w:rPr>
          <w:rFonts w:ascii="Times New Roman"/>
          <w:b w:val="false"/>
          <w:i w:val="false"/>
          <w:color w:val="000000"/>
          <w:sz w:val="28"/>
        </w:rPr>
        <w:t>
      1) доходы – 20 194 797 994 тысячи тенге, в том числе по:</w:t>
      </w:r>
    </w:p>
    <w:bookmarkEnd w:id="4"/>
    <w:bookmarkStart w:name="z11" w:id="5"/>
    <w:p>
      <w:pPr>
        <w:spacing w:after="0"/>
        <w:ind w:left="0"/>
        <w:jc w:val="both"/>
      </w:pPr>
      <w:r>
        <w:rPr>
          <w:rFonts w:ascii="Times New Roman"/>
          <w:b w:val="false"/>
          <w:i w:val="false"/>
          <w:color w:val="000000"/>
          <w:sz w:val="28"/>
        </w:rPr>
        <w:t>
      налоговым поступлениям – 12 674 497 409 тысяч тенге;</w:t>
      </w:r>
    </w:p>
    <w:bookmarkEnd w:id="5"/>
    <w:bookmarkStart w:name="z12" w:id="6"/>
    <w:p>
      <w:pPr>
        <w:spacing w:after="0"/>
        <w:ind w:left="0"/>
        <w:jc w:val="both"/>
      </w:pPr>
      <w:r>
        <w:rPr>
          <w:rFonts w:ascii="Times New Roman"/>
          <w:b w:val="false"/>
          <w:i w:val="false"/>
          <w:color w:val="000000"/>
          <w:sz w:val="28"/>
        </w:rPr>
        <w:t>
      неналоговым поступлениям – 1 443 392 658 тысяч тенге;</w:t>
      </w:r>
    </w:p>
    <w:bookmarkEnd w:id="6"/>
    <w:bookmarkStart w:name="z13" w:id="7"/>
    <w:p>
      <w:pPr>
        <w:spacing w:after="0"/>
        <w:ind w:left="0"/>
        <w:jc w:val="both"/>
      </w:pPr>
      <w:r>
        <w:rPr>
          <w:rFonts w:ascii="Times New Roman"/>
          <w:b w:val="false"/>
          <w:i w:val="false"/>
          <w:color w:val="000000"/>
          <w:sz w:val="28"/>
        </w:rPr>
        <w:t>
      поступлениям от продажи основного капитала – 6 130 221 тысяча тенге;</w:t>
      </w:r>
    </w:p>
    <w:bookmarkEnd w:id="7"/>
    <w:bookmarkStart w:name="z14" w:id="8"/>
    <w:p>
      <w:pPr>
        <w:spacing w:after="0"/>
        <w:ind w:left="0"/>
        <w:jc w:val="both"/>
      </w:pPr>
      <w:r>
        <w:rPr>
          <w:rFonts w:ascii="Times New Roman"/>
          <w:b w:val="false"/>
          <w:i w:val="false"/>
          <w:color w:val="000000"/>
          <w:sz w:val="28"/>
        </w:rPr>
        <w:t>
      поступлениям трансфертов – 6 070 777 706 тысяч тенге;</w:t>
      </w:r>
    </w:p>
    <w:bookmarkEnd w:id="8"/>
    <w:bookmarkStart w:name="z15" w:id="9"/>
    <w:p>
      <w:pPr>
        <w:spacing w:after="0"/>
        <w:ind w:left="0"/>
        <w:jc w:val="both"/>
      </w:pPr>
      <w:r>
        <w:rPr>
          <w:rFonts w:ascii="Times New Roman"/>
          <w:b w:val="false"/>
          <w:i w:val="false"/>
          <w:color w:val="000000"/>
          <w:sz w:val="28"/>
        </w:rPr>
        <w:t>
      2) затраты – 23 478 302 653 тысячи тенге;</w:t>
      </w:r>
    </w:p>
    <w:bookmarkEnd w:id="9"/>
    <w:bookmarkStart w:name="z16" w:id="10"/>
    <w:p>
      <w:pPr>
        <w:spacing w:after="0"/>
        <w:ind w:left="0"/>
        <w:jc w:val="both"/>
      </w:pPr>
      <w:r>
        <w:rPr>
          <w:rFonts w:ascii="Times New Roman"/>
          <w:b w:val="false"/>
          <w:i w:val="false"/>
          <w:color w:val="000000"/>
          <w:sz w:val="28"/>
        </w:rPr>
        <w:t>
      3) чистое бюджетное кредитование – 337 477 575 тысяч тенге, в том числе:</w:t>
      </w:r>
    </w:p>
    <w:bookmarkEnd w:id="10"/>
    <w:bookmarkStart w:name="z17" w:id="11"/>
    <w:p>
      <w:pPr>
        <w:spacing w:after="0"/>
        <w:ind w:left="0"/>
        <w:jc w:val="both"/>
      </w:pPr>
      <w:r>
        <w:rPr>
          <w:rFonts w:ascii="Times New Roman"/>
          <w:b w:val="false"/>
          <w:i w:val="false"/>
          <w:color w:val="000000"/>
          <w:sz w:val="28"/>
        </w:rPr>
        <w:t>
      бюджетные кредиты – 591 804 497 тысяч тенге;</w:t>
      </w:r>
    </w:p>
    <w:bookmarkEnd w:id="11"/>
    <w:bookmarkStart w:name="z18" w:id="12"/>
    <w:p>
      <w:pPr>
        <w:spacing w:after="0"/>
        <w:ind w:left="0"/>
        <w:jc w:val="both"/>
      </w:pPr>
      <w:r>
        <w:rPr>
          <w:rFonts w:ascii="Times New Roman"/>
          <w:b w:val="false"/>
          <w:i w:val="false"/>
          <w:color w:val="000000"/>
          <w:sz w:val="28"/>
        </w:rPr>
        <w:t>
      погашение бюджетных кредитов – 254 326 922 тысячи тенге;</w:t>
      </w:r>
    </w:p>
    <w:bookmarkEnd w:id="12"/>
    <w:bookmarkStart w:name="z19" w:id="13"/>
    <w:p>
      <w:pPr>
        <w:spacing w:after="0"/>
        <w:ind w:left="0"/>
        <w:jc w:val="both"/>
      </w:pPr>
      <w:r>
        <w:rPr>
          <w:rFonts w:ascii="Times New Roman"/>
          <w:b w:val="false"/>
          <w:i w:val="false"/>
          <w:color w:val="000000"/>
          <w:sz w:val="28"/>
        </w:rPr>
        <w:t>
      4) сальдо по операциям с финансовыми активами – 49 929 694 тысячи тенге, в том числе:</w:t>
      </w:r>
    </w:p>
    <w:bookmarkEnd w:id="13"/>
    <w:bookmarkStart w:name="z20" w:id="14"/>
    <w:p>
      <w:pPr>
        <w:spacing w:after="0"/>
        <w:ind w:left="0"/>
        <w:jc w:val="both"/>
      </w:pPr>
      <w:r>
        <w:rPr>
          <w:rFonts w:ascii="Times New Roman"/>
          <w:b w:val="false"/>
          <w:i w:val="false"/>
          <w:color w:val="000000"/>
          <w:sz w:val="28"/>
        </w:rPr>
        <w:t>
      приобретение финансовых активов – 49 929 694 тысячи тенге;</w:t>
      </w:r>
    </w:p>
    <w:bookmarkEnd w:id="14"/>
    <w:bookmarkStart w:name="z21" w:id="15"/>
    <w:p>
      <w:pPr>
        <w:spacing w:after="0"/>
        <w:ind w:left="0"/>
        <w:jc w:val="both"/>
      </w:pPr>
      <w:r>
        <w:rPr>
          <w:rFonts w:ascii="Times New Roman"/>
          <w:b w:val="false"/>
          <w:i w:val="false"/>
          <w:color w:val="000000"/>
          <w:sz w:val="28"/>
        </w:rPr>
        <w:t>
      5) дефицит бюджета – -3 670 911 928 тысяч тенге, или 2,7 процента к валовому внутреннему продукту страны;</w:t>
      </w:r>
    </w:p>
    <w:bookmarkEnd w:id="15"/>
    <w:bookmarkStart w:name="z22" w:id="16"/>
    <w:p>
      <w:pPr>
        <w:spacing w:after="0"/>
        <w:ind w:left="0"/>
        <w:jc w:val="both"/>
      </w:pPr>
      <w:r>
        <w:rPr>
          <w:rFonts w:ascii="Times New Roman"/>
          <w:b w:val="false"/>
          <w:i w:val="false"/>
          <w:color w:val="000000"/>
          <w:sz w:val="28"/>
        </w:rPr>
        <w:t>
      6) ненефтяной дефицит бюджета – -10 638 834 829 тысяч тенге, или 7,9 процента к валовому внутреннему продукту страны;</w:t>
      </w:r>
    </w:p>
    <w:bookmarkEnd w:id="16"/>
    <w:bookmarkStart w:name="z23" w:id="17"/>
    <w:p>
      <w:pPr>
        <w:spacing w:after="0"/>
        <w:ind w:left="0"/>
        <w:jc w:val="both"/>
      </w:pPr>
      <w:r>
        <w:rPr>
          <w:rFonts w:ascii="Times New Roman"/>
          <w:b w:val="false"/>
          <w:i w:val="false"/>
          <w:color w:val="000000"/>
          <w:sz w:val="28"/>
        </w:rPr>
        <w:t>
      7) финансирование дефицита бюджета – 3 670 911 928 тысяч тенге.";</w:t>
      </w:r>
    </w:p>
    <w:bookmarkEnd w:id="17"/>
    <w:bookmarkStart w:name="z24"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дополнить подпунктом 7-1) следующего содержания:</w:t>
      </w:r>
    </w:p>
    <w:bookmarkEnd w:id="19"/>
    <w:bookmarkStart w:name="z26" w:id="20"/>
    <w:p>
      <w:pPr>
        <w:spacing w:after="0"/>
        <w:ind w:left="0"/>
        <w:jc w:val="both"/>
      </w:pPr>
      <w:r>
        <w:rPr>
          <w:rFonts w:ascii="Times New Roman"/>
          <w:b w:val="false"/>
          <w:i w:val="false"/>
          <w:color w:val="000000"/>
          <w:sz w:val="28"/>
        </w:rPr>
        <w:t xml:space="preserve">
      "7-1)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постановлению;";</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p>
    <w:bookmarkStart w:name="z28" w:id="21"/>
    <w:p>
      <w:pPr>
        <w:spacing w:after="0"/>
        <w:ind w:left="0"/>
        <w:jc w:val="both"/>
      </w:pPr>
      <w:r>
        <w:rPr>
          <w:rFonts w:ascii="Times New Roman"/>
          <w:b w:val="false"/>
          <w:i w:val="false"/>
          <w:color w:val="000000"/>
          <w:sz w:val="28"/>
        </w:rPr>
        <w:t>
      дополнить подпунктами 14-1), 14-2) и 18-1) следующего содержания:</w:t>
      </w:r>
    </w:p>
    <w:bookmarkEnd w:id="21"/>
    <w:bookmarkStart w:name="z29" w:id="22"/>
    <w:p>
      <w:pPr>
        <w:spacing w:after="0"/>
        <w:ind w:left="0"/>
        <w:jc w:val="both"/>
      </w:pPr>
      <w:r>
        <w:rPr>
          <w:rFonts w:ascii="Times New Roman"/>
          <w:b w:val="false"/>
          <w:i w:val="false"/>
          <w:color w:val="000000"/>
          <w:sz w:val="28"/>
        </w:rPr>
        <w:t xml:space="preserve">
      "14-1)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настоящему постановлению;</w:t>
      </w:r>
    </w:p>
    <w:bookmarkEnd w:id="22"/>
    <w:bookmarkStart w:name="z30" w:id="23"/>
    <w:p>
      <w:pPr>
        <w:spacing w:after="0"/>
        <w:ind w:left="0"/>
        <w:jc w:val="both"/>
      </w:pPr>
      <w:r>
        <w:rPr>
          <w:rFonts w:ascii="Times New Roman"/>
          <w:b w:val="false"/>
          <w:i w:val="false"/>
          <w:color w:val="000000"/>
          <w:sz w:val="28"/>
        </w:rPr>
        <w:t xml:space="preserve">
      14-2) распределение сумм целевых текущих трансфертов областным бюджетам, бюджетам городов республиканского значения, столицы на страховые премии (взносы) профессиональной ответственности медицинских работников организаций в области здравоохранения местных исполнительных органов согласно </w:t>
      </w:r>
      <w:r>
        <w:rPr>
          <w:rFonts w:ascii="Times New Roman"/>
          <w:b w:val="false"/>
          <w:i w:val="false"/>
          <w:color w:val="000000"/>
          <w:sz w:val="28"/>
        </w:rPr>
        <w:t>приложению 14-2</w:t>
      </w:r>
      <w:r>
        <w:rPr>
          <w:rFonts w:ascii="Times New Roman"/>
          <w:b w:val="false"/>
          <w:i w:val="false"/>
          <w:color w:val="000000"/>
          <w:sz w:val="28"/>
        </w:rPr>
        <w:t xml:space="preserve"> к настоящему постановлению;";</w:t>
      </w:r>
    </w:p>
    <w:bookmarkEnd w:id="23"/>
    <w:bookmarkStart w:name="z31" w:id="24"/>
    <w:p>
      <w:pPr>
        <w:spacing w:after="0"/>
        <w:ind w:left="0"/>
        <w:jc w:val="both"/>
      </w:pPr>
      <w:r>
        <w:rPr>
          <w:rFonts w:ascii="Times New Roman"/>
          <w:b w:val="false"/>
          <w:i w:val="false"/>
          <w:color w:val="000000"/>
          <w:sz w:val="28"/>
        </w:rPr>
        <w:t xml:space="preserve">
      "18-1)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физической культуры и спорта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настоящему постановлению;";</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постановлению.</w:t>
      </w:r>
    </w:p>
    <w:bookmarkStart w:name="z33" w:id="25"/>
    <w:p>
      <w:pPr>
        <w:spacing w:after="0"/>
        <w:ind w:left="0"/>
        <w:jc w:val="both"/>
      </w:pPr>
      <w:r>
        <w:rPr>
          <w:rFonts w:ascii="Times New Roman"/>
          <w:b w:val="false"/>
          <w:i w:val="false"/>
          <w:color w:val="000000"/>
          <w:sz w:val="28"/>
        </w:rPr>
        <w:t>
      3. Центральным исполнительным органам в двухнедельный срок обеспечить приведение ранее принятых решений Правительства Республики Казахстан в соответствие с настоящим постановлением.</w:t>
      </w:r>
    </w:p>
    <w:bookmarkEnd w:id="25"/>
    <w:bookmarkStart w:name="z34" w:id="26"/>
    <w:p>
      <w:pPr>
        <w:spacing w:after="0"/>
        <w:ind w:left="0"/>
        <w:jc w:val="both"/>
      </w:pPr>
      <w:r>
        <w:rPr>
          <w:rFonts w:ascii="Times New Roman"/>
          <w:b w:val="false"/>
          <w:i w:val="false"/>
          <w:color w:val="000000"/>
          <w:sz w:val="28"/>
        </w:rPr>
        <w:t>
      4. Настоящее постановление вводится в действие с 1 января 2024 года.</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bl>
    <w:bookmarkStart w:name="z37" w:id="27"/>
    <w:p>
      <w:pPr>
        <w:spacing w:after="0"/>
        <w:ind w:left="0"/>
        <w:jc w:val="left"/>
      </w:pPr>
      <w:r>
        <w:rPr>
          <w:rFonts w:ascii="Times New Roman"/>
          <w:b/>
          <w:i w:val="false"/>
          <w:color w:val="000000"/>
        </w:rPr>
        <w:t xml:space="preserve"> Корректировка показателей республиканского бюджета на 2024 год</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Изменения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Администрация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Главы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Аппарат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2 873 384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координации внешнеполитической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в международных организациях, уставных и других органах Содружества Независимых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Республики Казахстан в международных организациях, иных международных и прочих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информационно-имиджевой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прав и интересов граждан Республики Казахстан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-879 907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-8 691 077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области транспорта и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промышленности, оборонной промышленности, геологии,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строительства,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энергетики, атомной энергии, нефтегазовой и нефтехимической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исследований проектов, осуществляемых совместно с международными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по стратегическому планированию и реформам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Центральная избирательная комиссия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-399 510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на обеспечение и проведение выборов акимов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материально-технического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-2 920 235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органов и учреждений по чрезвычайным ситуациям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1 046 947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органов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 и юридическими консультантами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сопровождение законотворческой деятельности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Верховный Суд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314 643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высшего надзора за точным и единообразным применением законов и подзаконных актов в Республике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противодействию коррупции (Антикоррупционная служба)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по противодействию коррупционным преступлениям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Оперативно-розыскная деятельность по противодействию коррупционным преступлениям и правонарушениям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антикоррупционной экспертизы проектов нормативных правовых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Досудебное расследование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Служба государственной охраны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охраняемых лиц и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Аппарат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послевузовского образования, переподготовка и повышение квалификации судейских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-1 751 185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-143 225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в специализированных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судебно-экспертных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кадрами с техническим и профессиональным образованием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дошкольного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1 552 681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3 277 951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и послевузовское образование сотрудников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переподготовке и повышению квалификации государственных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лечению военнослужащих, сотрудников правоохранительных органов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Оздоровление, реабилитация и организация отдыха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7 640 982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здравоохранения и санитарно-эпидемиологического благополучия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медицинских организаций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труда и социальной защиты населения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-2 801 186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отдельных категорий граждан и их сопровождение по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научно-педагогической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доступа к научно-историческим ценностям, научно-технической и научно-педагогической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-368 364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спорта и туристской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развития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-1 852 236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государственной политики в сфере культуры и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укрепления взаимоотношений институтов гражданского общества и государства, модернизация общественного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молодежной и семейной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проектов, осуществляемых совместно с международными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внутриполитической стабильности и укрепление казахстанского патриотизма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работникам ликвидированных шахт, переданных в товарищество с ограниченной ответственностью "Карагандаликвидшахт"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знаний и научных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планированию, регулированию, управлению в сфере сельского хозяйства и использования земельных ресурсов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информации о земельных ресурсах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продвижению экспорта казахстанских товаров на внешние рынки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технологического характера в области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нефтегазохимической промышленности и местного содержания в контрактах на недропользование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1 654 187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регионов и совершенствование государственного управления, развитие системы проектного управления в деятельности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расширения использования космической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направленные на улучшение качества автомобильных дорог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договору доверительного управления государственным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по привлечению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простых векселей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республиканских бюджетных инвестиций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2 305 183 302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996 572 394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105 457 677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Республиканские бюджетные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330 333 646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116 475 775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72 432 302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Государственные услуги общего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45 351 195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43 224 781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42 849 444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375 337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материально-технического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2 067 882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1 868 955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здания Сената Парламента Республики Казахстан с пристройкой склада по пр. Мәңгілік Ел, дом №4, района "Есиль", г. Астана. Корректировка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автоматической мойки для автомашин на объекте "Гараж на 200 автомашин со вспомогательным бытовым блоком и АЗС по ул.Е9-62, д.№9"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автозаправочной станции с тремя топливно-раздаточными колонками и подземным резервуаром, расположенной в городе Астане, район улиц Е 181, Е 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автономной котельной в г. Астане, район Есиль, район улиц Е 181, Е 706. Модернизация и перенос существующего котельного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Парламента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Оборона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38 130 972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26 933 271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26 933 271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26 933 271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20 397 451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Боровое Бурабайского района Акмолинской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Большое Чебачье Бурабайского района Акмолинской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6 372 908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защитных сооружений на реке Хоргос в районе Международного центра приграничного сотрудничества и зданий таможни "Коргос" (Хоргос-1)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ІІ-го типа для II-го, IIIА, IIIВ, IVГ климатических районов с сейсмической активностью 8 баллов" в г. Талдыкоргане по ул. Балапанова 45/4". Корректировка сметной документации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в микрорайоне "Береке" г.Петропавловск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нового комплекса Академии гражданской защиты имени М. Габдуллина Министерства по чрезвычайным ситуациям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11 197 701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10 386 220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811 481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Общественный порядок, безопасность, правовая, судебная, уголовно-исполнительная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10 484 159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5 340 817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1 915 120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информационного комплекса для оперативно-служебной и аналитической деятельности ОВД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развитие информационной системы миграционной полиции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2 329 023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№2", Акмолинская область, Аршалинский район, п. Аршалы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№7", Акмолинская область, Зерендинский район, Конысбайский с.о., п. Гранитный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с получением заключения государственной экспертизы по объекту "Следственный изолятор на 1500 мест по ул. Грейдерная в г. Усть-Каменогорск, ВКО"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трех жилых блоков (с установкой модульной котельной) с общим лимитом наполнения 276 мест в "Учреждении АК159/6"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жилого блока с общим лимитом наполнения 92 места в РГУ "Учреждение УК-161/3" КУИС МВД РК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специализированного исправительного учреждения со смешанным видом содержания (средней и максимальной безопасности) с лимитом наполнения 840 мест на базе учреждения ГМ-172/6 в г. Актау Мангистауской области. Привязка зданий и сооружений" из типового проекта "Специализированное исправительное учреждение на 1500 мест" для ІVA, IVГ климатических подрайонов с обычными геологическими условиями ТП РК 1500 СИУ (ІVA, IVГ) - 2.2-2012"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1 012 090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Учреждении АП-162/2 КУИС МВД РК. Привязка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Верховный Суд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4 698 855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317 905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2 784 727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в городе Семей Восточно-Казахстанской области.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на 3 состава в с. Новоишимское района им. Г. Мусрепова Северо-Казахстанской области.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967 011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информационных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информационно-аналитической системы Генеральной прокуратуры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1 720 939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1 367 532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1 367 532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353 407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353 407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существующего фасада здания со сносом аварийных строений и благоустройством прилегающей территории Алматинского хореографического училища им. А. Селезнева, расположенного по адресу: г. Алматы, ул. Масанчи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(авторский надзор) для строительства Национального научного онкологического центра в городе Нур-Султане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984 892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II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357 507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строительства дополнительного архивохранилища РГУ "Центральный государственный архив"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355 872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Казахского народного поэта Абая Кунанбаева в парке "Лачын" города Ашхабад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36 664 299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36 664 299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8 687 342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Покровского месторождения подземных вод до сел Талапкер и Кажымукан Целиноградского района Акмолинской области. 1-я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5 687 342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устройством катастрофического водосброса с отводящим каналом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модернизация сооружений Астанинского водохранилища в Акмолинской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672 159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магистрального канала "БАК им.Д.Кунаева" с ПК-130 по ПК-138+86; с ПК-166+70 по ПК-170+14; с ПК-223 по ПК-226 Енбекшиказахского района Алматинской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672 159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(2-й пусковой комплекс) строительства.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1 970 251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водопровода "Тайсойган-Миялы" Кызылкогинского района Атырауской области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1 461 005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"Багырлай" Индерского района Атырауской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509 246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и техническое перевооружение сооружений Ынталинского водохранилища на реке Шабакты Сарысуйского района"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1 092 536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очистка протоки Чаган и Кушумского магистрального канала Урало-Кушумской ООС, ЗКО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1 092 536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1 185 729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1 193 621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Аральск-Токабай-Абай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1 193 621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систем водоснабжения Байкожинского группового водопровода Казалинского района"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"Расширение существующего Талапского группового водопровода Жанакорганского района Кызылординской области (бурение 5 новых скважин)"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№1 в Жанакорганском районе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 "Строительство Кызылагашского массива орошения Аксуского района Алматинской области"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5 927 839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насосной станции II-го подъҰма Уйтас-Айдосского водозабора со строительством водовода до ХПОС г.Жезказган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5 927 839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10 386 946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1 188 553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третья очередь строительства. Участок от насосной станции четвертого подъҰма до насосной станции седьмого подъҰма (первый этап) Айыртауского района и района Шал акына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1 246 584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1 505 826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водоводов, отводов к сельским населенным пунктам, подключенных к Кокшетаускому групповому водопроводу в Северо- 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1 547 620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 III-очередь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1 206 656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 III-очередь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887 559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5 233 605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1 401 049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Южно-Казахстанской области. 1-очередь 1-й пусковой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Мактаральском районе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Южно-Казахстанской области (3-очередь)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151 665 541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65 550 814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57 061 561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22 961 262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4 201 262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дистанционного зондирования Земли среднего разрешения "KazEOSat-MR"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группировки спутников среднего разрешения "KazEOSat-MR"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128 704 279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65 550 814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57 061 561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128 657 790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45 743 344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49 254 091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120 621 974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6 238 031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5 694 071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120 621 974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6 238 031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5 694 071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27 196 678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"Граница РФ (на Орск) – Актобе – Атырау – граница РФ (на Астрахань)" участок "Кандыагаш – Макат"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города Туркестан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5 694 071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внутренних источников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38 416 828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42 555 184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38 416 828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42 555 184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граница РФ" 0-144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11 565 045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граница РФ" участок "Жезказган – Караганды"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моста через реку Иртыш на автомобильной дороге республиканского значения "Кызылорда – Павлодар – Успенка – граница РФ" км 1381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2 851 783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7 555 184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8 035 816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1 088 485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8 035 816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1 088 485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1 004 836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338 485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"Курты – 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 участок "Балхаш – Бурылбайтал"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"Граница РФ (на Орск) – Актобе – Атырау – граница РФ (на Астрахань)" участок "Кандыагаш – Макат"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города Туркестан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строительство пограничных отделений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"Айке" по Актюбинской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"Киялы" по Актюбинской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"Орталасты" по Восточно-Казахстанской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"Хамир" по Восточно-Казахстанской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"Балыкты булак" по Восточно-Казахстанской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"Караколь" по Костанайской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"Акбалшык" по Костанайской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"Желкуар" по Костанайской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"Хозрет" по Костанайской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"Жезкент" по области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"Кызыл ауыл" по области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"Аксакал" по области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"Коянбай" по области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"Шагантога" по области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"Рахат" по Павлодарской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"Баянауыл" по Павлодарской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"Амангельды" по Павлодарской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"Уялы" по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"Якуш" по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пограничного отделения "Аткол" по Северо-Казахстанской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пунктов пропуска через Государственную границу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3 807 470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7 807 470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"Карасу" на казахстанско-кыргызской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"Сырым"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"Алимбет"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307 470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"Жана жол"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"Косак"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"Таскала"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модернизация автомобильного пункта пропуска "Урлитобе" на казахстанско-российской границе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79 683 685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79 683 685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79 683 685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79 683 685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79 406 685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аппаратно-студийного комплекса для НАО "Телерадиокомплекс Президента РК" в г. Астане"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Бюджетные инвестиции, планируемые посредством участия государства в уставном капитале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49 929 694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Государственные услуги общего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7 629 694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7 629 694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в оплаченном уставном капитале Евразийского банка развития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"Продовольственная контрактная корпорация" для реализации государственной политики по стимулированию агропромышленного комплекса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Казахстана в уставном капитале Тюркского инвестиционного фонда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Целевые трансферты на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145 919 962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879 959 290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32 888 046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719 481 449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719 481 449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Обеспечение доступности качественного школьного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719 481 449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средств республиканского бюджета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719 481 449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49 033 186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18 909 507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144 601 643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20 787 299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8 980 828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20 878 573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40 371 417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32 599 490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9 796 609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36 496 086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44 801 904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18 713 014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24 904 957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19 528 794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17 313 497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8 802 243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148 980 492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45 600 982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8 380 928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8 093 117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17 490 665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8 093 117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17 490 665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и сейсмоусиление объектов здравоохранения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14 010 683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3 479 982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здравоохранения в рамках пилотного национального проекта "Модернизация сельского здравоохранения"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536 778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3 106 342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1 449 997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Социальная помощь и социальное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4 170 770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труда и социальной защиты населения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4 170 770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193 011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3 977 759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Жилищно-коммунальное хозяйство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21 007 044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84 003 072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19 712 698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21 007 044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84 003 072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19 712 698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области Жетісу на строительство инженерно-коммуникационной сети туристско-рекреационной зоны отдыха "Балхаш" на побережье озера Балхаш с.Лепсы Сарканского района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2 172 485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13 499 756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13 499 756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354 374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354 374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1 032 119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2 246 259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4 865 807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891 007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744 368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386 494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479 329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15 661 778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70 503 316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18 308 324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2 148 196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2 131 811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1 320 033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565 056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888 237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326 063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1 955 061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4 336 031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7 907 682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1 530 095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2 028 293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508 806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1 266 919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1 919 998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1 637 001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1 693 250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603 645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10 103 958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2 552 096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3 624 977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904 975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5 390 348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1 785 958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779 804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1 337 250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550 825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1 979 259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1 279 804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2 424 337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659 608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1 374 144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112 454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1 184 036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1 399 356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систем теплоснабжения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17 996 562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16 620 087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3 215 118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2 201 025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1 080 055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734 650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8 796 023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13 339 007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3 750 519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Топливно-энергетический комплекс и недропользование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25 037 619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21 563 921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12 995 059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25 037 619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21 563 921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12 995 059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5 977 784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5 977 784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760 688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2 019 344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1 120 350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2 154 764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6 677 176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8 755 987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995 059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745 226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408 625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2 252 581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5 816 316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717 650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4 778 028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680 624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876 224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18 759 835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10 153 478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18 838 719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2 833 639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3 311 905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1 004 839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589 153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2 307 066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области Ұлытау на строительство лесного питомника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15 526 814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 водоснабжения и водоотведения за пределами населенных пунктов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2 520 306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728 922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4 913 462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4 392 083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1 414 738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590 917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1 611 344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3 249 346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3 249 346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238 386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2 090 229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520 731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34 332 837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4 808 943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34 332 837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4 808 943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505 133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1 777 638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2 031 305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проекта "Новая транспортная система города Астаны. LRT (участок от аэропорта до нового железнодорожного вокзала)"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на строительство в рамках проекта "Новая транспортная система города Астаны. LRT (участок от аэропорта до нового железнодорожного вокзала)"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28 427 704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42 880 169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9 601 751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42 880 169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9 601 751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1 791 758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221 594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620 164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2 003 405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2 253 294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775 252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2 191 994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2 228 665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27 993 921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1 733 897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1 604 499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1 268 762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1 646 103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2 451 546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2 830 527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1 643 142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1 744 734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473 794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621 798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3 877 279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туристской отрасли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через АО "Банк Развития Казахстана" по реализации в лизинг 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Целевые трансферты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I. Республиканские бюджетные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236 429 016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II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46 979 273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46 979 273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46 979 273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46 979 273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3 275 001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участка Нуринского группового водопровода от с. Егиндыколь до ХПП Степняк Егиндыкольского района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группового водопровода в селах Красная поляна, Петриковка и Арбузинка Сандыктауского района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Покровского месторождения подземных вод до сел Талапкер и Кажымукан Целиноградского района Акмолинской области. 1-я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устройством катастрофического водосброса с отводящим каналом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Нуринского группового водопровода протяженностью 337 км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защитной дамбы г. Астаны с устройством катастрофического водосброса с отводящим каналом"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Подлесненского водохранилища в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Кояндинского водохранилища"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модернизация сооружений Астанинского водохранилища в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Актюбинского водохранилища на реке Илек в Актюбинской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1 284 642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магистрального канала "БАК им.Д.Кунаева" с ПК-130 по ПК-138+86; с ПК-166+70 по ПК-170+14; с ПК-223 по ПК-226 Енбекшиказахского района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Каскеленского группового водовода в Карасайском районе Алматинской области 1 очередь (2 пусковой комплекс) строительства.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магистрального канала Курам Енбекшиказахского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Правобережного магистрального канала на реке Курты Илийского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Левобережного магистрального канала на реке Курты Илийского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модернизация сооружении канала БАК им. Д.Кунаева"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1 682 171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"Багырлай" Индерского района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реконструкцию канала "Кобяково-Забурунье" Курмангазинского района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"Қурайлы сай" Индерского района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находящихся на "Ералинском" гидроузле в с. Миялы Кызылкогинского района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водопровода "Тайсойган-Миялы" Кызылкогинского района Атырауской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Каргыба Восточно-Казахстанской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сооружений Кандысуйского водохранилища Тарбагатайского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гидроузла Кандысу с магистральными каналами ЛМК и Есенгелды на реке Кандысу Тарбагатайского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водохозяйственных систем и сооружений для обеспечения орошаемых земель 6 каналов (Бегетай, Казакбай, Караша, Болат, Каратоган, Бурымбет) Тарбагатайского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водозаборного узла с магистральными каналами Торе Тагам и Есенгелды на реке Курчум Курчумского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водохозяйственных систем и сооружений для обеспечения орошаемых земель 22 каналов Курчумского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Терс-Ащибулак в Жуалынском районе Жамбылской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Караконызского водохранилища в Кордайском районе Жамбылской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Акмола на реке Талас на границе Таласского и Байзакского районов Жамбылской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Байбарак Мойынкумского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Кокжелек Мойынкумского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Кушаман Мойынкумского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МХК Онгарбай Мойынкумского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МХК Коминтерн Мойынкумского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МХК Сануй Мойынкумского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Р-7"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Р-15"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Р-17-2"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4250 ВХК Р-21"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МР-2"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Шаха"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Ошакбай-1"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Кумжота"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Кокарык"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Жолдыбай"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Текей"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Елшибай"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Конезавод"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Кейкиман"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Кумбел"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Тажибай"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Кенес"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Жана"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Тлеуболат-1"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Кабан"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Кабан хвостовой"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Байбаба"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Кыдырбай"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Сагындык"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Отарбек"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Болпан"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Анар"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Утелбалык"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Утеген"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Узын"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Каражон"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Байзакского района ВХК Шахан"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Калгутинский"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КХ-1"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Кордайского района ВХК Р-128"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1 760 622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Урдинского группового водопровода ЗКО V очередь (водовод Муратсай-Жанибек) по месту расположения: Республика Казахстан, Западно-Казахстанская область, Жанибекский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очистка протоки Чаган и Кушумского магистрального канала Урало-Кушумской ООС, ЗКО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Большой Узень у п. Жалпактал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Битикского водохранилища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Донгулюкского водохранилища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Пятимарского водохранилища"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МК Кушумский"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Первомайского"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Тайпакского"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Фурмановского"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Санкибайского"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Айдарханского"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"Бударинский"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техническое перевооружение гидроузла Самаркандского водохранилища Карагандинской области со строительством малой МГЭС мощностью 1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"Очистка чащи Жартасского водохранилища, 10,5 млн.м3"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магистрального трубопровода с/о Жанаталап"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Шокайского магистрального канала, Баймырза с/о-магистральный и внутрихозяйственный канал"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магистрального трубопровода с/о Каражарский"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магистрального трубопровода с/о Тузды"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Самарского магистрального канала, Самарский с/о-подпорное сооружение оросительная система на реке Нура"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55 795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плотины "Албарбогет" Джангельдинского района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6 412 612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воостановление дельты реки Сырдарья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Аральск-Токабай-Абай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систем водоснабжения Байкожинского группового водопровода Казалинского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1 463 753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 1 в Жанакорганском районе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 3 в Шиелинском районе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расширение существующего Талапского группового водопровода Жанаркорганского района Кызылординской области (бурение 5 новых скважин)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Кызылординского гидроузла Кызылординской области. I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3-х каналов "Келинтюбинский, Айтек, Сунаката"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Сумагар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Куркуреуик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Новосулутюбинск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Ботабай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Жетикуль-жарма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Коксу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ПИР на автоматизацию канала Жанадария в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Жана-арық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Сауранбай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Кызылординского Правобережного магистрального канала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Басыкара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канала Аксай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Казалинского правобережного магистрального канала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ПИР на автоматизацию Казалинского левобережного магистрального канала в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населенных пунктов Акшымырау и Кызан группового водопровода "Казба-Акшымырау- Кызан" 2-ой этап строительства (строительство второй нити водовода между селами Акшымырау -Кызан)"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264 240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плотинного гидроузла с магистральными каналами Актоган, Татарский, Белбастау на реке Карабута Урдарского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плотинного гидроузла с магистральными каналами Бургон и Жанбас на реке Коктерек Урдарского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плотинного гидроузла с магистральными каналами Правобережный и Левобережный на реке Каракол Урдарского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гидроузла на реке Баканас с магистральными каналами Актоган в Аягозском районе"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восстановление водохозяйственных систем и сооружений для обеспечения водой орошаемых земель района Акусат 2 канала Даулетбай, Жанбике"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восстановление водохозяйственных систем и сооружений для обеспечения водой орошаемых земель Урдарского района 10 каналов (Отгонный, Назар-Орал, Токтыбай, Соединительный, Амангельды, Алмалы, Шошкалы, Кызылшокы, Акбастау, Жанай)"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восстановление водохозяйственных систем и сооружений для обеспечения водой орошаемых земель Жарминского района 5 каналов (Гольцовский, Богенбай, Корыкшар, Трудовой, Актоган)"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313 337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 "Строительство Кызылагашского массива орошения Аксуского района Алматинской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Акешки с МК Акешки области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Ащыбулак с МК Ащыбулак"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Алмалы с МК Алмалы"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гидроузла на р. Биен"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водозаборного гидроузла на р. Тентек в Алакольском районе области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МК Уштобинский в Каратальском районе области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11 328 334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насосной станции II-го подъҰма Уйтас-Айдосского водозабора со строительством водовода до ХПОС г.Жезказган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14 098 429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водоводов, отводов к сельским населенным пунктам, подключенных к Кокшетаускому групповому водопроводу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 III-очередь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 III-очередь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Пресновского группового водопровода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технологического оборудования насосной станции IV подъема № 1 "Замотаевка" Булаевского группового водопровода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отводов к сельским населенным пунктам, подключенных к Ишимскому групповому водопроводу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головных сооружений Ишимского группового водопровода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головных сооружений Булаевского группового водопровода в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5 605 073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инженерно-технической укрепленности водохранилища Тогус, устройство системы обеспечения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"Казыналык" в Ордабасинском районе Туркестанской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Южно-Казахстанской области. 1-очередь 1-й пусковой комплекс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"Ремонт и реконструкция Коксарайского контррегулятора"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Бадамского водохранилища в Туркестанской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"Машинная водоподача из Шардаринского водохранилища на орошаемые земли Махтаральского района ЮКО имени 20 лет независимости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Кызылкумского магистрального канала 4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5 каналов (4Р-1, 4Р-2, 4Р-3,4Р-4, СР-1) Шардаринского района в с/о Алатау батыр, Суткент с/о, Кызылкум 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трансграничных каналов БКМК"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трансграничных каналов Ханым"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трансграничных каналов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трансграничных каналов В-24"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трансграничных каналов МКХ Аккойлы"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Кокмардан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нового отвода канала Көкмардан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Берди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подводяшего канала Сарыкол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Коктобе-1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Жаман тобе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Мирный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Кантогай-1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Амантай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Коккел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Жамантал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Ески курылыс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Бесторангыл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Түйе ауыл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Шамши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Сарыбел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Абилда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Кудайберген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Коларык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Беларык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Сулыарык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Шенгелди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Коксарай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Маякум-1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Соркол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Балтабай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Бактыбай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Маякум-2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Калкабай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Терекарык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Макибай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канала Сумагар Отырарского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Мұңайтпас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Аккол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канала Кебірлі Шығанақ-ІІ Отырарского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МК Бересек с плотинным водозабором Сузакского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МК Ушбас Сузакского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МК Аксумбе Сузакского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МК Бакырлы Сузакского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Шардаринский МХК Шардаринского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Ақшығанақ"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Т. Әйменов (КМ-1/КМ-2)"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Жақсыбаев"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Ш-7"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Ш-11-А"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Бозарық-1"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Бозарық-2"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каналов Отырарского района МХК Аштархан"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Бақтыбай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Балтабай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Қонай"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каналов Отырарского района МХК Ақынбек"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Ебелек"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Хайрулла"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Бірлік-2005"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Жубанис каналы"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Жайықбек"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каналов Отырарского района МХК Ысқабай"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Тас жүрек"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Кебірлі шығанақ"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каналов Отырарского района МХК Тінейқұл"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каналов Отырарского района МХК Керейарық"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"Реконструкция каналов Отырарского района МХК Әлдеш"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135 654 025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135 654 025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"Граница РФ (на Орск) – Актобе – Атырау – граница РФ (на Астрахань)"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граница РФ" 0-144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граница РФ" участок "Жезказган – Караганды"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Юг "Астана – Караганда – Балхаш – Курты – Капшагай –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3 734 946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Восток "Астана – Павлодар – Калбатау – Усть-Каменогорск"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 – Запад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моста через реку Иртыш на автомобильной дороге республиканского значения "Кызылорда – Павлодар – Успенка – граница РФ" км 1381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21 526 312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мостового перехода через Бухтарминское водохранилище в Курчумском районе Восточно-Казахстанской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строительство пограничных отделений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3 705 829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"Жайсан" по Актюбинской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"Байтурасай" по Актюбинской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1 845 825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6 174 551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3 590 956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1 804 809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10 725 309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"Талсай"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"Каракудык"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"Есиль"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 кол"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"Жана жол"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"Ашикен"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1 868 633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"Жамбыл"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"им.Баян батыр"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пунктов пропуска через Государственную границу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15 339 711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"Жана Жол" на казахстанско-российской границе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Проектно-изыскательские работы, реконструкция и модернизация автомобильного пункта пропуска "Карасу" казахстанско-кыргызской границе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автомобильного пункта пропуска "Бесагаш" на казахстанско-кыргызской границе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 Целевые трансферты на развитие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1 363 570 984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40 338 069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25 642 549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63 754 672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27 038 225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17 949 330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12 485 272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17 562 087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23 314 382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16 069 055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21 257 976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21 289 716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12 137 058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8 248 533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2 580 797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4 698 150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6 474 878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84 414 280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61 157 535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58 972 785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121 150 142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26 844 213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26 844 213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26 844 213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здравоохранения в рамках пилотного национального проекта "Модернизация сельского здравоохранения"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2 831 896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1 677 593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629 896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1 764 718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998 681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347 402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и сейсмоусиление объектов здравоохранения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1 825 132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614 492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4 716 062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8 438 341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Социальная помощь и социальное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10 335 011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труда и социальной защиты населения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10 335 011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2 006 874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1 328 137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Жилищно-коммунальное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350 584 409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350 584 409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80 675 200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80 675 200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1 826 620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4 953 888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4 248 739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11 160 166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8 608 269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6 194 703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454 560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4 984 594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8 560 025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6 494 227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1 062 158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542 028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1 616 697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1 346 294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4 752 572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7 734 903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5 534 757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269 909 209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101 722 554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13 520 456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16 246 565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328 191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10 887 715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15 577 709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3 536 370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3 565 134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7 170 934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124 025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3 044 400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6 953 230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1 256 482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6 991 465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11 988 412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66 444 188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3 151 928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783 829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4 026 459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7 998 385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9 645 674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8 285 306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5 997 386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7 803 736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6 124 116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2 200 071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3 360 636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233 671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4 432 991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101 742 467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5 112 915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6 661 756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2 270 199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4 473 887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1 438 068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2 271 354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1 135 667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3 295 598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5 885 324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1 867 615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20 490 976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2 202 469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1 735 755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8 783 985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362 497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12 978 131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6 834 846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13 941 425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Топливно-энергетический комплекс и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116 257 778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116 257 778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82 692 613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82 692 613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2 900 726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23 765 179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398 082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1 899 274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3 611 259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3 148 369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1 722 572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3 942 255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19 467 080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6 037 054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9 762 551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5 694 659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266 390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842 681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1 123 776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4 306 009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3 554 146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1 089 198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17 149 355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17 323 811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17 323 811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179 575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2 508 267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1 967 650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1 160 598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1 731 172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5 776 549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77 385 111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77 385 111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3 648 045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3 752 409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2 273 342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5 208 286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783 329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4 006 992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4 442 360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9 872 428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5 032 567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3 615 695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3 431 366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7 464 821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7 209 766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4 101 033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2 328 201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гражданской авиации и воздушного транспорта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 за счет средств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4 327 145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4 792 855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118 305 160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118 305 160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98 305 160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20 672 232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777 346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2 864 692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927 950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3 729 442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2 600 583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3 925 320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2 245 205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6 819 320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970 393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2 392 084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622 096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1 218 078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2 161 287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12 593 721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48 716 701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6 453 955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1 074 528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1 195 730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688 324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3 296 759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5 237 273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957 564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3 032 248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1 903 814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3 734 103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4 005 956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1 079 170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1 603 525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3 739 280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9 303 420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13 430 170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4 619 830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bl>
    <w:p>
      <w:pPr>
        <w:spacing w:after="0"/>
        <w:ind w:left="0"/>
        <w:jc w:val="both"/>
      </w:pPr>
      <w:r>
        <w:rPr>
          <w:rFonts w:ascii="Times New Roman"/>
          <w:b w:val="false"/>
          <w:i w:val="false"/>
          <w:color w:val="000000"/>
          <w:sz w:val="28"/>
        </w:rPr>
        <w:t>
      Для служебного</w:t>
      </w:r>
    </w:p>
    <w:p>
      <w:pPr>
        <w:spacing w:after="0"/>
        <w:ind w:left="0"/>
        <w:jc w:val="both"/>
      </w:pPr>
      <w:r>
        <w:rPr>
          <w:rFonts w:ascii="Times New Roman"/>
          <w:b w:val="false"/>
          <w:i w:val="false"/>
          <w:color w:val="000000"/>
          <w:sz w:val="28"/>
        </w:rPr>
        <w:t>пользования</w:t>
      </w:r>
    </w:p>
    <w:p>
      <w:pPr>
        <w:spacing w:after="0"/>
        <w:ind w:left="0"/>
        <w:jc w:val="both"/>
      </w:pPr>
      <w:r>
        <w:rPr>
          <w:rFonts w:ascii="Times New Roman"/>
          <w:b w:val="false"/>
          <w:i w:val="false"/>
          <w:color w:val="000000"/>
          <w:sz w:val="28"/>
        </w:rPr>
        <w:t>Экз.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Перечень приоритетных республиканских бюджетных инвестиций министерств по чрезвычайным ситуациям, обороны, Управления Делами Президента Республики Казахстан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на повышение заработной платы работников природоохранных и специальных учреждений</w:t>
            </w: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проведение противоэпизоотических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9 330 277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бюджету Мангистауской области на обеспечение ветеринарной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188 062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средств (изделий) и атрибутов для проведения идентификации сельскохозяйственных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951 256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лубрицированными катетерами одноразового использования лиц с инвалидностью с диагнозом "Spina bifida"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лиц с инвалидностью обязательными гигиеническими средствами (подгузники)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 детям с ментальными нарушениями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16 469 125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596 128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15 220 179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w:t>
            </w: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2 699 069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деятельности центров трудовой мобильности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2 395 184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4 055 771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93 825 331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6 019 129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на реализацию подушевого нормативного финансирования в государственных дневных общеобразовательных сельских полнокомплектных школах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3 771 261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50 810 039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46 991 985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3 794 167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на проведение капитального ремонта объектов здравоохранения в рамках пилотного национального проекта "Модернизация сельского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6 779 720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страховые премии (взносы) профессиональной отвественности медицинских работников организаций в области здравоохранения местных исполнительных органов</w:t>
            </w: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бюджету Акмолинской области на ремонт транспортной инфраструктуры населҰнных пунктов, прилегающих к городу Астане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7 762 467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62 946 895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бюджету Мангистауской области на обеспечение радиационной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1 668 309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физической культуры и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441 756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затрат субъектов предпринимательства по строительству объектов придорожного сервиса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районов (городов областного значения)</w:t>
            </w: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инвестиционные проекты в агропромышленном комплексе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содействие предпринимательской инициативе молодежи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проведение капитального ремонта общего имущества объектов кондоминиумов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13 824 497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бюджетных кредитов местным исполнительным органам для реализации мер социальной поддержки специалистов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резерва Правительства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521 083 044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Распределение сумм поступлений трансфертов из областных бюджетов, бюджетов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функций государственных органов из нижестоящего уровня государственного управления в вышестоящий (отделы регистрации актов гражданского состояния),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1 276 687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83 559 131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58 635 867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57 590 086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83 559 131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58 635 867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57 590 086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эксплуатация автомобильного пункта пропуска "Нур жолы" и эксплуатация транспортно-логистического центра на участке автомобильной дороги "Алматы – Хоргос"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широкополосным доступом сельских населенных пунктов Республики Казахстан по технологии волоконно-оптических линий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60 300 450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эксплуатация системы освещения здания административно-технологического комплекса "Transport tower"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60 297 726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ядерной медицины, расположенного по адресу г. Нур-Султан, ул. Е495 (проектное наименование), район здания №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2024 года № 1073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 № 1108</w:t>
            </w:r>
          </w:p>
        </w:tc>
      </w:tr>
    </w:tbl>
    <w:bookmarkStart w:name="z103" w:id="28"/>
    <w:p>
      <w:pPr>
        <w:spacing w:after="0"/>
        <w:ind w:left="0"/>
        <w:jc w:val="left"/>
      </w:pPr>
      <w:r>
        <w:rPr>
          <w:rFonts w:ascii="Times New Roman"/>
          <w:b/>
          <w:i w:val="false"/>
          <w:color w:val="000000"/>
        </w:rPr>
        <w:t xml:space="preserve"> Перечень государственных заданий на 2024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тыс. тенге</w:t>
            </w:r>
          </w:p>
        </w:tc>
      </w:tr>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центр сейсмологических наблюдений и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"Мониторинг сейсмологической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соотечественников за рубежом и прибывших в Республику Казахстан этнических казахов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9"/>
          <w:p>
            <w:pPr>
              <w:spacing w:after="20"/>
              <w:ind w:left="20"/>
              <w:jc w:val="both"/>
            </w:pPr>
            <w:r>
              <w:rPr>
                <w:rFonts w:ascii="Times New Roman"/>
                <w:b w:val="false"/>
                <w:i w:val="false"/>
                <w:color w:val="000000"/>
                <w:sz w:val="20"/>
              </w:rPr>
              <w:t>
Мониторинг материалов средств массовой информации о положении соотечественников в государствах их постоянного проживания; обеспечение функционирования интерактивного веб-портала на трех языках и работа в социальных сетях в целях предоставления актуальной информации по вопросам поддержки соотечественников; оказание информационно-консультативной поддержки репатриантам и соотечественникам, проживающим за рубежом, посредством создания и функционирования Центра информационной поддержки соотечественников; проведение мероприятий для обеспечения культурно-гуманитарных связей с казахами, проживающими за рубежом; аналитические исследования по вопросам взаимодействия с соотечественниками за рубежом и репатриации; оказание содействия зарубежным соотечественникам и репатриантам в реализации их инициатив и проектов; оказание содействия соотечественникам, проживающим за рубежом, в организации работы казахских национальных культурных центров;</w:t>
            </w:r>
          </w:p>
          <w:bookmarkEnd w:id="29"/>
          <w:p>
            <w:pPr>
              <w:spacing w:after="20"/>
              <w:ind w:left="20"/>
              <w:jc w:val="both"/>
            </w:pPr>
            <w:r>
              <w:rPr>
                <w:rFonts w:ascii="Times New Roman"/>
                <w:b w:val="false"/>
                <w:i w:val="false"/>
                <w:color w:val="000000"/>
                <w:sz w:val="20"/>
              </w:rPr>
              <w:t>
оказание содействия в изучении казахского языка и реализации образовательно-познавательных инициатив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0"/>
          <w:p>
            <w:pPr>
              <w:spacing w:after="20"/>
              <w:ind w:left="20"/>
              <w:jc w:val="both"/>
            </w:pPr>
            <w:r>
              <w:rPr>
                <w:rFonts w:ascii="Times New Roman"/>
                <w:b w:val="false"/>
                <w:i w:val="false"/>
                <w:color w:val="000000"/>
                <w:sz w:val="20"/>
              </w:rPr>
              <w:t>
022 "Содействие развитию связей и контактов с соотечественниками за рубежом и этническими казахами, прибывшими в Республику Казахстан",</w:t>
            </w:r>
          </w:p>
          <w:bookmarkEnd w:id="30"/>
          <w:p>
            <w:pPr>
              <w:spacing w:after="20"/>
              <w:ind w:left="20"/>
              <w:jc w:val="both"/>
            </w:pPr>
            <w:r>
              <w:rPr>
                <w:rFonts w:ascii="Times New Roman"/>
                <w:b w:val="false"/>
                <w:i w:val="false"/>
                <w:color w:val="000000"/>
                <w:sz w:val="20"/>
              </w:rPr>
              <w:t>
101 "Создание условий для поддержки соотечественников за рубежом и этнических казахов, прибывших в Республику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Картографирование земель сельскохозяйственного назначения для ведения государственного земельного кадастра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цифровых сельскохозяйственных карт для формирования сведений государственного земельного кадастра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1"/>
          <w:p>
            <w:pPr>
              <w:spacing w:after="20"/>
              <w:ind w:left="20"/>
              <w:jc w:val="both"/>
            </w:pPr>
            <w:r>
              <w:rPr>
                <w:rFonts w:ascii="Times New Roman"/>
                <w:b w:val="false"/>
                <w:i w:val="false"/>
                <w:color w:val="000000"/>
                <w:sz w:val="20"/>
              </w:rPr>
              <w:t>
259 "Повышение доступности информации о земельных ресурсах",</w:t>
            </w:r>
          </w:p>
          <w:bookmarkEnd w:id="31"/>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2"/>
          <w:p>
            <w:pPr>
              <w:spacing w:after="20"/>
              <w:ind w:left="20"/>
              <w:jc w:val="both"/>
            </w:pPr>
            <w:r>
              <w:rPr>
                <w:rFonts w:ascii="Times New Roman"/>
                <w:b w:val="false"/>
                <w:i w:val="false"/>
                <w:color w:val="000000"/>
                <w:sz w:val="20"/>
              </w:rPr>
              <w:t>
259 "Повышение доступности информации о земельных ресурсах",</w:t>
            </w:r>
          </w:p>
          <w:bookmarkEnd w:id="32"/>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качества земель, включающий ведение мониторинга земель, проведение почвенных и геоботанических обследований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путем проведения изыскательских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проведения работ по обследованию земель"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3"/>
          <w:p>
            <w:pPr>
              <w:spacing w:after="20"/>
              <w:ind w:left="20"/>
              <w:jc w:val="both"/>
            </w:pPr>
            <w:r>
              <w:rPr>
                <w:rFonts w:ascii="Times New Roman"/>
                <w:b w:val="false"/>
                <w:i w:val="false"/>
                <w:color w:val="000000"/>
                <w:sz w:val="20"/>
              </w:rPr>
              <w:t>
259 "Повышение доступности информации о земельных ресурсах",</w:t>
            </w:r>
          </w:p>
          <w:bookmarkEnd w:id="33"/>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Научно-практическое сопровождение и разработка рекомендаций для субъектов агропромышленного комплекса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субъектов агропромышленного комплекса путем научно-практического сопровождения, обеспечения доступности к новым разработкам и научным исследованиям в рамках трансформации в вертикально интегрированный агротехнологический хаб Национального аграрного научно-образовательного центра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4"/>
          <w:p>
            <w:pPr>
              <w:spacing w:after="20"/>
              <w:ind w:left="20"/>
              <w:jc w:val="both"/>
            </w:pPr>
            <w:r>
              <w:rPr>
                <w:rFonts w:ascii="Times New Roman"/>
                <w:b w:val="false"/>
                <w:i w:val="false"/>
                <w:color w:val="000000"/>
                <w:sz w:val="20"/>
              </w:rPr>
              <w:t>
267 "Повышение доступности знаний и научных исследований",</w:t>
            </w:r>
          </w:p>
          <w:bookmarkEnd w:id="34"/>
          <w:p>
            <w:pPr>
              <w:spacing w:after="20"/>
              <w:ind w:left="20"/>
              <w:jc w:val="both"/>
            </w:pPr>
            <w:r>
              <w:rPr>
                <w:rFonts w:ascii="Times New Roman"/>
                <w:b w:val="false"/>
                <w:i w:val="false"/>
                <w:color w:val="000000"/>
                <w:sz w:val="20"/>
              </w:rPr>
              <w:t>
104 "Научно-практическое сопровождение и разработка рекомендаций для субъектов агропромышленного комплекса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лиц с инвалидностью с особо сложными и атипичными видами увечья, а также первичное протезирование,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сферы социальной защиты"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5"/>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35"/>
          <w:p>
            <w:pPr>
              <w:spacing w:after="20"/>
              <w:ind w:left="20"/>
              <w:jc w:val="both"/>
            </w:pPr>
            <w:r>
              <w:rPr>
                <w:rFonts w:ascii="Times New Roman"/>
                <w:b w:val="false"/>
                <w:i w:val="false"/>
                <w:color w:val="000000"/>
                <w:sz w:val="20"/>
              </w:rPr>
              <w:t>
100 "Методологическое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(далее –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сферы социальной защиты"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6"/>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36"/>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7"/>
          <w:p>
            <w:pPr>
              <w:spacing w:after="20"/>
              <w:ind w:left="20"/>
              <w:jc w:val="both"/>
            </w:pPr>
            <w:r>
              <w:rPr>
                <w:rFonts w:ascii="Times New Roman"/>
                <w:b w:val="false"/>
                <w:i w:val="false"/>
                <w:color w:val="000000"/>
                <w:sz w:val="20"/>
              </w:rPr>
              <w:t>
В рамках исполнения государственного задания предполагается:</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работ по обработке материалов космосъемки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обновление топографических планов городов и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нивелирование I, ІІ класса, обследование и восстановление, закладка и координирование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сводных каталогов;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обновление масштабного ряда цифровых государственных топографических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издание (печать) топографических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(или) обновление тематических карт и 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базы данных географических названий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Национального фонда пространственных данных Республики Казахстан;</w:t>
            </w:r>
          </w:p>
          <w:p>
            <w:pPr>
              <w:spacing w:after="20"/>
              <w:ind w:left="20"/>
              <w:jc w:val="both"/>
            </w:pPr>
            <w:r>
              <w:rPr>
                <w:rFonts w:ascii="Times New Roman"/>
                <w:b w:val="false"/>
                <w:i w:val="false"/>
                <w:color w:val="000000"/>
                <w:sz w:val="20"/>
              </w:rPr>
              <w:t>
составление технических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8"/>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38"/>
          <w:p>
            <w:pPr>
              <w:spacing w:after="20"/>
              <w:ind w:left="20"/>
              <w:jc w:val="both"/>
            </w:pP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инфраструктура пространственных данных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9"/>
          <w:p>
            <w:pPr>
              <w:spacing w:after="20"/>
              <w:ind w:left="20"/>
              <w:jc w:val="both"/>
            </w:pPr>
            <w:r>
              <w:rPr>
                <w:rFonts w:ascii="Times New Roman"/>
                <w:b w:val="false"/>
                <w:i w:val="false"/>
                <w:color w:val="000000"/>
                <w:sz w:val="20"/>
              </w:rPr>
              <w:t>
1. Модернизация системы государственного геодезического обеспечения Республики Казахстан:</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1.1. Модернизация государственной геодезической сети (ГГС),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астрономо-геодезическая сеть 1, 2 классов (АГС 1, 2);</w:t>
            </w:r>
          </w:p>
          <w:p>
            <w:pPr>
              <w:spacing w:after="20"/>
              <w:ind w:left="20"/>
              <w:jc w:val="both"/>
            </w:pPr>
            <w:r>
              <w:rPr>
                <w:rFonts w:ascii="Times New Roman"/>
                <w:b w:val="false"/>
                <w:i w:val="false"/>
                <w:color w:val="000000"/>
                <w:sz w:val="20"/>
              </w:rPr>
              <w:t>
</w:t>
            </w:r>
            <w:r>
              <w:rPr>
                <w:rFonts w:ascii="Times New Roman"/>
                <w:b w:val="false"/>
                <w:i w:val="false"/>
                <w:color w:val="000000"/>
                <w:sz w:val="20"/>
              </w:rPr>
              <w:t>– геодезическая сеть сгущения 3, 4 классов (ГСС 3, 4).</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Модернизация государственной нивелирной сети (ГНС),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нивелирная сеть І класса (ГНС І);</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нивелирная сеть ІІ класса (ГНС ІІ);</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государственные нивелирные сети ІІІ-ІV классов (ГНС ІІІ-ІV).</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Модернизация государственной гравиметрической сети (ГГрС),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фундаментальная гравиметрическая сеть (ГФГС);</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гравиметрическая сеть 1 класса (ГГрС-1).</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Национальной инфраструктуры пространственных данных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Создание информационной системы государственного геодезического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Создание информационной системы базовых пространственных данных.</w:t>
            </w:r>
          </w:p>
          <w:p>
            <w:pPr>
              <w:spacing w:after="20"/>
              <w:ind w:left="20"/>
              <w:jc w:val="both"/>
            </w:pPr>
            <w:r>
              <w:rPr>
                <w:rFonts w:ascii="Times New Roman"/>
                <w:b w:val="false"/>
                <w:i w:val="false"/>
                <w:color w:val="000000"/>
                <w:sz w:val="20"/>
              </w:rPr>
              <w:t>
2.3. Преобразование топографических карт масштаба 1:25 000 в цифровую карту Республики Казахстан открытого 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0"/>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40"/>
          <w:p>
            <w:pPr>
              <w:spacing w:after="20"/>
              <w:ind w:left="20"/>
              <w:jc w:val="both"/>
            </w:pPr>
            <w:r>
              <w:rPr>
                <w:rFonts w:ascii="Times New Roman"/>
                <w:b w:val="false"/>
                <w:i w:val="false"/>
                <w:color w:val="000000"/>
                <w:sz w:val="20"/>
              </w:rPr>
              <w:t>
102 "Создание Национальной инфраструктуры пространственных данных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1"/>
          <w:p>
            <w:pPr>
              <w:spacing w:after="20"/>
              <w:ind w:left="20"/>
              <w:jc w:val="both"/>
            </w:pPr>
            <w:r>
              <w:rPr>
                <w:rFonts w:ascii="Times New Roman"/>
                <w:b w:val="false"/>
                <w:i w:val="false"/>
                <w:color w:val="000000"/>
                <w:sz w:val="20"/>
              </w:rPr>
              <w:t>
2.4. Преобразование цифровых топографических планов городов и районных центров масштаба 1:2 000 в цифровые планы городов и районных центров открытого пользования.</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2.5. Преобразование материалов аэрокосмосъемки в единую ортофотомозаику Республики Казахстан.</w:t>
            </w:r>
          </w:p>
          <w:p>
            <w:pPr>
              <w:spacing w:after="20"/>
              <w:ind w:left="20"/>
              <w:jc w:val="both"/>
            </w:pPr>
            <w:r>
              <w:rPr>
                <w:rFonts w:ascii="Times New Roman"/>
                <w:b w:val="false"/>
                <w:i w:val="false"/>
                <w:color w:val="000000"/>
                <w:sz w:val="20"/>
              </w:rPr>
              <w:t>
3. Управление проектом.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2"/>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следующих работ:</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экологического мониторинга пусков ракетоносителей с космодрома "Байконур" (экологическое сопровождение пусков ракетоносителей "Союз");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экологической устойчивости района падения отделяющихся частей ракетоносителя в зоне Ю-29 (район падения № 226) в Карагандинской области;</w:t>
            </w:r>
          </w:p>
          <w:p>
            <w:pPr>
              <w:spacing w:after="20"/>
              <w:ind w:left="20"/>
              <w:jc w:val="both"/>
            </w:pPr>
            <w:r>
              <w:rPr>
                <w:rFonts w:ascii="Times New Roman"/>
                <w:b w:val="false"/>
                <w:i w:val="false"/>
                <w:color w:val="000000"/>
                <w:sz w:val="20"/>
              </w:rPr>
              <w:t>
3) контроль состояния объектов окружающей среды на местах аварии ракетоносителя "Протон" 27 октября 1999 года в области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"Инфракос"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3"/>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43"/>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космической системы технологического назначения KazSTSat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определения срока активного существования космического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4"/>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44"/>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предполагаются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а также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обслуживания, а также осуществления других мероприятий, необходимых для организации этих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5"/>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45"/>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"Зенит-М" для запусков ракет космического назначения среднего класса нового поколения для выполнения беспилотных космических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созданию и ввод в эксплуатацию космической системы дистанционного зондирования Земли среднего разрешения "KazEOSat-MR"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созданию группировки спутников дистанционного зондирования Земли среднего разрешения (далее - ДЗЗ СР) KazEOSat-MR в составе трех космических аппаратов ДЗЗ СР для замещения действующего космического аппарата ДЗЗ СР KazEOSat-2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"Создание и ввод в эксплуатацию космической системы дистанционного зондирования Земли среднего разрешения "KazEOSat-MR"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стимулирование развития рынка информационно-коммуникационных технологий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технологического бизнес-инкубирования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лицам, проходящим акселерацию в международном технологическом парке "Астана Хаб"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6"/>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bookmarkEnd w:id="46"/>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технологического парка "Астана Хаб"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7"/>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47"/>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8"/>
          <w:p>
            <w:pPr>
              <w:spacing w:after="20"/>
              <w:ind w:left="20"/>
              <w:jc w:val="both"/>
            </w:pPr>
            <w:r>
              <w:rPr>
                <w:rFonts w:ascii="Times New Roman"/>
                <w:b w:val="false"/>
                <w:i w:val="false"/>
                <w:color w:val="000000"/>
                <w:sz w:val="20"/>
              </w:rPr>
              <w:t>
В рамках выполнения государственного задания проводится следующая работа:</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качественная подготовка и своевременное проведение мероприятия в рамках предусмотренного объема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местами проведения спортивных мероприятий в соответствии с санитарно-гигиеническими требованиями и требованиями противопожарной безопасности (туалет, душевая, раздевалка, противопожарное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списков и обеспечение судейской бригадой, медицинским персоналом и обслуживающим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заседания мандатной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транспортом участников соревнований с вокзала до мест проживания и обратно, а также от мест проживания к местам соревнований и обратно;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спортивным инвентарем для проведения спортивных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наградной атрибутикой (кубки, дипломы, грамоты, медали) подлежащие награждению участников спортивных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баннерной продукцией;</w:t>
            </w:r>
          </w:p>
          <w:p>
            <w:pPr>
              <w:spacing w:after="20"/>
              <w:ind w:left="20"/>
              <w:jc w:val="both"/>
            </w:pPr>
            <w:r>
              <w:rPr>
                <w:rFonts w:ascii="Times New Roman"/>
                <w:b w:val="false"/>
                <w:i w:val="false"/>
                <w:color w:val="000000"/>
                <w:sz w:val="20"/>
              </w:rPr>
              <w:t>
церемония открытия и закрытия, а также награждения участников.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9"/>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49"/>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0"/>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p>
          <w:p>
            <w:pPr>
              <w:spacing w:after="20"/>
              <w:ind w:left="20"/>
              <w:jc w:val="both"/>
            </w:pP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1"/>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51"/>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 (МОДО) в организациях начального и основного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 (далее – МОДО) является национальным не зависимым от организаций образования систематическим наблюдением за качеством обучения. Проведение МОДО регламентируется Правилами проведения мониторинга образовательных достижений обучающихся (приказ Министра образования и науки Республики Казахстан от 5 мая 2021 года № 204). Тестирование проводится ежегодно среди 4 и 9 классов организаций образования по трем направлениям грамотности: читательская, математическая и естественно-научная. МОДО включает в себя подготовку, проведение, обработку и анализ результатов с последующим оказанием методической помощи и выработкой рекомендаций по обеспечению качества образования. Содержание тестовых заданий для проведения МОДО в школах разрабатывается в соответствии ГОСО (государственный общеобязательный стандарт образования) по трем направлениям грамотности: читательская, математическая и естественно-научная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исследований и оценки образования "Талдау" имени Ахмет Байтұрсынұлы"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2"/>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52"/>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развитию движения Worldskills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3"/>
          <w:p>
            <w:pPr>
              <w:spacing w:after="20"/>
              <w:ind w:left="20"/>
              <w:jc w:val="both"/>
            </w:pPr>
            <w:r>
              <w:rPr>
                <w:rFonts w:ascii="Times New Roman"/>
                <w:b w:val="false"/>
                <w:i w:val="false"/>
                <w:color w:val="000000"/>
                <w:sz w:val="20"/>
              </w:rPr>
              <w:t>
1. Услуги по развитию движения WorldSkills в Казахстане - развитие движения WorldSkills в Казахстане, ориентированное на реализацию государственной политики в сфере подготовки кадров с техническим и профессиональным образованием, повышение престижа и популяризация рабочих профессий с использованием инструментов WorldSkills, внедрение стандартов WorldSkills, демонстрация важности компетенций для экономического роста страны.</w:t>
            </w:r>
          </w:p>
          <w:bookmarkEnd w:id="53"/>
          <w:p>
            <w:pPr>
              <w:spacing w:after="20"/>
              <w:ind w:left="20"/>
              <w:jc w:val="both"/>
            </w:pPr>
            <w:r>
              <w:rPr>
                <w:rFonts w:ascii="Times New Roman"/>
                <w:b w:val="false"/>
                <w:i w:val="false"/>
                <w:color w:val="000000"/>
                <w:sz w:val="20"/>
              </w:rPr>
              <w:t>
2. Услуги по организации работы по подготовке Национальной сборной Республики Казахстан в тренировочных лагерях к чемпионатам WorldSkills - формирование Национальной сборной Республики Казахстан по компетенциям, соответствующим требованиям Worldskills. Подготовка членов Национальной сборной Республики Казахстан по компетенциям, соответствующим требованиям Worldskills, на базе тренировочных лагерей к международным чемпионатам Worldskills.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"Таlap"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4"/>
          <w:p>
            <w:pPr>
              <w:spacing w:after="20"/>
              <w:ind w:left="20"/>
              <w:jc w:val="both"/>
            </w:pPr>
            <w:r>
              <w:rPr>
                <w:rFonts w:ascii="Times New Roman"/>
                <w:b w:val="false"/>
                <w:i w:val="false"/>
                <w:color w:val="000000"/>
                <w:sz w:val="20"/>
              </w:rPr>
              <w:t>
006 "Обеспечение кадрами с техническим и профессиональным образованием",</w:t>
            </w:r>
          </w:p>
          <w:bookmarkEnd w:id="54"/>
          <w:p>
            <w:pPr>
              <w:spacing w:after="20"/>
              <w:ind w:left="20"/>
              <w:jc w:val="both"/>
            </w:pPr>
            <w:r>
              <w:rPr>
                <w:rFonts w:ascii="Times New Roman"/>
                <w:b w:val="false"/>
                <w:i w:val="false"/>
                <w:color w:val="000000"/>
                <w:sz w:val="20"/>
              </w:rPr>
              <w:t>
102 "Услуги по развитию системы технического и профессионального образования на основе международного опыта"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экзаменационных материалов государственного выпускного экзамена с учетом профиля обучения выпускников (итоговая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проводимого в форме итоговой аттестации для получения аттестата об общем среднем образовании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5"/>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55"/>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дошкольного образования (ОЗП ОДО)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реализующих общеобразовательные учебные программы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56"/>
          <w:p>
            <w:pPr>
              <w:spacing w:after="20"/>
              <w:ind w:left="20"/>
              <w:jc w:val="both"/>
            </w:pPr>
            <w:r>
              <w:rPr>
                <w:rFonts w:ascii="Times New Roman"/>
                <w:b w:val="false"/>
                <w:i w:val="false"/>
                <w:color w:val="000000"/>
                <w:sz w:val="20"/>
              </w:rPr>
              <w:t>
003 "Обеспечение доступности дошкольного воспитания и обучения",</w:t>
            </w:r>
          </w:p>
          <w:bookmarkEnd w:id="56"/>
          <w:p>
            <w:pPr>
              <w:spacing w:after="20"/>
              <w:ind w:left="20"/>
              <w:jc w:val="both"/>
            </w:pPr>
            <w:r>
              <w:rPr>
                <w:rFonts w:ascii="Times New Roman"/>
                <w:b w:val="false"/>
                <w:i w:val="false"/>
                <w:color w:val="000000"/>
                <w:sz w:val="20"/>
              </w:rPr>
              <w:t>
100 "Методологическое обеспечение в сфере дошкольного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среднего образования (ОЗП ОСО)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реализующих общеобразовательные учебные программы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57"/>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57"/>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тестовых заданий и проведению оценки знаний педагогов организаций образования, реализующих образовательные программы технического и профессионального, послесреднего образования (ОЗП ТиПО)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и проведение оценки знаний педагогов организаций образования, реализующие образовательные программы технического и профессионального, послесреднего образования (ОЗП ТиПО)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58"/>
          <w:p>
            <w:pPr>
              <w:spacing w:after="20"/>
              <w:ind w:left="20"/>
              <w:jc w:val="both"/>
            </w:pPr>
            <w:r>
              <w:rPr>
                <w:rFonts w:ascii="Times New Roman"/>
                <w:b w:val="false"/>
                <w:i w:val="false"/>
                <w:color w:val="000000"/>
                <w:sz w:val="20"/>
              </w:rPr>
              <w:t>
006 "Обеспечение кадрами с техническим и профессиональным образованием",</w:t>
            </w:r>
          </w:p>
          <w:bookmarkEnd w:id="58"/>
          <w:p>
            <w:pPr>
              <w:spacing w:after="20"/>
              <w:ind w:left="20"/>
              <w:jc w:val="both"/>
            </w:pPr>
            <w:r>
              <w:rPr>
                <w:rFonts w:ascii="Times New Roman"/>
                <w:b w:val="false"/>
                <w:i w:val="false"/>
                <w:color w:val="000000"/>
                <w:sz w:val="20"/>
              </w:rPr>
              <w:t>
101 "Проведение внешней оценки качества технического и профессионального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9"/>
          <w:p>
            <w:pPr>
              <w:spacing w:after="20"/>
              <w:ind w:left="20"/>
              <w:jc w:val="both"/>
            </w:pPr>
            <w:r>
              <w:rPr>
                <w:rFonts w:ascii="Times New Roman"/>
                <w:b w:val="false"/>
                <w:i w:val="false"/>
                <w:color w:val="000000"/>
                <w:sz w:val="20"/>
              </w:rPr>
              <w:t>
Предоставление уполномоченному органу оперативной, ситуационной, медико-cтатистической, аналитической информации на квартальной основе, проведение</w:t>
            </w:r>
          </w:p>
          <w:bookmarkEnd w:id="59"/>
          <w:p>
            <w:pPr>
              <w:spacing w:after="20"/>
              <w:ind w:left="20"/>
              <w:jc w:val="both"/>
            </w:pPr>
            <w:r>
              <w:rPr>
                <w:rFonts w:ascii="Times New Roman"/>
                <w:b w:val="false"/>
                <w:i w:val="false"/>
                <w:color w:val="000000"/>
                <w:sz w:val="20"/>
              </w:rPr>
              <w:t>
мониторинга оказанной специализированной медицинской помощи в амбулаторных и стационарных условиях, в том числе деятельности медицинских организаций на уровне сельского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60"/>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60"/>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развития электронного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61"/>
          <w:p>
            <w:pPr>
              <w:spacing w:after="20"/>
              <w:ind w:left="20"/>
              <w:jc w:val="both"/>
            </w:pPr>
            <w:r>
              <w:rPr>
                <w:rFonts w:ascii="Times New Roman"/>
                <w:b w:val="false"/>
                <w:i w:val="false"/>
                <w:color w:val="000000"/>
                <w:sz w:val="20"/>
              </w:rPr>
              <w:t>
1. Внесение изменений в национальный стандарт СТ РК 3749-2021 "Электронное здравоохранение. Часть 1. Электронный паспорт здоровья".</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Внесение изменений в национальный стандарт СТ РК 3750-2021 "Электронное здравоохранение. Часть 2. Электронная медицинская запись".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проекта национального стандарта СТ РК "Электронное здравоохранение. Часть 3. Регулирование сбора клинико-административных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требований к сбору, обработке, хранению, передаче и обмену медицинскими цифровыми изображениями и сопутствующей информацией в сфере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Разработка предложений по внесению изменений в приказ "Об утверждении требований к учетным данным здоровья и здравоохранения Республики Казахстан" (проект приказа).</w:t>
            </w:r>
          </w:p>
          <w:p>
            <w:pPr>
              <w:spacing w:after="20"/>
              <w:ind w:left="20"/>
              <w:jc w:val="both"/>
            </w:pPr>
            <w:r>
              <w:rPr>
                <w:rFonts w:ascii="Times New Roman"/>
                <w:b w:val="false"/>
                <w:i w:val="false"/>
                <w:color w:val="000000"/>
                <w:sz w:val="20"/>
              </w:rPr>
              <w:t>
6. Пересмотр национального стандарта СТ РК ISO 27932-2017 "Информатизация здоровья. Стандарты обмена данными. Архитектура клинических документов HL7. Выпуск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2"/>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62"/>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63"/>
          <w:p>
            <w:pPr>
              <w:spacing w:after="20"/>
              <w:ind w:left="20"/>
              <w:jc w:val="both"/>
            </w:pPr>
            <w:r>
              <w:rPr>
                <w:rFonts w:ascii="Times New Roman"/>
                <w:b w:val="false"/>
                <w:i w:val="false"/>
                <w:color w:val="000000"/>
                <w:sz w:val="20"/>
              </w:rPr>
              <w:t>
1. Анализ финансовых расходов в системе здравоохранения для формирования национальных счетов здравоохранения:</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1.1.1. Формирование предварительных данных о расходах на здравоохранение за 2023 год (экспресс-сводка);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1.1.2. Формирование 5 таблиц национальных счетов здравоохранения на национальном уровне за 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1.1.3. Формирование региональных счетов здравоохранения за 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1.1.4. Разработка методических подходов к усовершенствованию таблиц национальных счетов здравоохранения с учетом профилей и видов медицинских услуг, половозрастной структуры и социально-экономического статуса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1.1.5. Отчет по национальным счетам здравоохранения за 2023 год с анализом расходов на здравоохранение;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Исследование регуляторной базы электронного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1.2.1. Организация внедрения и адаптации международного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классификатора на Международную статистическую классификацию болезней и проблем, связанных со здоровьем, одиннадцатого пересмотра (МКБ-11)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Исследование эффективности деятельности организаций медицинского образования и науки в области подготовки кадров для системы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1.3.1. Рейтинговая оценка образовательной деятельности медицинских вузов, колледжей и высших медицинских колледжей, национальных исследовательских институтов, научных центров в соответствии с обновленной методикой;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1.3.2. Анализ по удовлетворенности работодателей профессиональной подготовкой выпускников медицинских вузов / медицинских факультетов при многопрофильных вузах, реализующих программы высшего медицинского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1.3.3. Анализ удовлетворенности качеством обучения в вузе/медицинских факультетах при многопрофильных вузах, реализующих программы высшего медицинского образования, высших медицинских колледжах и медицинских колледжах;</w:t>
            </w:r>
          </w:p>
          <w:p>
            <w:pPr>
              <w:spacing w:after="20"/>
              <w:ind w:left="20"/>
              <w:jc w:val="both"/>
            </w:pPr>
            <w:r>
              <w:rPr>
                <w:rFonts w:ascii="Times New Roman"/>
                <w:b w:val="false"/>
                <w:i w:val="false"/>
                <w:color w:val="000000"/>
                <w:sz w:val="20"/>
              </w:rPr>
              <w:t>
</w:t>
            </w:r>
            <w:r>
              <w:rPr>
                <w:rFonts w:ascii="Times New Roman"/>
                <w:b w:val="false"/>
                <w:i w:val="false"/>
                <w:color w:val="000000"/>
                <w:sz w:val="20"/>
              </w:rPr>
              <w:t>1.3.4. Подготовка Национального доклада по медицинской науке по итогам оценки результативности научно-инновационной деятельности медицинских вузов и научных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1.3.5. Мониторинг и методологическое сопровождение реализации Дорожной карты по реализации проекта "Развитие рынка биомедицинских исследований, в том числе проведение международных и многоцентровых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1.3.6. Внедрение единого национального вступительного экзамена в резидентуру;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1.3.7. Развитие отраслевого центра технологических компетенций;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Исследование эффективности системы управления человеческими ресурсами и развития человеческого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1.4.1. Проведение оценки эффективности региональных показателей обеспеченности медицинскими работниками и существующего дефицита, в том числе сельского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1.4.2. Подготовка экспертного заключения по кадровым ресурсам здравоохранения Республики Казахстан с отражением текущего состояния, проблем и основных тенденций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1.4.3. Подготовка материалов по размещению государственного образовательного заказа на подготовку кадров в резидентуре, мониторинг готовности регионов и организаций медицинского образования и науки к размещению государственного заказа;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1.4.4. Аналитическое и методологическое сопровождение работ по увеличению количества образовательных грантов местных исполнительных органов на подготовку медицинских кадров в резидентуре по остродефицитным специальностям;</w:t>
            </w:r>
          </w:p>
          <w:p>
            <w:pPr>
              <w:spacing w:after="20"/>
              <w:ind w:left="20"/>
              <w:jc w:val="both"/>
            </w:pPr>
            <w:r>
              <w:rPr>
                <w:rFonts w:ascii="Times New Roman"/>
                <w:b w:val="false"/>
                <w:i w:val="false"/>
                <w:color w:val="000000"/>
                <w:sz w:val="20"/>
              </w:rPr>
              <w:t>
</w:t>
            </w:r>
            <w:r>
              <w:rPr>
                <w:rFonts w:ascii="Times New Roman"/>
                <w:b w:val="false"/>
                <w:i w:val="false"/>
                <w:color w:val="000000"/>
                <w:sz w:val="20"/>
              </w:rPr>
              <w:t>1.5. Исследование методологических подходов по развитию международного сотрудничества в области здравоохранения через продвижение бренда Казахстана "Декларация Астаны по первичной медико-санитарной помощи" в мире:</w:t>
            </w:r>
          </w:p>
          <w:p>
            <w:pPr>
              <w:spacing w:after="20"/>
              <w:ind w:left="20"/>
              <w:jc w:val="both"/>
            </w:pPr>
            <w:r>
              <w:rPr>
                <w:rFonts w:ascii="Times New Roman"/>
                <w:b w:val="false"/>
                <w:i w:val="false"/>
                <w:color w:val="000000"/>
                <w:sz w:val="20"/>
              </w:rPr>
              <w:t>
</w:t>
            </w:r>
            <w:r>
              <w:rPr>
                <w:rFonts w:ascii="Times New Roman"/>
                <w:b w:val="false"/>
                <w:i w:val="false"/>
                <w:color w:val="000000"/>
                <w:sz w:val="20"/>
              </w:rPr>
              <w:t>1.5.1. Формирование консолидированного заключения и подготовка рекомендаций на основе решений руководящих органов Всемирной организации здравоохранения (Исполнительный комитет, Всемирная ассамблея здравоохранения, Европейский региональный комитет);</w:t>
            </w:r>
          </w:p>
          <w:p>
            <w:pPr>
              <w:spacing w:after="20"/>
              <w:ind w:left="20"/>
              <w:jc w:val="both"/>
            </w:pPr>
            <w:r>
              <w:rPr>
                <w:rFonts w:ascii="Times New Roman"/>
                <w:b w:val="false"/>
                <w:i w:val="false"/>
                <w:color w:val="000000"/>
                <w:sz w:val="20"/>
              </w:rPr>
              <w:t>
</w:t>
            </w:r>
            <w:r>
              <w:rPr>
                <w:rFonts w:ascii="Times New Roman"/>
                <w:b w:val="false"/>
                <w:i w:val="false"/>
                <w:color w:val="000000"/>
                <w:sz w:val="20"/>
              </w:rPr>
              <w:t>1.5.2. Мониторинг внедрения операционного механизма первичной медико-санитарной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1.6. Аналитическое исследование эффективности качества организации и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1.6.1. Аналитическое исследование по обеспечению населения, проживающего в сельских населенных пунктах, медицинскими услугами с привлечением передвижных медицинских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1.6.2. Анализ эффективности деятельности центров лучших практик первичной медико-санитарной помощи (выезд в регионы);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1.6.3. Анализ эффективности организации оказания медицинской помощи лицам с хроническими заболеваниями по перечню заболеваний, подлежащих динамическому наблюдению в организациях первичной медико-санитарной помощи в рамках гарантированного объема бесплатной медицинской помощи (по итогам 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1.6.4. Анализ эффективности организации оказания услуг медицинской реабилитации (3-этап) взрослому населению в амбулаторных условиях (с выездом в 5 регионов и охватом по 5 амбулаторно-поликлиническим организациям, пациентам после перенесенных инсультов, инфарктов и коронавирусной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1.6.5. Рейтинговая оценка деятельности медицинских организаций по новой методике;</w:t>
            </w:r>
          </w:p>
          <w:p>
            <w:pPr>
              <w:spacing w:after="20"/>
              <w:ind w:left="20"/>
              <w:jc w:val="both"/>
            </w:pPr>
            <w:r>
              <w:rPr>
                <w:rFonts w:ascii="Times New Roman"/>
                <w:b w:val="false"/>
                <w:i w:val="false"/>
                <w:color w:val="000000"/>
                <w:sz w:val="20"/>
              </w:rPr>
              <w:t>
</w:t>
            </w:r>
            <w:r>
              <w:rPr>
                <w:rFonts w:ascii="Times New Roman"/>
                <w:b w:val="false"/>
                <w:i w:val="false"/>
                <w:color w:val="000000"/>
                <w:sz w:val="20"/>
              </w:rPr>
              <w:t>1.6.6. Мониторинг внедрения клинических протоколов в практическом здравоохранении (в медицинских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Проведение оценки технологий здравоохранения для внедрения в практическое здравоохранение: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1.7.1. Проведение приоритизации тем для проведения оценки технологий здравоохранения в 2024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1.7.2. Проведение 20 полных отчетов оценки технологий здравоохранения по результатам приоритизации;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Аналитическое сопровождение совершенствования амбулаторного лекарственного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1.8.1. Проведение исследования по оценке удовлетворенности населения и медицинских работников амбулаторным лекарственным обеспечением;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1.8.2. Проведение анализа на определение эффективности амбулаторного лекарственного обеспечения в разрезе приоритетных нозологий;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Экспертно-аналитическое сопровождение развития формулярной системы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1.9.1. Внесение предложений по совершенствованию Казахстанского национального лекарственного формуляра (далее - КНФ) в Министерство здравоохранения Республики Казахстан для рассмотрения на заседаниях Формулярной комиссии Министерства здравоохранения Республики Казахстан и формирование проекта КНФ (мониторинг и анализ решений Формулярной комиссии Министерства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1.9.2. Составление монографий к лекарственным средствам, включенным в Казахстанский национальный лекарственный формуляр, согласно внесенным изменениям по решениям Формулярной комиссии Министерства здравоохранения Республики Казахстан, и актуализация существующих монографий по мере появления новой информации о лекарственных средствах в объеме не более 200 международных непатентованных наименований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1.9.3. Сопровождение деятельности Формулярной комиссии Министерства здравоохранения в качестве рабочего органа, в том числе проведение анализа предлагаемых лекарственных препаратов для включения в перечень лекарственных средств для лечения орфанных заболеваний, подготовка досье в соответствии с требованиями Правил формирования КНФ, перечней амбулаторного лекарственного обеспечения и закупа единого дистрибьютора по инициативе уполномоченного органа с</w:t>
            </w:r>
          </w:p>
          <w:p>
            <w:pPr>
              <w:spacing w:after="20"/>
              <w:ind w:left="20"/>
              <w:jc w:val="both"/>
            </w:pPr>
            <w:r>
              <w:rPr>
                <w:rFonts w:ascii="Times New Roman"/>
                <w:b w:val="false"/>
                <w:i w:val="false"/>
                <w:color w:val="000000"/>
                <w:sz w:val="20"/>
              </w:rPr>
              <w:t>
подготовкой заключения и направлением результатов анализа в виде заключения (не более 14 международных непатентованных наименований) в уполномоченный орган для рассмотрения на заседании Формулярной комиссии Министерства здравоохранения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4"/>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64"/>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5"/>
          <w:p>
            <w:pPr>
              <w:spacing w:after="20"/>
              <w:ind w:left="20"/>
              <w:jc w:val="both"/>
            </w:pPr>
            <w:r>
              <w:rPr>
                <w:rFonts w:ascii="Times New Roman"/>
                <w:b w:val="false"/>
                <w:i w:val="false"/>
                <w:color w:val="000000"/>
                <w:sz w:val="20"/>
              </w:rPr>
              <w:t>
Экспертиза качества клинических протоколов,</w:t>
            </w:r>
          </w:p>
          <w:bookmarkEnd w:id="65"/>
          <w:p>
            <w:pPr>
              <w:spacing w:after="20"/>
              <w:ind w:left="20"/>
              <w:jc w:val="both"/>
            </w:pPr>
            <w:r>
              <w:rPr>
                <w:rFonts w:ascii="Times New Roman"/>
                <w:b w:val="false"/>
                <w:i w:val="false"/>
                <w:color w:val="000000"/>
                <w:sz w:val="20"/>
              </w:rPr>
              <w:t>
подлежащих разработке/пересмотру на 2024 год (не менее 180 клинических протоколов)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оценки клинических протоколов, разработанных/пересмотренных на основе международных клинических руководств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6"/>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66"/>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программных комплексов (информационных систем) в области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7"/>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67"/>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к запуску и внедрению инновационных медицинских технологий с применением источников ионизирующего излучения в рамках запуска нового корпуса Национального научного онкологического центра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предусматривает подготовку к запуску центра внедрения радиационной онкологии и ядерной медицины и внедрению инновационных медицинских технологий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8"/>
          <w:p>
            <w:pPr>
              <w:spacing w:after="20"/>
              <w:ind w:left="20"/>
              <w:jc w:val="both"/>
            </w:pPr>
            <w:r>
              <w:rPr>
                <w:rFonts w:ascii="Times New Roman"/>
                <w:b w:val="false"/>
                <w:i w:val="false"/>
                <w:color w:val="000000"/>
                <w:sz w:val="20"/>
              </w:rPr>
              <w:t>
053 "Обеспечение хранения специального медицинского резерва и развитие инфраструктуры здравоохранения",</w:t>
            </w:r>
          </w:p>
          <w:bookmarkEnd w:id="68"/>
          <w:p>
            <w:pPr>
              <w:spacing w:after="20"/>
              <w:ind w:left="20"/>
              <w:jc w:val="both"/>
            </w:pPr>
            <w:r>
              <w:rPr>
                <w:rFonts w:ascii="Times New Roman"/>
                <w:b w:val="false"/>
                <w:i w:val="false"/>
                <w:color w:val="000000"/>
                <w:sz w:val="20"/>
              </w:rPr>
              <w:t>
140 "Услуги по запуску в эксплуатацию новых объектов здравоохранения на республиканском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9"/>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69"/>
          <w:p>
            <w:pPr>
              <w:spacing w:after="20"/>
              <w:ind w:left="20"/>
              <w:jc w:val="both"/>
            </w:pPr>
            <w:r>
              <w:rPr>
                <w:rFonts w:ascii="Times New Roman"/>
                <w:b w:val="false"/>
                <w:i w:val="false"/>
                <w:color w:val="000000"/>
                <w:sz w:val="20"/>
              </w:rPr>
              <w:t>
107 "Оказание медицинской помощи в форме санитарной авиации"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трансплантационной координации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кoopдинaции слyжбы тpaнcплaнтaции в Pеспyбликe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0"/>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70"/>
          <w:p>
            <w:pPr>
              <w:spacing w:after="20"/>
              <w:ind w:left="20"/>
              <w:jc w:val="both"/>
            </w:pPr>
            <w:r>
              <w:rPr>
                <w:rFonts w:ascii="Times New Roman"/>
                <w:b w:val="false"/>
                <w:i w:val="false"/>
                <w:color w:val="000000"/>
                <w:sz w:val="20"/>
              </w:rPr>
              <w:t>
114 "Услуги по координации в области трансплантологии"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1"/>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Министерства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обучение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(пересмотр) методических рекомендаций и указаний.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Мониторинг реализации Плана по совершенствованию системы профилактики инфекций и инфекционного контроля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2022 – 2027 годы и его эффективности в сфере санитарно-эпидемиологического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Проведение генетического анализа циркулирующих вирусов гриппа и кори в Казахстане методом секвенирования.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Организация мероприятий по иммунопрофилактике и мониторингу иммунизации согласно Комплексному плану по совершенствованию национальной системы иммунизации населения Республики Казахстан на</w:t>
            </w:r>
          </w:p>
          <w:p>
            <w:pPr>
              <w:spacing w:after="20"/>
              <w:ind w:left="20"/>
              <w:jc w:val="both"/>
            </w:pPr>
            <w:r>
              <w:rPr>
                <w:rFonts w:ascii="Times New Roman"/>
                <w:b w:val="false"/>
                <w:i w:val="false"/>
                <w:color w:val="000000"/>
                <w:sz w:val="20"/>
              </w:rPr>
              <w:t>
2023 – 2025 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2"/>
          <w:p>
            <w:pPr>
              <w:spacing w:after="20"/>
              <w:ind w:left="20"/>
              <w:jc w:val="both"/>
            </w:pPr>
            <w:r>
              <w:rPr>
                <w:rFonts w:ascii="Times New Roman"/>
                <w:b w:val="false"/>
                <w:i w:val="false"/>
                <w:color w:val="000000"/>
                <w:sz w:val="20"/>
              </w:rPr>
              <w:t>
070 "Охрана общественного здоровья",</w:t>
            </w:r>
          </w:p>
          <w:bookmarkEnd w:id="72"/>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3"/>
          <w:p>
            <w:pPr>
              <w:spacing w:after="20"/>
              <w:ind w:left="20"/>
              <w:jc w:val="both"/>
            </w:pPr>
            <w:r>
              <w:rPr>
                <w:rFonts w:ascii="Times New Roman"/>
                <w:b w:val="false"/>
                <w:i w:val="false"/>
                <w:color w:val="000000"/>
                <w:sz w:val="20"/>
              </w:rPr>
              <w:t>
1. Обеспечение биобезопасности и снижение уровня воздействия опасных биологических факторов на здоровье населения Республики Казахстан:</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1.1. Мониторинг и анализ эпизоотического состояния природных очагов чумы на территории Республики Казахстан и санитарно-профилактических мероприятий, проведенных на энзоотичной по чуме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Мониторинг и анализ проводимых мероприятий по холере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 лабораторных исследований на наличие возбудителей особо опасных и зоонозных инфекций для оценки эпидемиологической ситуации обследуемой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Проведение тренировочных учений, инструктажей с сотрудниками звеньев первичной медико-санитарной помощи по городу Алматы и другим городам, областям по вопросам повышения готовности к реагированию на биологические угрозы и методам личной биологической защиты от заражения при контакте с больным, подозрительным на заболевание особо опасной инфекцией человеком и (или) сельскохозяйственными животными.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Лабораторные исследования материала от больных и контактных лиц с подозрением на особо опасные инфекции (бактериологические, иммунологические, молекулярно-генетические). Синтез праймеров для детекции специфичных генов ДНК возбудителей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биологических рисков в природных очагах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2.1. Сбор и агрегирование информации, официальных данных Всемирной организации здравоохранения, международной информационной сети ProMed и других доступных источников, оценка и подготовка ежемесячного анализа заболеваемости особо опасными инфекциями в мире.</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Создание в геоинформационных системах аналитических, ситуационных и прогнозных электронных карт эпизоотологического состояния Республики Казахстан по особо опасным инфекциям.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Научно-исследовательские и производственные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3.1. Молекулярно-генетическое изучение штаммов возбудителей особо опасных инфекций методом полимеразной цепной реакции. Генетическое типирование штаммов возбудителей особо опасных инфекций с использованием мультилокусного VNTR анализа (MLVA) и по SNP локусам с помощью метода Melt-MAMA для внутривидовой дифференциации штаммов возбудителей особо опасных инфекций, выделенных на территории Республики Казахстан. Синтез специфичных олигонуклеотидов для проведения полимеразной цепной реакции и детекции единичных нуклеотидных замен (SNP) методом Melt MAMA, подбор оптимальных параметров амплификации.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3.2. Приготовление иммунобиологических и диагностических препаратов для диагностики особо опасных инфекций согласно заявкам противочумных станций на 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3.3. Подготовка инструктивно-методических документов, используемых при работе с возбудителями инфекций I-II групп патогенности.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Услуги по поддержанию жизнеспособности национальной и рабочей коллекций микроорганизмов: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4.1. Паспортизация свежевыделенных штаммов особо опасных и зоонозных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Депонирование коллекционных штаммов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4.3. Поддержание жизнеспособности и контроль основных биологических свойств штаммов коллекции микроорганизмов.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 и оценка деятельности государственного учреждения "Противочумные станции" Комитета санитарно-эпидемиологического контроля Министерства здравоохранения Республики Казахстан по обеспечению биобезопасности в сфере здравоохранения:</w:t>
            </w:r>
          </w:p>
          <w:p>
            <w:pPr>
              <w:spacing w:after="20"/>
              <w:ind w:left="20"/>
              <w:jc w:val="both"/>
            </w:pPr>
            <w:r>
              <w:rPr>
                <w:rFonts w:ascii="Times New Roman"/>
                <w:b w:val="false"/>
                <w:i w:val="false"/>
                <w:color w:val="000000"/>
                <w:sz w:val="20"/>
              </w:rPr>
              <w:t>
5.1. Анализ и оценка деятельности противочумных станций по организационно-методической работе, состоянию физической защищенности объектов по оценке биологических рисков в лабораториях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центр особо опасных инфекций имени Масгута Айкимбаева"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4"/>
          <w:p>
            <w:pPr>
              <w:spacing w:after="20"/>
              <w:ind w:left="20"/>
              <w:jc w:val="both"/>
            </w:pPr>
            <w:r>
              <w:rPr>
                <w:rFonts w:ascii="Times New Roman"/>
                <w:b w:val="false"/>
                <w:i w:val="false"/>
                <w:color w:val="000000"/>
                <w:sz w:val="20"/>
              </w:rPr>
              <w:t>
070 "Охрана общественного здоровья",</w:t>
            </w:r>
          </w:p>
          <w:bookmarkEnd w:id="74"/>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5"/>
          <w:p>
            <w:pPr>
              <w:spacing w:after="20"/>
              <w:ind w:left="20"/>
              <w:jc w:val="both"/>
            </w:pPr>
            <w:r>
              <w:rPr>
                <w:rFonts w:ascii="Times New Roman"/>
                <w:b w:val="false"/>
                <w:i w:val="false"/>
                <w:color w:val="000000"/>
                <w:sz w:val="20"/>
              </w:rPr>
              <w:t>
1. Оценка эпидемической ситуации в Туркестанской области по особо опасным инфекциям: ку-лихорадка, бруцеллез, прогнозирование их происхождения и возможное воздействие на биологическую безопасность республики.</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Выделение возбудителей ку-лихорадки и бруцеллеза, циркулирующих в Туркестанской области, изучение их биологических и молекулярно-генетических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поддержание жизнеспособности и контроль основных биологических свойств коллекционных, производственных и вакцинных штаммов возбудителей особо опасных инфекций для обеспечения биологической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Поддержание банка клеточных линий для освежения коллекционных и вакцинных штаммов возбудителей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Исследование природных резервуаров возбудителя особо опасной инфекции – вируса конго-крымской геморрагической лихорадки на территории Туркестанской области.</w:t>
            </w:r>
          </w:p>
          <w:p>
            <w:pPr>
              <w:spacing w:after="20"/>
              <w:ind w:left="20"/>
              <w:jc w:val="both"/>
            </w:pPr>
            <w:r>
              <w:rPr>
                <w:rFonts w:ascii="Times New Roman"/>
                <w:b w:val="false"/>
                <w:i w:val="false"/>
                <w:color w:val="000000"/>
                <w:sz w:val="20"/>
              </w:rPr>
              <w:t>
6. Актуализация штаммового состава вируса гриппа для применения в разработке вакцин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"Научно-исследовательский институт проблем биологической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6"/>
          <w:p>
            <w:pPr>
              <w:spacing w:after="20"/>
              <w:ind w:left="20"/>
              <w:jc w:val="both"/>
            </w:pPr>
            <w:r>
              <w:rPr>
                <w:rFonts w:ascii="Times New Roman"/>
                <w:b w:val="false"/>
                <w:i w:val="false"/>
                <w:color w:val="000000"/>
                <w:sz w:val="20"/>
              </w:rPr>
              <w:t>
070 "Охрана общественного здоровья",</w:t>
            </w:r>
          </w:p>
          <w:bookmarkEnd w:id="76"/>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референс-лаборатории по уменьшению биологических угроз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7"/>
          <w:p>
            <w:pPr>
              <w:spacing w:after="20"/>
              <w:ind w:left="20"/>
              <w:jc w:val="both"/>
            </w:pPr>
            <w:r>
              <w:rPr>
                <w:rFonts w:ascii="Times New Roman"/>
                <w:b w:val="false"/>
                <w:i w:val="false"/>
                <w:color w:val="000000"/>
                <w:sz w:val="20"/>
              </w:rPr>
              <w:t>
1.1. Организация и проведение мероприятий по обеспечению безопасного функционирования здания центральной референс-лаборатории (система охраны, система автоматической пожарной сигнализации и пожаротушения, автоматизированная система управления зданием).</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Обеспечение эффективной эксплуатации, обслуживания и ремонта оборудования и сооружений систем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Обеспечение эффективной эксплуатации, обслуживания и ремонта оборудования и сооружений систем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Организация плановых неотложных мероприятий по обеспечению работоспособного состояния оборудования систем теплоснабжения и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Мероприятия по обслуживанию и эксплуатации оборудования систем водоподготовки и отведения сточных, дренажных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Обеспечение регулярных тренингов и ретренингов для специалистов лабораторий BSL-2 и BSL-3 Центральной референс-лаборатории.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Повышение квалификации специалистов инженерной группы для обеспечения бесперебойного обслуживания и функционирования здания Центральной референс-лаборатории.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Мониторинг здоровья SPF лабораторных животных.</w:t>
            </w:r>
          </w:p>
          <w:p>
            <w:pPr>
              <w:spacing w:after="20"/>
              <w:ind w:left="20"/>
              <w:jc w:val="both"/>
            </w:pPr>
            <w:r>
              <w:rPr>
                <w:rFonts w:ascii="Times New Roman"/>
                <w:b w:val="false"/>
                <w:i w:val="false"/>
                <w:color w:val="000000"/>
                <w:sz w:val="20"/>
              </w:rPr>
              <w:t>
1.9. Изучение вирулентности возбудителей чумного микроба на модели SPF лабораторных животных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центр особо опасных инфекций имени Масгута Айкимбаева"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8"/>
          <w:p>
            <w:pPr>
              <w:spacing w:after="20"/>
              <w:ind w:left="20"/>
              <w:jc w:val="both"/>
            </w:pPr>
            <w:r>
              <w:rPr>
                <w:rFonts w:ascii="Times New Roman"/>
                <w:b w:val="false"/>
                <w:i w:val="false"/>
                <w:color w:val="000000"/>
                <w:sz w:val="20"/>
              </w:rPr>
              <w:t>
070 "Охрана общественного здоровья",</w:t>
            </w:r>
          </w:p>
          <w:bookmarkEnd w:id="78"/>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9"/>
          <w:p>
            <w:pPr>
              <w:spacing w:after="20"/>
              <w:ind w:left="20"/>
              <w:jc w:val="both"/>
            </w:pPr>
            <w:r>
              <w:rPr>
                <w:rFonts w:ascii="Times New Roman"/>
                <w:b w:val="false"/>
                <w:i w:val="false"/>
                <w:color w:val="000000"/>
                <w:sz w:val="20"/>
              </w:rPr>
              <w:t>
1. Обеспечение эпизоотологического обследования острова Возрождения и прилегающей к Аральскому морю материковой (прибрежной) территории с оценкой состояния уровня, динамики численности носителей и переносчиков, эпидемиологическое наблюдение за постоянным и временным населением, проживающим на данных территориях:</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1.1.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Молекулярно-генетическое исследование (полимеразная цепная реакция) проб почв, доставленных с казахстанской части острова Возрождения и прилегающей к ней территории, на наличие возбудителя сибирской язвы.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Молекулярно-генетическое исследование (полимеразная цепная реакция) проб полевого материала (грызуны, эктопаразиты), собранного с казахстанской части острова Возрождения и прилегающей к ней территории на особо опасные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особо опасные инфекции.</w:t>
            </w:r>
          </w:p>
          <w:p>
            <w:pPr>
              <w:spacing w:after="20"/>
              <w:ind w:left="20"/>
              <w:jc w:val="both"/>
            </w:pPr>
            <w:r>
              <w:rPr>
                <w:rFonts w:ascii="Times New Roman"/>
                <w:b w:val="false"/>
                <w:i w:val="false"/>
                <w:color w:val="000000"/>
                <w:sz w:val="20"/>
              </w:rPr>
              <w:t>
1.5. Разработка предложений по обеспечению санитарно-эпидемиологического благополучия на казахстанской части острова Возрождения по результатам проведенного мониторинга и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центр особо опасных инфекций имени Масгута Айкимбаева"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0"/>
          <w:p>
            <w:pPr>
              <w:spacing w:after="20"/>
              <w:ind w:left="20"/>
              <w:jc w:val="both"/>
            </w:pPr>
            <w:r>
              <w:rPr>
                <w:rFonts w:ascii="Times New Roman"/>
                <w:b w:val="false"/>
                <w:i w:val="false"/>
                <w:color w:val="000000"/>
                <w:sz w:val="20"/>
              </w:rPr>
              <w:t>
070 "Охрана общественного здоровья",</w:t>
            </w:r>
          </w:p>
          <w:bookmarkEnd w:id="80"/>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 в области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разработка и внедрение программ "Здоровая осанка", "Здоровое зрение" для детей дошкольного и школьного возраста, проведение информационно–разъяснительной работы среди населения Республики Казахстан по профилактике: травматизма, потребления табака, алкоголя, психоактивных веществ, физической активности, правильного питания (изготовление инфографик, видеороликов и т.д.), реализация национальных программ по пропаганде здорового образа жизни в масштабах страны, мероприятия по расширению доступа населения к информации о репродуктивном здоровье, мониторинг и оценка реализации проектов Всемирной организации здравоохранения "Здоровые города и регионы", "Школы, способствующие укреплению здоровья", "Здоровые университеты", "Здоровые рабочие места", мониторинг и оценка деятельности молодежных центров здоровья, анализ реализации национальной скрининговой программы, анализ деятельности школ здоровья и антитабачных центров, организация обучающих семинаров по вопросам общественного здоровья, здравоохранения и формирования здорового образа жизни, реализация комплекса мер по сокращению потребления табачных изделий и алкоголя (внедрение 100% бездымной среды, контроль за рекламой и запретом курения в общественных местах), анализ информации о проведенных информационно-коммуникационных мероприятиях среди населения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1"/>
          <w:p>
            <w:pPr>
              <w:spacing w:after="20"/>
              <w:ind w:left="20"/>
              <w:jc w:val="both"/>
            </w:pPr>
            <w:r>
              <w:rPr>
                <w:rFonts w:ascii="Times New Roman"/>
                <w:b w:val="false"/>
                <w:i w:val="false"/>
                <w:color w:val="000000"/>
                <w:sz w:val="20"/>
              </w:rPr>
              <w:t>
РГП на ПХВ "Национальный центр общественного</w:t>
            </w:r>
          </w:p>
          <w:bookmarkEnd w:id="81"/>
          <w:p>
            <w:pPr>
              <w:spacing w:after="20"/>
              <w:ind w:left="20"/>
              <w:jc w:val="both"/>
            </w:pPr>
            <w:r>
              <w:rPr>
                <w:rFonts w:ascii="Times New Roman"/>
                <w:b w:val="false"/>
                <w:i w:val="false"/>
                <w:color w:val="000000"/>
                <w:sz w:val="20"/>
              </w:rPr>
              <w:t>
здравоохранения"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82"/>
          <w:p>
            <w:pPr>
              <w:spacing w:after="20"/>
              <w:ind w:left="20"/>
              <w:jc w:val="both"/>
            </w:pPr>
            <w:r>
              <w:rPr>
                <w:rFonts w:ascii="Times New Roman"/>
                <w:b w:val="false"/>
                <w:i w:val="false"/>
                <w:color w:val="000000"/>
                <w:sz w:val="20"/>
              </w:rPr>
              <w:t>
070 "Охрана общественного здоровья",</w:t>
            </w:r>
          </w:p>
          <w:bookmarkEnd w:id="82"/>
          <w:p>
            <w:pPr>
              <w:spacing w:after="20"/>
              <w:ind w:left="20"/>
              <w:jc w:val="both"/>
            </w:pPr>
            <w:r>
              <w:rPr>
                <w:rFonts w:ascii="Times New Roman"/>
                <w:b w:val="false"/>
                <w:i w:val="false"/>
                <w:color w:val="000000"/>
                <w:sz w:val="20"/>
              </w:rPr>
              <w:t>
104 "Пропаганда здорового образа жизни"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мониторинг за ситуацией по ВИЧ-инфекции, клинический мониторинг за диспансерным наблюдением, лечением и его эффективностью у лиц, живущих с ВИЧ-инфекцией, мониторинг профилактических мероприятий среди населения и ключевых групп, организационно-методическое сопровождение эпидемиологических, профилактических и клинических мероприятий по ВИЧ-инфекции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3"/>
          <w:p>
            <w:pPr>
              <w:spacing w:after="20"/>
              <w:ind w:left="20"/>
              <w:jc w:val="both"/>
            </w:pPr>
            <w:r>
              <w:rPr>
                <w:rFonts w:ascii="Times New Roman"/>
                <w:b w:val="false"/>
                <w:i w:val="false"/>
                <w:color w:val="000000"/>
                <w:sz w:val="20"/>
              </w:rPr>
              <w:t>
070 "Охрана общественного здоровья",</w:t>
            </w:r>
          </w:p>
          <w:bookmarkEnd w:id="83"/>
          <w:p>
            <w:pPr>
              <w:spacing w:after="20"/>
              <w:ind w:left="20"/>
              <w:jc w:val="both"/>
            </w:pPr>
            <w:r>
              <w:rPr>
                <w:rFonts w:ascii="Times New Roman"/>
                <w:b w:val="false"/>
                <w:i w:val="false"/>
                <w:color w:val="000000"/>
                <w:sz w:val="20"/>
              </w:rPr>
              <w:t>
105 "Реализация мероприятий по профилактике и борьбе со СПИД"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в области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4"/>
          <w:p>
            <w:pPr>
              <w:spacing w:after="20"/>
              <w:ind w:left="20"/>
              <w:jc w:val="both"/>
            </w:pPr>
            <w:r>
              <w:rPr>
                <w:rFonts w:ascii="Times New Roman"/>
                <w:b w:val="false"/>
                <w:i w:val="false"/>
                <w:color w:val="000000"/>
                <w:sz w:val="20"/>
              </w:rPr>
              <w:t>
Разработка научно обоснованной методики оценки биорисков в части влияния сибиреязвенных захоронений (почвенных очагов и скотомогильников) на здоровье населения (животных) с целью определения индикаторов для обоснования изменения (уменьшения) размеров санитарно-защитных зон к данным объектам в исключительных случаях. Использование технологий геномного редактирования: опыт применения в странах дальнего и ближнего зарубежья, нормативное правовое регулирование, перспективы развития и риски применения технологий геномного редактирования в стране.</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проекта методики проведения противоклещевых мероприятий в природных очагах конго-крымской геморрологической лихорадки и туляремии. Разработка проекта методики проведения дезинсекционных и (или) дератизационных мероприятий в очагах особо опасных инфекций (конго-крымская геморрологическая лихорадка, туляремия).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методики создания системы реагирования и прогнозирования по вновь возникающим инфекциям.</w:t>
            </w:r>
          </w:p>
          <w:p>
            <w:pPr>
              <w:spacing w:after="20"/>
              <w:ind w:left="20"/>
              <w:jc w:val="both"/>
            </w:pPr>
            <w:r>
              <w:rPr>
                <w:rFonts w:ascii="Times New Roman"/>
                <w:b w:val="false"/>
                <w:i w:val="false"/>
                <w:color w:val="000000"/>
                <w:sz w:val="20"/>
              </w:rPr>
              <w:t>
Разработка рекомендаций по внесению изменений в действующие нормативные правовые акты и национальные стандарты в области биологической безопасности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холдинг "QazBioPharm"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5"/>
          <w:p>
            <w:pPr>
              <w:spacing w:after="20"/>
              <w:ind w:left="20"/>
              <w:jc w:val="both"/>
            </w:pPr>
            <w:r>
              <w:rPr>
                <w:rFonts w:ascii="Times New Roman"/>
                <w:b w:val="false"/>
                <w:i w:val="false"/>
                <w:color w:val="000000"/>
                <w:sz w:val="20"/>
              </w:rPr>
              <w:t>
070 "Охрана общественного здоровья",</w:t>
            </w:r>
          </w:p>
          <w:bookmarkEnd w:id="85"/>
          <w:p>
            <w:pPr>
              <w:spacing w:after="20"/>
              <w:ind w:left="20"/>
              <w:jc w:val="both"/>
            </w:pPr>
            <w:r>
              <w:rPr>
                <w:rFonts w:ascii="Times New Roman"/>
                <w:b w:val="false"/>
                <w:i w:val="false"/>
                <w:color w:val="000000"/>
                <w:sz w:val="20"/>
              </w:rPr>
              <w:t>
114 "Услуги по разработке, апробации и внедрению новых биологических и фармацевтических препаратов на базе АО "Национальный холдинг "QazBioPharm"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Казахстан и наследие Абая Кунанбайулы в аспекте общественно-гуманитарных наук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значимости наследия Абая на пути формирования интеллектуальной и конкурентоспособной нации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Л.Н.Гумилева"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86"/>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сопровождение общественно-политических процессов в контексте политической модернизации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поведенческих паттернов казахстанцев и уровня общественного восприятия к процессу политической модернизации, проводимой в рамках новых реформ Главы государства, с использованием научных подходов, количественных и качественных методов социологических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87"/>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87"/>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диалоговых площадок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и диалоговых площадок в рамках проведения научных исследований по вопросам реализации нового политического курса Токаева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8"/>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88"/>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реестра образовательных программ высшего и послевузовского образования (экспертиза образовательных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реестра образовательных программ высшего и послевузовского образования (экспертиза образовательных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развития высшего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89"/>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89"/>
          <w:p>
            <w:pPr>
              <w:spacing w:after="20"/>
              <w:ind w:left="20"/>
              <w:jc w:val="both"/>
            </w:pPr>
            <w:r>
              <w:rPr>
                <w:rFonts w:ascii="Times New Roman"/>
                <w:b w:val="false"/>
                <w:i w:val="false"/>
                <w:color w:val="000000"/>
                <w:sz w:val="20"/>
              </w:rPr>
              <w:t>
103 "Методологическое обеспечение в сфере высшего и послевузовского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аналитического отчета и разработка методических рекомендаций, проведение мониторинга в контексте Болонского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аналитического отчета и разработка методических рекомендаций, проведения мониторинга в контексте Болонского процесса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развития высшего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0"/>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90"/>
          <w:p>
            <w:pPr>
              <w:spacing w:after="20"/>
              <w:ind w:left="20"/>
              <w:jc w:val="both"/>
            </w:pPr>
            <w:r>
              <w:rPr>
                <w:rFonts w:ascii="Times New Roman"/>
                <w:b w:val="false"/>
                <w:i w:val="false"/>
                <w:color w:val="000000"/>
                <w:sz w:val="20"/>
              </w:rPr>
              <w:t>
103 "Методологическое обеспечение в сфере высшего и послевузовского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развитию высшего и послевузовского образования (программы опережающей подготовки кадров "Мамандығым - болашағым")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развитию высшего и послевузовского образования (программы опережающей подготовки кадров "Мамандығым - болашағым")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развития высшего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91"/>
          <w:p>
            <w:pPr>
              <w:spacing w:after="20"/>
              <w:ind w:left="20"/>
              <w:jc w:val="both"/>
            </w:pPr>
            <w:r>
              <w:rPr>
                <w:rFonts w:ascii="Times New Roman"/>
                <w:b w:val="false"/>
                <w:i w:val="false"/>
                <w:color w:val="000000"/>
                <w:sz w:val="20"/>
              </w:rPr>
              <w:t>
108 "Услуги по развитию высшего и послевузовского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формированию базы тестовых заданий для единого национального тестирования, единого национального тестирования технического, профессионального и послесреднего образования, комплексного тестирования в магистратуру, а также обеспечение и сопровождение мероприятий, связанных с проведением единого национального тестирования (в том числе организация деятельности Национального центра тестирования)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2"/>
          <w:p>
            <w:pPr>
              <w:spacing w:after="20"/>
              <w:ind w:left="20"/>
              <w:jc w:val="both"/>
            </w:pPr>
            <w:r>
              <w:rPr>
                <w:rFonts w:ascii="Times New Roman"/>
                <w:b w:val="false"/>
                <w:i w:val="false"/>
                <w:color w:val="000000"/>
                <w:sz w:val="20"/>
              </w:rPr>
              <w:t>
1. Организационные мероприятия, связанные с проведением единого национального тестирования и формированием базы тестовых заданий:</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работы по разработке, экспертизе, корректировке и апробации тестовых заданий единого национального тестирования выпускников организаций среднего образования текущего года, прошлых лет, выпускников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школьниками за рубежом, а также лиц казахской национальности, не являющихся гражданами Республики Казахстан, окончивших учебные заведения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работы по разработке, экспертизе, апробации и корректировке тестовых заданий единого национального тестирования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и проведение единого национального тестирования.</w:t>
            </w:r>
          </w:p>
          <w:p>
            <w:pPr>
              <w:spacing w:after="20"/>
              <w:ind w:left="20"/>
              <w:jc w:val="both"/>
            </w:pPr>
            <w:r>
              <w:rPr>
                <w:rFonts w:ascii="Times New Roman"/>
                <w:b w:val="false"/>
                <w:i w:val="false"/>
                <w:color w:val="000000"/>
                <w:sz w:val="20"/>
              </w:rPr>
              <w:t>
2. Осуществление работы по разработке, экспертизе, апробации и корректировке тестовых заданий комплексного тестирования. Комплексное тестирование по группам образовательных программ состоит из тестов по иностранному языку, профилю группы образовательных программ, на определение готовности к обучению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93"/>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93"/>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библиотечно-информационному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с библиотеками и музеями ближнего и дальнего зарубежья, участие в международных программах и проектах в области библиотечной и музейной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4"/>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bookmarkEnd w:id="94"/>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5"/>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95"/>
          <w:p>
            <w:pPr>
              <w:spacing w:after="20"/>
              <w:ind w:left="20"/>
              <w:jc w:val="both"/>
            </w:pP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6"/>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96"/>
          <w:p>
            <w:pPr>
              <w:spacing w:after="20"/>
              <w:ind w:left="20"/>
              <w:jc w:val="both"/>
            </w:pPr>
            <w:r>
              <w:rPr>
                <w:rFonts w:ascii="Times New Roman"/>
                <w:b w:val="false"/>
                <w:i w:val="false"/>
                <w:color w:val="000000"/>
                <w:sz w:val="20"/>
              </w:rPr>
              <w:t>
101 "Оценка уровня знания казахского языка граждан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97"/>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97"/>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67 933 043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8"/>
          <w:p>
            <w:pPr>
              <w:spacing w:after="20"/>
              <w:ind w:left="20"/>
              <w:jc w:val="both"/>
            </w:pPr>
            <w:r>
              <w:rPr>
                <w:rFonts w:ascii="Times New Roman"/>
                <w:b w:val="false"/>
                <w:i w:val="false"/>
                <w:color w:val="000000"/>
                <w:sz w:val="20"/>
              </w:rPr>
              <w:t>
091 "Ремонт и организация содержания, направленные на улучшение качества автомобильных дорог общего пользования",</w:t>
            </w:r>
          </w:p>
          <w:bookmarkEnd w:id="98"/>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111 814 649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дорожный научно-исследовательский институт"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9"/>
          <w:p>
            <w:pPr>
              <w:spacing w:after="20"/>
              <w:ind w:left="20"/>
              <w:jc w:val="both"/>
            </w:pPr>
            <w:r>
              <w:rPr>
                <w:rFonts w:ascii="Times New Roman"/>
                <w:b w:val="false"/>
                <w:i w:val="false"/>
                <w:color w:val="000000"/>
                <w:sz w:val="20"/>
              </w:rPr>
              <w:t>
091 "Ремонт и организация содержания, направленные на улучшение качества автомобильных дорог общего пользования",</w:t>
            </w:r>
          </w:p>
          <w:bookmarkEnd w:id="99"/>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реки Или, Капчагайского водохранилища и озера Балхаш посредством реализации мероприятий по выставлению (снятию) и содержанию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системы управления движением судов, судоходных шлюзов и судов технического флота, обновлению и модернизации судов технического флота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"Қазақстан су жолдары"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0"/>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bookmarkEnd w:id="100"/>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26 182 690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кардинальной поэтапной модернизации инфраструктурных объектов на всей протяженности границы, особенно в труднодоступных и малонаселенных отрезках, требующих повышенного внимания и создания надлежащих условий для личного состава пограничной службы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01"/>
          <w:p>
            <w:pPr>
              <w:spacing w:after="20"/>
              <w:ind w:left="20"/>
              <w:jc w:val="both"/>
            </w:pPr>
            <w:r>
              <w:rPr>
                <w:rFonts w:ascii="Times New Roman"/>
                <w:b w:val="false"/>
                <w:i w:val="false"/>
                <w:color w:val="000000"/>
                <w:sz w:val="20"/>
              </w:rPr>
              <w:t>
207 "Проектирование и строительство пограничных отделений",</w:t>
            </w:r>
          </w:p>
          <w:bookmarkEnd w:id="101"/>
          <w:p>
            <w:pPr>
              <w:spacing w:after="20"/>
              <w:ind w:left="20"/>
              <w:jc w:val="both"/>
            </w:pPr>
            <w:r>
              <w:rPr>
                <w:rFonts w:ascii="Times New Roman"/>
                <w:b w:val="false"/>
                <w:i w:val="false"/>
                <w:color w:val="000000"/>
                <w:sz w:val="20"/>
              </w:rPr>
              <w:t>
030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2"/>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w:t>
            </w:r>
          </w:p>
          <w:bookmarkEnd w:id="102"/>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реализация государственной системы межотраслевой научно-технической информации в Республике Казахстан на основе специальных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3"/>
          <w:p>
            <w:pPr>
              <w:spacing w:after="20"/>
              <w:ind w:left="20"/>
              <w:jc w:val="both"/>
            </w:pPr>
            <w:r>
              <w:rPr>
                <w:rFonts w:ascii="Times New Roman"/>
                <w:b w:val="false"/>
                <w:i w:val="false"/>
                <w:color w:val="000000"/>
                <w:sz w:val="20"/>
              </w:rPr>
              <w:t>
090 "Содействие развитию отраслей промышленности",</w:t>
            </w:r>
          </w:p>
          <w:bookmarkEnd w:id="103"/>
          <w:p>
            <w:pPr>
              <w:spacing w:after="20"/>
              <w:ind w:left="20"/>
              <w:jc w:val="both"/>
            </w:pPr>
            <w:r>
              <w:rPr>
                <w:rFonts w:ascii="Times New Roman"/>
                <w:b w:val="false"/>
                <w:i w:val="false"/>
                <w:color w:val="000000"/>
                <w:sz w:val="20"/>
              </w:rPr>
              <w:t>
102 "Исследования в области индустриального развития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и сметно-нормативной базы в сфере архитектурной, градостроительной и строительной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4"/>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104"/>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5"/>
          <w:p>
            <w:pPr>
              <w:spacing w:after="20"/>
              <w:ind w:left="20"/>
              <w:jc w:val="both"/>
            </w:pPr>
            <w:r>
              <w:rPr>
                <w:rFonts w:ascii="Times New Roman"/>
                <w:b w:val="false"/>
                <w:i w:val="false"/>
                <w:color w:val="000000"/>
                <w:sz w:val="20"/>
              </w:rPr>
              <w:t>
Корректировка (актуализация)</w:t>
            </w:r>
          </w:p>
          <w:bookmarkEnd w:id="105"/>
          <w:p>
            <w:pPr>
              <w:spacing w:after="20"/>
              <w:ind w:left="20"/>
              <w:jc w:val="both"/>
            </w:pPr>
            <w:r>
              <w:rPr>
                <w:rFonts w:ascii="Times New Roman"/>
                <w:b w:val="false"/>
                <w:i w:val="false"/>
                <w:color w:val="000000"/>
                <w:sz w:val="20"/>
              </w:rPr>
              <w:t>
межрегиональной схемы территориального развития Актюбинской агломерации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Актюбинской агломерации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06"/>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106"/>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Генеральной схемы организации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Генеральной схемы организации территории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07"/>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107"/>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техническому обслуживанию систем и оборудования, планово-профилактическим ремонтам, контролю состояния технологических систем и элементов ядерных, радиационных и электрофизических установок. Содержание, текущий ремонт зданий и сооружений, оплата труда технического персонала и налогов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08"/>
          <w:p>
            <w:pPr>
              <w:spacing w:after="20"/>
              <w:ind w:left="20"/>
              <w:jc w:val="both"/>
            </w:pPr>
            <w:r>
              <w:rPr>
                <w:rFonts w:ascii="Times New Roman"/>
                <w:b w:val="false"/>
                <w:i w:val="false"/>
                <w:color w:val="000000"/>
                <w:sz w:val="20"/>
              </w:rPr>
              <w:t>
036 "Развитие атомных и энергетических проектов",</w:t>
            </w:r>
          </w:p>
          <w:bookmarkEnd w:id="108"/>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безопасного функционирования базовых экспериментальных установок для успешного выполнения научно-технических программ и международных проектов (содержание зданий, сооружений, транспорта, оплата труда персонала, приобретение материалов, ремонт оборудования, оплата коммунальных услуг, налогов)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"Институт ядерной физики"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9"/>
          <w:p>
            <w:pPr>
              <w:spacing w:after="20"/>
              <w:ind w:left="20"/>
              <w:jc w:val="both"/>
            </w:pPr>
            <w:r>
              <w:rPr>
                <w:rFonts w:ascii="Times New Roman"/>
                <w:b w:val="false"/>
                <w:i w:val="false"/>
                <w:color w:val="000000"/>
                <w:sz w:val="20"/>
              </w:rPr>
              <w:t>
036 "Развитие атомных и энергетических проектов",</w:t>
            </w:r>
          </w:p>
          <w:bookmarkEnd w:id="109"/>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"Национальный ядерный центр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бесперебойному функционированию геофизических установок для успешного выполнения научно-технических программ, международных проектов (техническое обслуживание, планово-предупредительный ремонт оборудования и инженерных систем, транспорта, содержание и обслуживание зданий, помещений, контроль и выявление неисправностей, оплата труда персонала, налогов, оформление разрешений и других документов, приобретение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0"/>
          <w:p>
            <w:pPr>
              <w:spacing w:after="20"/>
              <w:ind w:left="20"/>
              <w:jc w:val="both"/>
            </w:pPr>
            <w:r>
              <w:rPr>
                <w:rFonts w:ascii="Times New Roman"/>
                <w:b w:val="false"/>
                <w:i w:val="false"/>
                <w:color w:val="000000"/>
                <w:sz w:val="20"/>
              </w:rPr>
              <w:t>
036 "Развитие атомных и энергетических проектов",</w:t>
            </w:r>
          </w:p>
          <w:bookmarkEnd w:id="110"/>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обследование территорий, отнесенных к зоне чрезвычайного радиационного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комплексных экологических исследований и получение новых научно обоснованных данных о радиационном состоянии почвенно-растительного покрова, водной и воздушной среды, фауны на территориях, отнесенных к зонам чрезвычайного радиационного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1"/>
          <w:p>
            <w:pPr>
              <w:spacing w:after="20"/>
              <w:ind w:left="20"/>
              <w:jc w:val="both"/>
            </w:pPr>
            <w:r>
              <w:rPr>
                <w:rFonts w:ascii="Times New Roman"/>
                <w:b w:val="false"/>
                <w:i w:val="false"/>
                <w:color w:val="000000"/>
                <w:sz w:val="20"/>
              </w:rPr>
              <w:t>
036 "Развитие атомных и энергетических проектов",</w:t>
            </w:r>
          </w:p>
          <w:bookmarkEnd w:id="111"/>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окружающей среды на радиационно опасных территориях Семипалатинского испытательного полигона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система сбора, накопления, хранения, обработки данных о радиационном состоянии окружающей среды для решения задач охраны и радиационной безопасности окружающей среды и рационального недропользования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2"/>
          <w:p>
            <w:pPr>
              <w:spacing w:after="20"/>
              <w:ind w:left="20"/>
              <w:jc w:val="both"/>
            </w:pPr>
            <w:r>
              <w:rPr>
                <w:rFonts w:ascii="Times New Roman"/>
                <w:b w:val="false"/>
                <w:i w:val="false"/>
                <w:color w:val="000000"/>
                <w:sz w:val="20"/>
              </w:rPr>
              <w:t>
036 "Развитие атомных и энергетических проектов",</w:t>
            </w:r>
          </w:p>
          <w:bookmarkEnd w:id="112"/>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казахстанской системы ядерного мониторинга в поддержку международных договоров и соглашений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включающий обеспечение непрерывного функционирования сейсмических, инфразвуковой и магнитной стационарных станций, Центра данных и системы коммуникаций в поддержку мониторинга ядерных испытаний и землетрясений (калибровка сейсмических станций в соответствии с требованиями и графиками, контроль эксплуатационных параметров регистрирующего и передающего оборудования, обслуживание и устранение неисправностей регистрирующего и передающего оборудования, сбор данных на станциях, передача их в Центр данных, оценка объемов и качества данных, поступающих с обслуживаемой сети, обработка данных мониторинга, выпуск информационных продуктов, пополнение баз данных, обмен данными с международными и другими национальными центрами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3"/>
          <w:p>
            <w:pPr>
              <w:spacing w:after="20"/>
              <w:ind w:left="20"/>
              <w:jc w:val="both"/>
            </w:pPr>
            <w:r>
              <w:rPr>
                <w:rFonts w:ascii="Times New Roman"/>
                <w:b w:val="false"/>
                <w:i w:val="false"/>
                <w:color w:val="000000"/>
                <w:sz w:val="20"/>
              </w:rPr>
              <w:t>
036 "Развитие атомных и энергетических проектов",</w:t>
            </w:r>
          </w:p>
          <w:bookmarkEnd w:id="113"/>
          <w:p>
            <w:pPr>
              <w:spacing w:after="20"/>
              <w:ind w:left="20"/>
              <w:jc w:val="both"/>
            </w:pPr>
            <w:r>
              <w:rPr>
                <w:rFonts w:ascii="Times New Roman"/>
                <w:b w:val="false"/>
                <w:i w:val="false"/>
                <w:color w:val="000000"/>
                <w:sz w:val="20"/>
              </w:rPr>
              <w:t>
102 "Мониторинг ядерных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поддержки казахстанских кадров и производителей в отношении углеводородов и урана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"Ситуационно-аналитический центр топливно-энергетического комплекса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4"/>
          <w:p>
            <w:pPr>
              <w:spacing w:after="20"/>
              <w:ind w:left="20"/>
              <w:jc w:val="both"/>
            </w:pPr>
            <w:r>
              <w:rPr>
                <w:rFonts w:ascii="Times New Roman"/>
                <w:b w:val="false"/>
                <w:i w:val="false"/>
                <w:color w:val="000000"/>
                <w:sz w:val="20"/>
              </w:rPr>
              <w:t>
040 "Развитие нефтегазохимической промышленности и местного содержания в контрактах на недропользование",</w:t>
            </w:r>
          </w:p>
          <w:bookmarkEnd w:id="114"/>
          <w:p>
            <w:pPr>
              <w:spacing w:after="20"/>
              <w:ind w:left="20"/>
              <w:jc w:val="both"/>
            </w:pPr>
            <w:r>
              <w:rPr>
                <w:rFonts w:ascii="Times New Roman"/>
                <w:b w:val="false"/>
                <w:i w:val="false"/>
                <w:color w:val="000000"/>
                <w:sz w:val="20"/>
              </w:rPr>
              <w:t>
102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а также приобретению недропользователями и их подрядчиками товаров, работ 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(далее - ОЭСР), а также выработка рекомендаций для Республики Казахстан по вступлению в ОЭСР на основе изученного опыта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15"/>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РК посредством исследования внешних и внутренних условий развития и совершенствования инструментов моделирования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комплексного анализа причинно-следственных связей роста индекса потребительских цен (в т.ч. его компонентов); проведение инвентаризации, анализа и оценки уровня обеспеченности объектами социальной, инженерно-коммуникационной, транспортной и иной инфраструктуры в регионах; выработка системных и точечных рекомендаций по совершенствованию инвестиционного климата и законодательства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16"/>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по вхождению Казахстана в международный рейтинг IMD путем проведения анкетирования и подготовки статистической информации. Проведение комплексного анализа позиций Казахстана в других международных рейтингах, а также сопоставление с результатами других зарубежных стран с целью повышения конкурентоспособности страны. Подготовка Национального доклада по конкурентоспособности Казахстана на основе проведенного анализа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7"/>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17"/>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государственного регулирования предпринимательской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18"/>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социально-экономических реформ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улучшению хода реализации документов Системы государственного планирования, методолого-аналитическое сопровождение мониторинга Национального плана развития Республики Казахстан до 2025 года, методолого-аналитическое сопровождение мониторинга концепций развития, методолого-аналитическое сопровождение мониторинга национальных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1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19"/>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региональной политики, социально-экономического развития регионов, выявления резервов роста экономики регионов, в том числе разработка рекомендаций по оценке и мониторингу уровня комфортности проживания населения в городских и сельских населенных пунктах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сравнение качества жизни населения городов, на основе периодического национального рейтинга качества жизни в городах, а также организация мониторинга обеспеченности населенных пунктов объектами и услугами (благами), согласно требованиям Системы региональных стандартов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20"/>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реализации функций Национального контактного центра Казахстана по вопросам ответственного ведения бизнеса в соответствии с практикой стран Организации экономического сотрудничества и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деятельности Национального контактного центра Казахстана по вопросам ответственного ведения бизнеса (далее – НКЦ), повышение информированности гражданского общества и бизнес-сообщества о деятельности НКЦ и Руководящих принципах ОЭСР, оказание содействия в рамках экспертной оценки ОЭСР по деятельности НКЦ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1"/>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21"/>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Аналитического отчета о бюджетных рисках и долгосрочной устойчивости государственных финансов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аналитическое сопровождение разработки Аналитического отчета о бюджетных рисках и долгосрочной устойчивости государственных финансов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22"/>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 оценке эффективности мер государственной поддержки субъектов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в рамках проведения анализа эффективности нефинансовых мер государственной поддержки субъектов частного предпринимательства и населения с предпринимательской инициативой, а также разработка методологических основ по определению платежеспособности субъектов предпринимательства, в том числе получивших меры государственной поддержки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3"/>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23"/>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24"/>
          <w:p>
            <w:pPr>
              <w:spacing w:after="20"/>
              <w:ind w:left="20"/>
              <w:jc w:val="both"/>
            </w:pPr>
            <w:r>
              <w:rPr>
                <w:rFonts w:ascii="Times New Roman"/>
                <w:b w:val="false"/>
                <w:i w:val="false"/>
                <w:color w:val="000000"/>
                <w:sz w:val="20"/>
              </w:rPr>
              <w:t>
115 "Научная экономическая экспертиза законопроектов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центральных государственных и местных исполнительных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5"/>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125"/>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деятельности, включающая в себя экспертно-аналитическое и методологическое сопровождение оценки эффективности деятельности местных исполнительных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6"/>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126"/>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регионов и городов по легкости ведения бизнеса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7"/>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127"/>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аналитических исследований "Модернизация общественного сознания"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Ежеквартальные опросы по ключевым индикаторам общественно-политической ситуации в Казахстане. Проведение оперативных телефонных опросов по ключевым информационным темам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8"/>
          <w:p>
            <w:pPr>
              <w:spacing w:after="20"/>
              <w:ind w:left="20"/>
              <w:jc w:val="both"/>
            </w:pPr>
            <w:r>
              <w:rPr>
                <w:rFonts w:ascii="Times New Roman"/>
                <w:b w:val="false"/>
                <w:i w:val="false"/>
                <w:color w:val="000000"/>
                <w:sz w:val="20"/>
              </w:rPr>
              <w:t>
001 "Формирование государственной политики в сфере культуры и информации",</w:t>
            </w:r>
          </w:p>
          <w:bookmarkEnd w:id="128"/>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9"/>
          <w:p>
            <w:pPr>
              <w:spacing w:after="20"/>
              <w:ind w:left="20"/>
              <w:jc w:val="both"/>
            </w:pPr>
            <w:r>
              <w:rPr>
                <w:rFonts w:ascii="Times New Roman"/>
                <w:b w:val="false"/>
                <w:i w:val="false"/>
                <w:color w:val="000000"/>
                <w:sz w:val="20"/>
              </w:rPr>
              <w:t>
1. Проведение социологического исследования межэтнической ситуации в стране.</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методических пособий (методические пособия по вопросам государственной политики в сфере межэтнических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экспертной работы Научно-экспертного совета при Ассамблее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Выпуск информационно-аналитического издания в сфере межэтнических отношений, этносов с результатами исследований и публикаций членов Научно-экспертного совета при Ассамблее народа Казахстана, научно-экспертных групп регионов и Ассоциации кафедр Ассамблеи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исследования "Определение формулы идентичности".</w:t>
            </w:r>
          </w:p>
          <w:p>
            <w:pPr>
              <w:spacing w:after="20"/>
              <w:ind w:left="20"/>
              <w:jc w:val="both"/>
            </w:pPr>
            <w:r>
              <w:rPr>
                <w:rFonts w:ascii="Times New Roman"/>
                <w:b w:val="false"/>
                <w:i w:val="false"/>
                <w:color w:val="000000"/>
                <w:sz w:val="20"/>
              </w:rPr>
              <w:t>
8. Содержание Центра этномедиации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0"/>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130"/>
          <w:p>
            <w:pPr>
              <w:spacing w:after="20"/>
              <w:ind w:left="20"/>
              <w:jc w:val="both"/>
            </w:pPr>
            <w:r>
              <w:rPr>
                <w:rFonts w:ascii="Times New Roman"/>
                <w:b w:val="false"/>
                <w:i w:val="false"/>
                <w:color w:val="000000"/>
                <w:sz w:val="20"/>
              </w:rPr>
              <w:t>
100 "Реализация государственной политики по укреплению межэтнического согласия"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31"/>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VIII Съезда лидеров мировых и традиционных религий, секретариата XXII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заседаний институтов Съезда лидеров мировых и традиционных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международными структурами по обеспечению и сохранению межрелигиозного,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межконфессионального и межрелигиозного диалога"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2"/>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132"/>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3"/>
          <w:p>
            <w:pPr>
              <w:spacing w:after="20"/>
              <w:ind w:left="20"/>
              <w:jc w:val="both"/>
            </w:pPr>
            <w:r>
              <w:rPr>
                <w:rFonts w:ascii="Times New Roman"/>
                <w:b w:val="false"/>
                <w:i w:val="false"/>
                <w:color w:val="000000"/>
                <w:sz w:val="20"/>
              </w:rPr>
              <w:t>
11. Проведение исследования на тему: "Религиозно-этнический фактор жизнедеятельности общества: взаимообусловленность, проблемные аспекты и тенденции развития".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исследования на тему: "Развитие религиозного образования в Казахстане: формы, виды, методы, целевые аудитории".</w:t>
            </w:r>
          </w:p>
          <w:p>
            <w:pPr>
              <w:spacing w:after="20"/>
              <w:ind w:left="20"/>
              <w:jc w:val="both"/>
            </w:pPr>
            <w:r>
              <w:rPr>
                <w:rFonts w:ascii="Times New Roman"/>
                <w:b w:val="false"/>
                <w:i w:val="false"/>
                <w:color w:val="000000"/>
                <w:sz w:val="20"/>
              </w:rPr>
              <w:t>
13. Создание казахско-русско-английского словаря религиозных и религиоведческих терминов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4"/>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4"/>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20 369 282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"Республиканская телерадиокорпорация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5"/>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5"/>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32 038 013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"Национальный филиал межгосударственной телерадиокомпании "Мир"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филиал межгосударственной телерадиокомпании "Мир" в Республике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6"/>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6"/>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"Егемен Қазақстан", "Казахстанская правда", а также "Ұйғыр авази", "Ана тілі", "Дружные ребята", "Ұлан", журналы "AQIQAT", "Мысль", "URKER", "AQ JELKEN", "BALDYRGAN"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7"/>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7"/>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 через АО "Qazcontent"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проведению государственной информационной политики в сети Интернет через интернет порталы ADEBIPORTAL.KZ, BAIGENEWS.KZ, BAQ.​KZ, E-HISTORY.KZ, EL.​KZ, PRIMRMINISTER.KZ, RUH.​KZ</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"Qazcontent"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8"/>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8"/>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9"/>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9"/>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40"/>
          <w:p>
            <w:pPr>
              <w:spacing w:after="20"/>
              <w:ind w:left="20"/>
              <w:jc w:val="both"/>
            </w:pPr>
            <w:r>
              <w:rPr>
                <w:rFonts w:ascii="Times New Roman"/>
                <w:b w:val="false"/>
                <w:i w:val="false"/>
                <w:color w:val="000000"/>
                <w:sz w:val="20"/>
              </w:rPr>
              <w:t>
1. Модернизация общественного сознания.</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семейной политики.</w:t>
            </w:r>
          </w:p>
          <w:p>
            <w:pPr>
              <w:spacing w:after="20"/>
              <w:ind w:left="20"/>
              <w:jc w:val="both"/>
            </w:pPr>
            <w:r>
              <w:rPr>
                <w:rFonts w:ascii="Times New Roman"/>
                <w:b w:val="false"/>
                <w:i w:val="false"/>
                <w:color w:val="000000"/>
                <w:sz w:val="20"/>
              </w:rPr>
              <w:t>
3. Реализация проектов в сфере культуры и креативной индустрии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1"/>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w:t>
            </w:r>
          </w:p>
          <w:bookmarkEnd w:id="141"/>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изучения исторических архивных материалов по полной реабилитации жертв политических репрессий для общественного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2"/>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w:t>
            </w:r>
          </w:p>
          <w:bookmarkEnd w:id="142"/>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43"/>
          <w:p>
            <w:pPr>
              <w:spacing w:after="20"/>
              <w:ind w:left="20"/>
              <w:jc w:val="both"/>
            </w:pPr>
            <w:r>
              <w:rPr>
                <w:rFonts w:ascii="Times New Roman"/>
                <w:b w:val="false"/>
                <w:i w:val="false"/>
                <w:color w:val="000000"/>
                <w:sz w:val="20"/>
              </w:rPr>
              <w:t>
100 "Воссоздание, сооружение памятников историко-культурного наследия"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научной документации по потенциальным памятникам истории и культуры ЮНЕСКО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4"/>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44"/>
          <w:p>
            <w:pPr>
              <w:spacing w:after="20"/>
              <w:ind w:left="20"/>
              <w:jc w:val="both"/>
            </w:pPr>
            <w:r>
              <w:rPr>
                <w:rFonts w:ascii="Times New Roman"/>
                <w:b w:val="false"/>
                <w:i w:val="false"/>
                <w:color w:val="000000"/>
                <w:sz w:val="20"/>
              </w:rPr>
              <w:t>
101 "Свод и систематизация изучения культурного наследия казахского народа"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памятника великому поэту и мыслителю Абаю Кунанбайулы в г. Ашхабаде осуществляется во исполнение поручения по итогам государственных визитов Президента Республики Казахстан К.К. Токаева в Туркменистан (24-25 октября 2021 года, г. Ашхабад), Президента Туркменистана С.Г. Бердымухамедова в Республику Казахстан (15 октября 2022 года, г. Астана), также реализации Комплексной программы по сотрудничеству между Правительством Республики Казахстан и Кабинетом министров Туркменистана на 2022 – 2024 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5"/>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45"/>
          <w:p>
            <w:pPr>
              <w:spacing w:after="20"/>
              <w:ind w:left="20"/>
              <w:jc w:val="both"/>
            </w:pPr>
            <w:r>
              <w:rPr>
                <w:rFonts w:ascii="Times New Roman"/>
                <w:b w:val="false"/>
                <w:i w:val="false"/>
                <w:color w:val="000000"/>
                <w:sz w:val="20"/>
              </w:rPr>
              <w:t>
102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творческого объединения "Казаханимация" (сервисная компания по производству отечественного анимационного контента) при АО "Казахфильм" им. Ш. Айманова в области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6"/>
          <w:p>
            <w:pPr>
              <w:spacing w:after="20"/>
              <w:ind w:left="20"/>
              <w:jc w:val="both"/>
            </w:pPr>
            <w:r>
              <w:rPr>
                <w:rFonts w:ascii="Times New Roman"/>
                <w:b w:val="false"/>
                <w:i w:val="false"/>
                <w:color w:val="000000"/>
                <w:sz w:val="20"/>
              </w:rPr>
              <w:t>
1. Проведение практических занятий, мастер-классов казахстанским студентам творческих вузов,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w:t>
            </w:r>
          </w:p>
          <w:bookmarkEnd w:id="146"/>
          <w:p>
            <w:pPr>
              <w:spacing w:after="20"/>
              <w:ind w:left="20"/>
              <w:jc w:val="both"/>
            </w:pPr>
            <w:r>
              <w:rPr>
                <w:rFonts w:ascii="Times New Roman"/>
                <w:b w:val="false"/>
                <w:i w:val="false"/>
                <w:color w:val="000000"/>
                <w:sz w:val="20"/>
              </w:rPr>
              <w:t>
2. Создание итоговых пилотных анимационных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имени Ш. Айманова"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7"/>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47"/>
          <w:p>
            <w:pPr>
              <w:spacing w:after="20"/>
              <w:ind w:left="20"/>
              <w:jc w:val="both"/>
            </w:pPr>
            <w:r>
              <w:rPr>
                <w:rFonts w:ascii="Times New Roman"/>
                <w:b w:val="false"/>
                <w:i w:val="false"/>
                <w:color w:val="000000"/>
                <w:sz w:val="20"/>
              </w:rPr>
              <w:t>
104 "Производство национальных фильмов и обеспечение дубляжа фильмов на казахский язык"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Ассамблее народа Казахстана, "Ұлттық Домбыра күні", организация концертных программ в рамках официальных встреч Главы государства,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казахстанских исполнителей в международных конкурсах и выступления молодых дарований и ведущих исполнителей в лучших залах мира, международных конкурсах, фестивалях, республиканском айтысе акынов, организация юбилейных мероприятий, концертов, дней культуры в Казахстане и за рубежом, церемонии открытия и закрытия 5-х Всемирных игр кочевников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105 "Проведение социально значимых и культурных мероприятий"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Пропаганда музыкального искусства, популяризация классической музыки путем проведения концертов симфонической и народной музыки. Осуществление сопутствующих услуг по проведению социально значимых и культурных мероприятий для приобретения услуг по классическому танцу и балету и концертов симфонической народной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8"/>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48"/>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и реставрация Золотого фонда казахского кино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оцифровки и реставрации фильмов, снятых до 1992 года на студии "Казахфильм", из Госфильмофонда Российской Федерации будет осуществлен поэтапный возврат 312 копий киноматериалов (161 художественных, 66 документальных и 85 мультипликационных фильмов). Оцифровка и реставрация позволят восстановить коллекцию отечественных фильмов в цифровом формате, создать высококачественные фильмокопии с широким доступом, в том числе на онлайн-платформах, в качестве контента для образовательных учреждений и телевидения, сохранить культурное наследие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имени Ш. Айманова"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9"/>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49"/>
          <w:p>
            <w:pPr>
              <w:spacing w:after="20"/>
              <w:ind w:left="20"/>
              <w:jc w:val="both"/>
            </w:pPr>
            <w:r>
              <w:rPr>
                <w:rFonts w:ascii="Times New Roman"/>
                <w:b w:val="false"/>
                <w:i w:val="false"/>
                <w:color w:val="000000"/>
                <w:sz w:val="20"/>
              </w:rPr>
              <w:t>
137 "Проведение оцифровки и реставрации кино-коллекции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"Казахская национальная академия хореографии"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50"/>
          <w:p>
            <w:pPr>
              <w:spacing w:after="20"/>
              <w:ind w:left="20"/>
              <w:jc w:val="both"/>
            </w:pPr>
            <w:r>
              <w:rPr>
                <w:rFonts w:ascii="Times New Roman"/>
                <w:b w:val="false"/>
                <w:i w:val="false"/>
                <w:color w:val="000000"/>
                <w:sz w:val="20"/>
              </w:rPr>
              <w:t>
041 "Подготовка кадров в области культуры и искусства",</w:t>
            </w:r>
          </w:p>
          <w:bookmarkEnd w:id="150"/>
          <w:p>
            <w:pPr>
              <w:spacing w:after="20"/>
              <w:ind w:left="20"/>
              <w:jc w:val="both"/>
            </w:pPr>
            <w:r>
              <w:rPr>
                <w:rFonts w:ascii="Times New Roman"/>
                <w:b w:val="false"/>
                <w:i w:val="false"/>
                <w:color w:val="000000"/>
                <w:sz w:val="20"/>
              </w:rPr>
              <w:t>
103 "Обеспечение образовательного процесса в области хореографии"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на республиканском и международном уровне посредством РГП на ПХВ "Телерадиокомплекс Президента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аудиовизуальной продукции на республиканском и международном уровне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"Телерадиокомплекс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1"/>
          <w:p>
            <w:pPr>
              <w:spacing w:after="20"/>
              <w:ind w:left="20"/>
              <w:jc w:val="both"/>
            </w:pPr>
            <w:r>
              <w:rPr>
                <w:rFonts w:ascii="Times New Roman"/>
                <w:b w:val="false"/>
                <w:i w:val="false"/>
                <w:color w:val="000000"/>
                <w:sz w:val="20"/>
              </w:rPr>
              <w:t>
006 "Проведение государственной информационной политики",</w:t>
            </w:r>
          </w:p>
          <w:bookmarkEnd w:id="151"/>
          <w:p>
            <w:pPr>
              <w:spacing w:after="20"/>
              <w:ind w:left="20"/>
              <w:jc w:val="both"/>
            </w:pPr>
            <w:r>
              <w:rPr>
                <w:rFonts w:ascii="Times New Roman"/>
                <w:b w:val="false"/>
                <w:i w:val="false"/>
                <w:color w:val="000000"/>
                <w:sz w:val="20"/>
              </w:rPr>
              <w:t>
100 "Услуги по проведению государственной информационной политики"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9 734 783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обучения для медицинских и иных сотрудников системы Управления делами Президента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2"/>
          <w:p>
            <w:pPr>
              <w:spacing w:after="20"/>
              <w:ind w:left="20"/>
              <w:jc w:val="both"/>
            </w:pPr>
            <w:r>
              <w:rPr>
                <w:rFonts w:ascii="Times New Roman"/>
                <w:b w:val="false"/>
                <w:i w:val="false"/>
                <w:color w:val="000000"/>
                <w:sz w:val="20"/>
              </w:rPr>
              <w:t>
Реализация государственной услуги направлена на обучение медицинских и иных сотрудников организаций системы Управления Делами Президента Республики Казахстан (РГП "БМЦ УДП РК", АО "ЦКБ", АО "ЛОК- "Окжетпес" пос. Боровое, филиал АО "ЛОК- "Окжетпес"</w:t>
            </w:r>
          </w:p>
          <w:bookmarkEnd w:id="152"/>
          <w:p>
            <w:pPr>
              <w:spacing w:after="20"/>
              <w:ind w:left="20"/>
              <w:jc w:val="both"/>
            </w:pPr>
            <w:r>
              <w:rPr>
                <w:rFonts w:ascii="Times New Roman"/>
                <w:b w:val="false"/>
                <w:i w:val="false"/>
                <w:color w:val="000000"/>
                <w:sz w:val="20"/>
              </w:rPr>
              <w:t>
г. Алматы) по современным и актуальным направлениям практического здравоохранения, научных исследований, передового опыта в области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3"/>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p>
          <w:bookmarkEnd w:id="153"/>
          <w:p>
            <w:pPr>
              <w:spacing w:after="20"/>
              <w:ind w:left="20"/>
              <w:jc w:val="both"/>
            </w:pPr>
            <w:r>
              <w:rPr>
                <w:rFonts w:ascii="Times New Roman"/>
                <w:b w:val="false"/>
                <w:i w:val="false"/>
                <w:color w:val="000000"/>
                <w:sz w:val="20"/>
              </w:rPr>
              <w:t>
102 "Техническое и информационное обеспечение медицинских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396 086 313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