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09ab" w14:textId="78d0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2024 года № 983.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189-2) и 189-3)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"189-2) рассматривает петиции в порядке и сроки, установленные Административным процедурно-процессуальным кодексом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189-3) проводит цифровую трансформацию;";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 и 3-1,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"Воинская часть 28237 имени Бауыржан Момышұлы Министерства по чрезвычайным ситуациям Республики Казахстан".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"Воинская часть 68303 имени Касыма Кайсенова Министерства по чрезвычайным ситуациям Республики Казахстан".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"Воинская часть 52859 имени Мартбека Мамраева Министерства по чрезвычайным ситуациям Республики Казахстан".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Республиканское государственное учреждение "Воинская часть 20982 имени Есет батыр Көкіұлы Министерства по чрезвычайным ситуациям Республики Казахстан".".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