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b488" w14:textId="aafb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инвестиционной политики Республики Казахстан до 2029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2024 года № 868. Утратило силу постановлением Правительства Республики Казахстан от 31 декабря 2025 года № 1185.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31.12.2025 </w:t>
      </w:r>
      <w:r>
        <w:rPr>
          <w:rFonts w:ascii="Times New Roman"/>
          <w:b w:val="false"/>
          <w:i w:val="false"/>
          <w:color w:val="ff0000"/>
          <w:sz w:val="28"/>
        </w:rPr>
        <w:t>№ 1185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инвестиционной политики Республики Казахстан до 2029 года (далее – Концепция).</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а также иным организациям (по согласованию), ответственным за исполнение Концепции:</w:t>
      </w:r>
    </w:p>
    <w:bookmarkEnd w:id="2"/>
    <w:bookmarkStart w:name="z7" w:id="3"/>
    <w:p>
      <w:pPr>
        <w:spacing w:after="0"/>
        <w:ind w:left="0"/>
        <w:jc w:val="both"/>
      </w:pPr>
      <w:r>
        <w:rPr>
          <w:rFonts w:ascii="Times New Roman"/>
          <w:b w:val="false"/>
          <w:i w:val="false"/>
          <w:color w:val="000000"/>
          <w:sz w:val="28"/>
        </w:rPr>
        <w:t>
      1) обеспечить своевременную реализацию мероприятий и достижение показателей, предусмотренных Планом действий по реализации Концепции;</w:t>
      </w:r>
    </w:p>
    <w:bookmarkEnd w:id="3"/>
    <w:bookmarkStart w:name="z8" w:id="4"/>
    <w:p>
      <w:pPr>
        <w:spacing w:after="0"/>
        <w:ind w:left="0"/>
        <w:jc w:val="both"/>
      </w:pPr>
      <w:r>
        <w:rPr>
          <w:rFonts w:ascii="Times New Roman"/>
          <w:b w:val="false"/>
          <w:i w:val="false"/>
          <w:color w:val="000000"/>
          <w:sz w:val="28"/>
        </w:rPr>
        <w:t>
      2) два раза в год, не позднее 15 января и 15 июля, следующего за отчетным полугодием, представлять информацию о ходе исполнения мероприятий Концепции в Министерство национальной экономики Республики Казахстан.</w:t>
      </w:r>
    </w:p>
    <w:bookmarkEnd w:id="4"/>
    <w:bookmarkStart w:name="z9" w:id="5"/>
    <w:p>
      <w:pPr>
        <w:spacing w:after="0"/>
        <w:ind w:left="0"/>
        <w:jc w:val="both"/>
      </w:pPr>
      <w:r>
        <w:rPr>
          <w:rFonts w:ascii="Times New Roman"/>
          <w:b w:val="false"/>
          <w:i w:val="false"/>
          <w:color w:val="000000"/>
          <w:sz w:val="28"/>
        </w:rPr>
        <w:t>
      3. Министерству национальной экономики Республики Казахстан по итогам года, не позднее 1 июня, представлять в Правительство Республики Казахстан сводную информацию о ходе реализации Концепции.</w:t>
      </w:r>
    </w:p>
    <w:bookmarkEnd w:id="5"/>
    <w:bookmarkStart w:name="z10" w:id="6"/>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июля 2022 года № 482 "Об утверждении Концепции инвестиционной политики Республики Казахстан до 2026 года".</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2024 года № 868</w:t>
            </w:r>
          </w:p>
        </w:tc>
      </w:tr>
    </w:tbl>
    <w:bookmarkStart w:name="z15" w:id="9"/>
    <w:p>
      <w:pPr>
        <w:spacing w:after="0"/>
        <w:ind w:left="0"/>
        <w:jc w:val="left"/>
      </w:pPr>
      <w:r>
        <w:rPr>
          <w:rFonts w:ascii="Times New Roman"/>
          <w:b/>
          <w:i w:val="false"/>
          <w:color w:val="000000"/>
        </w:rPr>
        <w:t xml:space="preserve"> Концепция инвестиционной политики Республики Казахстан до 2029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международного опыта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развития инвестиционной политики в Казахстане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и подходы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Дальнейшее развитие экосистемы привлечения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Содействие развитию институционального каркаса и инфраструктуры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Раскрытие инвестиционного потенциала экономики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ожидаемые результаты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План</w:t>
            </w:r>
            <w:r>
              <w:rPr>
                <w:rFonts w:ascii="Times New Roman"/>
                <w:b w:val="false"/>
                <w:i w:val="false"/>
                <w:color w:val="000000"/>
                <w:sz w:val="20"/>
              </w:rPr>
              <w:t xml:space="preserve"> действий по реализации Концепции инвестиционной политики Республики Казахстан до 2029 года</w:t>
            </w:r>
          </w:p>
        </w:tc>
      </w:tr>
    </w:tbl>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Концепция инвестиционной политики Республики Казахстан до 2029 года</w:t>
            </w:r>
          </w:p>
          <w:bookmarkEnd w:id="1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26 ноября 2022 года № 2 "О мерах по реализации предвыборной программы Президента Республики Казахстан "Справедливый Казахстан – для всех и для каждого. Сейчас и навсегда";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16 сентября 2023 года № 353 "О мерах по реализации Послания Главы государства народу Казахстана от 1 сентября 2023 года "Экономический курс Справедливого Казахстана"; </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4 декабря 2023 года № 404 "О мерах по повышению эффективности работы по привлечению инвестиций в экономику страны";</w:t>
            </w:r>
          </w:p>
          <w:p>
            <w:pPr>
              <w:spacing w:after="20"/>
              <w:ind w:left="20"/>
              <w:jc w:val="both"/>
            </w:pPr>
            <w:r>
              <w:rPr>
                <w:rFonts w:ascii="Times New Roman"/>
                <w:b w:val="false"/>
                <w:i w:val="false"/>
                <w:color w:val="000000"/>
                <w:sz w:val="20"/>
              </w:rPr>
              <w:t>
протокол заседания Совета по привлечению инвестиций от 2 февраля 2024 года № Д-1016//12-04/05-3874.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программного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подчиненные и подотчетные Президенту Республики Казахстан (по согласованию), а также иные организации (по согласованию)</w:t>
            </w:r>
          </w:p>
        </w:tc>
      </w:tr>
    </w:tbl>
    <w:p>
      <w:pPr>
        <w:spacing w:after="0"/>
        <w:ind w:left="0"/>
        <w:jc w:val="both"/>
      </w:pPr>
      <w:r>
        <w:rPr>
          <w:rFonts w:ascii="Times New Roman"/>
          <w:b/>
          <w:i w:val="false"/>
          <w:color w:val="000000"/>
          <w:sz w:val="28"/>
        </w:rPr>
        <w:t>Раздел 2. Анализ текущей ситуации</w:t>
      </w:r>
    </w:p>
    <w:bookmarkStart w:name="z22" w:id="12"/>
    <w:p>
      <w:pPr>
        <w:spacing w:after="0"/>
        <w:ind w:left="0"/>
        <w:jc w:val="both"/>
      </w:pPr>
      <w:r>
        <w:rPr>
          <w:rFonts w:ascii="Times New Roman"/>
          <w:b w:val="false"/>
          <w:i w:val="false"/>
          <w:color w:val="000000"/>
          <w:sz w:val="28"/>
        </w:rPr>
        <w:t xml:space="preserve">
      Казахстан достиг значительных успехов в создании рыночной экономики с момента обретения независимости. Страна привлекла значительные иностранные инвестиции для развития своих обширных минеральных, нефтяных и природных газовых ресурсов. По данным Конференции Организации Объединенных Наций по торговле и развитию (далее – UNCTAD) с 1991 по 2023 годы объем чистого притока прямых иностранных инвестиций (далее – ПИИ) в Казахстан составил более 166 млрд долларов (0,5 % мирового ПИИ). </w:t>
      </w:r>
    </w:p>
    <w:bookmarkEnd w:id="12"/>
    <w:bookmarkStart w:name="z23" w:id="13"/>
    <w:p>
      <w:pPr>
        <w:spacing w:after="0"/>
        <w:ind w:left="0"/>
        <w:jc w:val="both"/>
      </w:pPr>
      <w:r>
        <w:rPr>
          <w:rFonts w:ascii="Times New Roman"/>
          <w:b w:val="false"/>
          <w:i w:val="false"/>
          <w:color w:val="000000"/>
          <w:sz w:val="28"/>
        </w:rPr>
        <w:t>
      Несмотря на то, что обширные запасы углеводородов и полезных ископаемых остаются основой экономики Казахстана, Правительство продолжает прилагать усилия для диверсификации экономики, поддерживает активный диалог со всеми инвесторами через формальные каналы, такие как Совет иностранных инвесторов при Президенте Республики Казахстан и Совет по привлечению инвестиций под руководством Первого заместителя Премьер-Министра Республики Казахстан. Казахстан является членом Всемирной торговой организации (далее – ВТО) и Евразийского экономического союза.</w:t>
      </w:r>
    </w:p>
    <w:bookmarkEnd w:id="13"/>
    <w:bookmarkStart w:name="z24" w:id="14"/>
    <w:p>
      <w:pPr>
        <w:spacing w:after="0"/>
        <w:ind w:left="0"/>
        <w:jc w:val="both"/>
      </w:pPr>
      <w:r>
        <w:rPr>
          <w:rFonts w:ascii="Times New Roman"/>
          <w:b w:val="false"/>
          <w:i w:val="false"/>
          <w:color w:val="000000"/>
          <w:sz w:val="28"/>
        </w:rPr>
        <w:t>
      Согласно прогнозам международного рейтингового агентства "Standard&amp;Poor's" (далее – Агентство S&amp;P) среднегодовой рост валового внутреннего продукта (далее – ВВП) Казахстана в период с 2024 по 2027 годы составит 3,6 %. 1 марта 2024 года Агентство S&amp;P подтвердило кредитный рейтинг Казахстана на уровне "BBB-" со "Стабильным" прогнозом. Ключевыми факторами, поддерживающими рейтинг Казахстана, являются сильные фискальные стимулы (налоговые льготы, субсидии, гранты и др.) и наличие ликвидных внешних активов.</w:t>
      </w:r>
    </w:p>
    <w:bookmarkEnd w:id="14"/>
    <w:bookmarkStart w:name="z25" w:id="15"/>
    <w:p>
      <w:pPr>
        <w:spacing w:after="0"/>
        <w:ind w:left="0"/>
        <w:jc w:val="both"/>
      </w:pPr>
      <w:r>
        <w:rPr>
          <w:rFonts w:ascii="Times New Roman"/>
          <w:b w:val="false"/>
          <w:i w:val="false"/>
          <w:color w:val="000000"/>
          <w:sz w:val="28"/>
        </w:rPr>
        <w:t xml:space="preserve">
      Агентство S&amp;P отмечает, что существует возможность повышения кредитного рейтинга Казахстана в случае успешного проведения реформ, стимулирующих рост ненефтяного сектора, политическую стабильность и снижение геополитических рисков. </w:t>
      </w:r>
    </w:p>
    <w:bookmarkEnd w:id="15"/>
    <w:bookmarkStart w:name="z26" w:id="16"/>
    <w:p>
      <w:pPr>
        <w:spacing w:after="0"/>
        <w:ind w:left="0"/>
        <w:jc w:val="both"/>
      </w:pPr>
      <w:r>
        <w:rPr>
          <w:rFonts w:ascii="Times New Roman"/>
          <w:b w:val="false"/>
          <w:i w:val="false"/>
          <w:color w:val="000000"/>
          <w:sz w:val="28"/>
        </w:rPr>
        <w:t>
      В мае 2024 года международным рейтинговым агентством Fitch Ratings (далее – Агентство Fitch Ratings) подтвердило долгосрочный рейтинг дефолта эмитента Казахстана в иностранной валюте на уровне "ВВB" со "Стабильным" прогнозом. Данное решение основано на сильных фискальных и внешних балансах страны, которые остаются устойчивыми к внешним шокам. Накопленные доходы от экспорта нефти и наличие фискальной базы играют ключевую роль в поддержании этих показателей.</w:t>
      </w:r>
    </w:p>
    <w:bookmarkEnd w:id="16"/>
    <w:bookmarkStart w:name="z27" w:id="17"/>
    <w:p>
      <w:pPr>
        <w:spacing w:after="0"/>
        <w:ind w:left="0"/>
        <w:jc w:val="both"/>
      </w:pPr>
      <w:r>
        <w:rPr>
          <w:rFonts w:ascii="Times New Roman"/>
          <w:b w:val="false"/>
          <w:i w:val="false"/>
          <w:color w:val="000000"/>
          <w:sz w:val="28"/>
        </w:rPr>
        <w:t>
      Агентство Fitch Ratings отмечает значительную зависимость Казахстана от сырьевых товаров, высокую инфляцию и слабые показатели государственного управления, которые влияют на снижение общей оценки. Также подчеркивают риски, связанные с концентрацией экспорта и менее развитой макроэкономической политикой по сравнению с сопоставимыми странами с рейтингом "BBB" со "Стабильным" прогнозом.</w:t>
      </w:r>
    </w:p>
    <w:bookmarkEnd w:id="17"/>
    <w:bookmarkStart w:name="z28" w:id="18"/>
    <w:p>
      <w:pPr>
        <w:spacing w:after="0"/>
        <w:ind w:left="0"/>
        <w:jc w:val="both"/>
      </w:pPr>
      <w:r>
        <w:rPr>
          <w:rFonts w:ascii="Times New Roman"/>
          <w:b w:val="false"/>
          <w:i w:val="false"/>
          <w:color w:val="000000"/>
          <w:sz w:val="28"/>
        </w:rPr>
        <w:t>
      Агентство Fitch Ratings прогнозирует ускорение роста ВВП Казахстана до 5 % в 2025 году благодаря росту инвестиций, увеличению потребления и расширению проекта Тенгиз. При этом инфляция по прогнозам снизится до 9,5 % в 2024 году и 8 % в 2025 году. Агентство Fitch Ratings также ожидает, что меры по диверсификации экономики и развитию транспортной инфраструктуры будут способствовать долгосрочному и устойчивому росту страны.</w:t>
      </w:r>
    </w:p>
    <w:bookmarkEnd w:id="18"/>
    <w:p>
      <w:pPr>
        <w:spacing w:after="0"/>
        <w:ind w:left="0"/>
        <w:jc w:val="both"/>
      </w:pPr>
      <w:r>
        <w:rPr>
          <w:rFonts w:ascii="Times New Roman"/>
          <w:b/>
          <w:i w:val="false"/>
          <w:color w:val="000000"/>
          <w:sz w:val="28"/>
        </w:rPr>
        <w:t>2.1 Глобальные тенденции мировых потоков прямых иностранных инвестиций</w:t>
      </w:r>
    </w:p>
    <w:bookmarkStart w:name="z30" w:id="19"/>
    <w:p>
      <w:pPr>
        <w:spacing w:after="0"/>
        <w:ind w:left="0"/>
        <w:jc w:val="both"/>
      </w:pPr>
      <w:r>
        <w:rPr>
          <w:rFonts w:ascii="Times New Roman"/>
          <w:b w:val="false"/>
          <w:i w:val="false"/>
          <w:color w:val="000000"/>
          <w:sz w:val="28"/>
        </w:rPr>
        <w:t>
      Согласно данным UNCTAD глобальные потоки ПИИ в 2023 году увеличились на 3 % до 1,37 трлн долларов США преимущественно за счет роста инвестиций в Люксембург и Нидерланды. Исключая эти страны, глобальные потоки ПИИ снизились на 18 %.</w:t>
      </w:r>
    </w:p>
    <w:bookmarkEnd w:id="19"/>
    <w:bookmarkStart w:name="z31" w:id="20"/>
    <w:p>
      <w:pPr>
        <w:spacing w:after="0"/>
        <w:ind w:left="0"/>
        <w:jc w:val="both"/>
      </w:pPr>
      <w:r>
        <w:rPr>
          <w:rFonts w:ascii="Times New Roman"/>
          <w:b w:val="false"/>
          <w:i w:val="false"/>
          <w:color w:val="000000"/>
          <w:sz w:val="28"/>
        </w:rPr>
        <w:t xml:space="preserve">
      В условиях геополитической напряженности и экономической неопределенности потоки ПИИ в развивающиеся страны сократились на 9 % до 841 млрд долларов США. Наибольшее снижение наблюдается в развивающихся странах Азии – на 12 % (в Китайской Народной Республике (далее – КНР) на 6 %, странах ассоциации государств Юго-Восточной Азии на 16 %). В то же время ПИИ в развитые страны увеличились на 29 % до 524 млрд долларов США. Без учета Люксембурга и Нидерландов объемы ПИИ в развитые рынки снизились на 28 %. </w:t>
      </w:r>
    </w:p>
    <w:bookmarkEnd w:id="20"/>
    <w:bookmarkStart w:name="z32" w:id="21"/>
    <w:p>
      <w:pPr>
        <w:spacing w:after="0"/>
        <w:ind w:left="0"/>
        <w:jc w:val="both"/>
      </w:pPr>
      <w:r>
        <w:rPr>
          <w:rFonts w:ascii="Times New Roman"/>
          <w:b w:val="false"/>
          <w:i w:val="false"/>
          <w:color w:val="000000"/>
          <w:sz w:val="28"/>
        </w:rPr>
        <w:t xml:space="preserve">
      В 2023 году объемы ПИИ в Центральную Азию снизились на 5 % до 10 млрд долларов США. Однако количество Greenfield проектов увеличилось более чем в 3 раза до 158 проектов. </w:t>
      </w:r>
    </w:p>
    <w:bookmarkEnd w:id="21"/>
    <w:bookmarkStart w:name="z33" w:id="22"/>
    <w:p>
      <w:pPr>
        <w:spacing w:after="0"/>
        <w:ind w:left="0"/>
        <w:jc w:val="both"/>
      </w:pPr>
      <w:r>
        <w:rPr>
          <w:rFonts w:ascii="Times New Roman"/>
          <w:b w:val="false"/>
          <w:i w:val="false"/>
          <w:color w:val="000000"/>
          <w:sz w:val="28"/>
        </w:rPr>
        <w:t xml:space="preserve">
      Несмотря на геополитическую ситуацию, в 2023 году наблюдается рост числа проектов в глобальных цепочках добавленной стоимости (+16 %), особенно в автомобильной, текстильной, машиностроительной и электронной промышленности. В то же время число Greenfield проектов по производству полупроводников снизилось на 10 % (на 39 % по объему вложений) после значительного роста в 2022 году. </w:t>
      </w:r>
    </w:p>
    <w:bookmarkEnd w:id="22"/>
    <w:bookmarkStart w:name="z34" w:id="23"/>
    <w:p>
      <w:pPr>
        <w:spacing w:after="0"/>
        <w:ind w:left="0"/>
        <w:jc w:val="both"/>
      </w:pPr>
      <w:r>
        <w:rPr>
          <w:rFonts w:ascii="Times New Roman"/>
          <w:b w:val="false"/>
          <w:i w:val="false"/>
          <w:color w:val="000000"/>
          <w:sz w:val="28"/>
        </w:rPr>
        <w:t xml:space="preserve">
      Инвестиции в сектора, связанные с целями устойчивого развития (инфраструктура, транспортно-логистический комплекс и др.), продолжают расти, особенно в развивающихся странах (+6 %). При этом международные сделки по проектному финансированию в секторе возобновляемой энергетики сократились на 10 % по объему вложений впервые после Парижского соглашения 2015 года. В то же время объем международных финансовых сделок в сфере нефти и газа уменьшился на 20 % до 73 млрд долларов США. </w:t>
      </w:r>
    </w:p>
    <w:bookmarkEnd w:id="23"/>
    <w:bookmarkStart w:name="z35" w:id="24"/>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 тренды в инвестиционной политике</w:t>
      </w:r>
    </w:p>
    <w:bookmarkEnd w:id="24"/>
    <w:bookmarkStart w:name="z36" w:id="25"/>
    <w:p>
      <w:pPr>
        <w:spacing w:after="0"/>
        <w:ind w:left="0"/>
        <w:jc w:val="both"/>
      </w:pPr>
      <w:r>
        <w:rPr>
          <w:rFonts w:ascii="Times New Roman"/>
          <w:b w:val="false"/>
          <w:i w:val="false"/>
          <w:color w:val="000000"/>
          <w:sz w:val="28"/>
        </w:rPr>
        <w:t xml:space="preserve">
      </w:t>
      </w:r>
      <w:r>
        <w:rPr>
          <w:rFonts w:ascii="Times New Roman"/>
          <w:b w:val="false"/>
          <w:i/>
          <w:color w:val="000000"/>
          <w:sz w:val="28"/>
        </w:rPr>
        <w:t>Долгосрочная стагнация ПИИ</w:t>
      </w:r>
    </w:p>
    <w:bookmarkEnd w:id="25"/>
    <w:bookmarkStart w:name="z37" w:id="26"/>
    <w:p>
      <w:pPr>
        <w:spacing w:after="0"/>
        <w:ind w:left="0"/>
        <w:jc w:val="both"/>
      </w:pPr>
      <w:r>
        <w:rPr>
          <w:rFonts w:ascii="Times New Roman"/>
          <w:b w:val="false"/>
          <w:i w:val="false"/>
          <w:color w:val="000000"/>
          <w:sz w:val="28"/>
        </w:rPr>
        <w:t>
      Несмотря на рост мирового ВВП, с начала 2010-х годов объем ПИИ стагнировал из-за реструктуризации глобальных цепочек поставок. Экономическая нестабильность, усиление протекционистских мер и политическая неопределенность в ключевых экономиках снизили уровень доверия инвесторов. Технологические изменения и регуляторные ужесточения усилили неопределенность для иностранных инвесторов. Эти факторы в совокупности привели к тому, что многие компании стали более осторожными в принятии решений об инвестировании за рубежом.</w:t>
      </w:r>
    </w:p>
    <w:bookmarkEnd w:id="26"/>
    <w:bookmarkStart w:name="z38" w:id="27"/>
    <w:p>
      <w:pPr>
        <w:spacing w:after="0"/>
        <w:ind w:left="0"/>
        <w:jc w:val="both"/>
      </w:pPr>
      <w:r>
        <w:rPr>
          <w:rFonts w:ascii="Times New Roman"/>
          <w:b w:val="false"/>
          <w:i w:val="false"/>
          <w:color w:val="000000"/>
          <w:sz w:val="28"/>
        </w:rPr>
        <w:t xml:space="preserve">
      </w:t>
      </w:r>
      <w:r>
        <w:rPr>
          <w:rFonts w:ascii="Times New Roman"/>
          <w:b w:val="false"/>
          <w:i/>
          <w:color w:val="000000"/>
          <w:sz w:val="28"/>
        </w:rPr>
        <w:t>Тенденция к усилению регулирования ПИИ</w:t>
      </w:r>
    </w:p>
    <w:bookmarkEnd w:id="27"/>
    <w:bookmarkStart w:name="z39" w:id="28"/>
    <w:p>
      <w:pPr>
        <w:spacing w:after="0"/>
        <w:ind w:left="0"/>
        <w:jc w:val="both"/>
      </w:pPr>
      <w:r>
        <w:rPr>
          <w:rFonts w:ascii="Times New Roman"/>
          <w:b w:val="false"/>
          <w:i w:val="false"/>
          <w:color w:val="000000"/>
          <w:sz w:val="28"/>
        </w:rPr>
        <w:t xml:space="preserve">
      Необходимость защиты национальных интересов на фоне геополитической и экономической неопределенности привела к ужесточению регулирования ПИИ как в развитых, так и в развивающихся странах. Например, Индия ужесточила правила для иностранных инвестиций в оборонный и космический сектора, требуя предварительного одобрения правительства. Вьетнам внедрил новый Закон "Об инвестициях", усиливающий контроль за иностранными инвестициями в секторах, важных для национальной безопасности, таких как телекоммуникация и высокие технологии. Страны Европейского союза внедрили обязательную проверку инвестиций, представляющих угрозу национальной безопасности или общественному порядку. </w:t>
      </w:r>
    </w:p>
    <w:bookmarkEnd w:id="28"/>
    <w:bookmarkStart w:name="z40" w:id="29"/>
    <w:p>
      <w:pPr>
        <w:spacing w:after="0"/>
        <w:ind w:left="0"/>
        <w:jc w:val="both"/>
      </w:pPr>
      <w:r>
        <w:rPr>
          <w:rFonts w:ascii="Times New Roman"/>
          <w:b w:val="false"/>
          <w:i w:val="false"/>
          <w:color w:val="000000"/>
          <w:sz w:val="28"/>
        </w:rPr>
        <w:t xml:space="preserve">
      </w:t>
      </w:r>
      <w:r>
        <w:rPr>
          <w:rFonts w:ascii="Times New Roman"/>
          <w:b w:val="false"/>
          <w:i/>
          <w:color w:val="000000"/>
          <w:sz w:val="28"/>
        </w:rPr>
        <w:t>Растущая значимость услуг и деглобализация обрабатывающей промышленности</w:t>
      </w:r>
    </w:p>
    <w:bookmarkEnd w:id="29"/>
    <w:bookmarkStart w:name="z41" w:id="30"/>
    <w:p>
      <w:pPr>
        <w:spacing w:after="0"/>
        <w:ind w:left="0"/>
        <w:jc w:val="both"/>
      </w:pPr>
      <w:r>
        <w:rPr>
          <w:rFonts w:ascii="Times New Roman"/>
          <w:b w:val="false"/>
          <w:i w:val="false"/>
          <w:color w:val="000000"/>
          <w:sz w:val="28"/>
        </w:rPr>
        <w:t>
      Удельный вес Greenfield проектов в сфере услуг за 20 лет вырос с 66 % до 81 %, включая инвестиции в традиционные отрасли услуг (банковский сектор, консалтинг, цифровые технологии) и услуги, входящие в основные отрасли производства.</w:t>
      </w:r>
    </w:p>
    <w:bookmarkEnd w:id="30"/>
    <w:bookmarkStart w:name="z42" w:id="31"/>
    <w:p>
      <w:pPr>
        <w:spacing w:after="0"/>
        <w:ind w:left="0"/>
        <w:jc w:val="both"/>
      </w:pPr>
      <w:r>
        <w:rPr>
          <w:rFonts w:ascii="Times New Roman"/>
          <w:b w:val="false"/>
          <w:i w:val="false"/>
          <w:color w:val="000000"/>
          <w:sz w:val="28"/>
        </w:rPr>
        <w:t>
      При этом наблюдается значительный спад количества Greenfield проектов в сфере производства, сократившегося вдвое за последние два десятилетия (с 26 % до 13 %). Также наблюдается снижение Greenfield проектов в других непроизводственных сферах, таких как строительство, электроэнергетика, добыча и инфраструктура.</w:t>
      </w:r>
    </w:p>
    <w:bookmarkEnd w:id="31"/>
    <w:bookmarkStart w:name="z43" w:id="32"/>
    <w:p>
      <w:pPr>
        <w:spacing w:after="0"/>
        <w:ind w:left="0"/>
        <w:jc w:val="both"/>
      </w:pPr>
      <w:r>
        <w:rPr>
          <w:rFonts w:ascii="Times New Roman"/>
          <w:b w:val="false"/>
          <w:i w:val="false"/>
          <w:color w:val="000000"/>
          <w:sz w:val="28"/>
        </w:rPr>
        <w:t>
      Мировая производственная активность остается устойчивой, но ее сокращающаяся доля в ПИИ указывает на тенденцию деглобализации с фокусом на внутренние инвестиции и защиту отечественных инвесторов.</w:t>
      </w:r>
    </w:p>
    <w:bookmarkEnd w:id="32"/>
    <w:bookmarkStart w:name="z44" w:id="33"/>
    <w:p>
      <w:pPr>
        <w:spacing w:after="0"/>
        <w:ind w:left="0"/>
        <w:jc w:val="both"/>
      </w:pPr>
      <w:r>
        <w:rPr>
          <w:rFonts w:ascii="Times New Roman"/>
          <w:b w:val="false"/>
          <w:i w:val="false"/>
          <w:color w:val="000000"/>
          <w:sz w:val="28"/>
        </w:rPr>
        <w:t>
      Зеленые технологии остаются лидерами по объему привлеченных ПИИ. Несмотря на замедление темпов роста инвестиций в возобновляемую энергетику в 2023 году, сектор остается главным получателем мировых инвестиций. В контексте глобальной цели достижения углеродной нейтральности к 2050 году ожидается, что инвестиции в зеленую энергетику достигнут 194,3 трлн долларов США. С 2007 года глобальные инвестиции в зеленую энергетику выросли с 43,8 до 391,6 млрд долларов США, тогда как инвестиции в углеводородное топливо снизились с 315,2 до 94 млрд долларов США.</w:t>
      </w:r>
    </w:p>
    <w:bookmarkEnd w:id="33"/>
    <w:bookmarkStart w:name="z45" w:id="34"/>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экологического, социального регулирования (далее – ESG)</w:t>
      </w:r>
    </w:p>
    <w:bookmarkEnd w:id="34"/>
    <w:bookmarkStart w:name="z46" w:id="35"/>
    <w:p>
      <w:pPr>
        <w:spacing w:after="0"/>
        <w:ind w:left="0"/>
        <w:jc w:val="both"/>
      </w:pPr>
      <w:r>
        <w:rPr>
          <w:rFonts w:ascii="Times New Roman"/>
          <w:b w:val="false"/>
          <w:i w:val="false"/>
          <w:color w:val="000000"/>
          <w:sz w:val="28"/>
        </w:rPr>
        <w:t>
      Растущий акцент на экологических, социальных и управленческих аспектах приводит к развитию новых методик оценки и стандартов отчетности. Вводятся новые регуляторные требования для обеспечения надежности и сопоставимости ESG-данных.</w:t>
      </w:r>
    </w:p>
    <w:bookmarkEnd w:id="35"/>
    <w:bookmarkStart w:name="z47" w:id="36"/>
    <w:p>
      <w:pPr>
        <w:spacing w:after="0"/>
        <w:ind w:left="0"/>
        <w:jc w:val="both"/>
      </w:pPr>
      <w:r>
        <w:rPr>
          <w:rFonts w:ascii="Times New Roman"/>
          <w:b w:val="false"/>
          <w:i w:val="false"/>
          <w:color w:val="000000"/>
          <w:sz w:val="28"/>
        </w:rPr>
        <w:t xml:space="preserve">
      </w:t>
      </w:r>
      <w:r>
        <w:rPr>
          <w:rFonts w:ascii="Times New Roman"/>
          <w:b w:val="false"/>
          <w:i/>
          <w:color w:val="000000"/>
          <w:sz w:val="28"/>
        </w:rPr>
        <w:t>Глобальный корпоративный налог</w:t>
      </w:r>
    </w:p>
    <w:bookmarkEnd w:id="36"/>
    <w:bookmarkStart w:name="z48" w:id="37"/>
    <w:p>
      <w:pPr>
        <w:spacing w:after="0"/>
        <w:ind w:left="0"/>
        <w:jc w:val="both"/>
      </w:pPr>
      <w:r>
        <w:rPr>
          <w:rFonts w:ascii="Times New Roman"/>
          <w:b w:val="false"/>
          <w:i w:val="false"/>
          <w:color w:val="000000"/>
          <w:sz w:val="28"/>
        </w:rPr>
        <w:t>
      С 1 января 2024 года вступил в силу глобальный минимальный налог в размере 15 % для транснациональных компаний с годовым оборотом более 750 миллионов евро в странах Европейского Союза, Великобритании, Норвегии, Австралии, Южной Корее, Японии, Канаде и др. Основная цель введения такого налога – устранение практик трансфертного ценообразования, при которых транснациональные корпорации переводят прибыли в юрисдикции с низкими налоговыми ставками, чтобы минимизировать свои налоговые обязательства.</w:t>
      </w:r>
    </w:p>
    <w:bookmarkEnd w:id="37"/>
    <w:bookmarkStart w:name="z49" w:id="38"/>
    <w:p>
      <w:pPr>
        <w:spacing w:after="0"/>
        <w:ind w:left="0"/>
        <w:jc w:val="both"/>
      </w:pPr>
      <w:r>
        <w:rPr>
          <w:rFonts w:ascii="Times New Roman"/>
          <w:b w:val="false"/>
          <w:i w:val="false"/>
          <w:color w:val="000000"/>
          <w:sz w:val="28"/>
        </w:rPr>
        <w:t>
      Глобальные ПИИ до 2030 года под влиянием различных экономических и геополитических факторов будут расти умеренными темпами. Основные факторы роста будут включать инвестиции в цифровые технологии, возобновляемую энергию и здравоохранение, которые привлекают инвесторов своим долгосрочным потенциалом роста и соответствием глобальным целям устойчивого развития. Ожидается также увеличение "зеленых" инвестиций, особенно в производственных и инфраструктурных секторах.</w:t>
      </w:r>
    </w:p>
    <w:bookmarkEnd w:id="38"/>
    <w:bookmarkStart w:name="z50" w:id="39"/>
    <w:p>
      <w:pPr>
        <w:spacing w:after="0"/>
        <w:ind w:left="0"/>
        <w:jc w:val="both"/>
      </w:pPr>
      <w:r>
        <w:rPr>
          <w:rFonts w:ascii="Times New Roman"/>
          <w:b w:val="false"/>
          <w:i w:val="false"/>
          <w:color w:val="000000"/>
          <w:sz w:val="28"/>
        </w:rPr>
        <w:t xml:space="preserve">
      Региональные различия останутся значительными: развитые экономики, такие как Северная Америка и Западная Европа, будут сохранять свою привлекательность для ПИИ, в то время как развивающиеся рынки в Азии (особенно Китай и Индия) и на Ближнем Востоке будут расти благодаря высоким темпам экономического роста и объемам внутреннего рынка. </w:t>
      </w:r>
    </w:p>
    <w:bookmarkEnd w:id="39"/>
    <w:p>
      <w:pPr>
        <w:spacing w:after="0"/>
        <w:ind w:left="0"/>
        <w:jc w:val="both"/>
      </w:pPr>
      <w:r>
        <w:rPr>
          <w:rFonts w:ascii="Times New Roman"/>
          <w:b/>
          <w:i w:val="false"/>
          <w:color w:val="000000"/>
          <w:sz w:val="28"/>
        </w:rPr>
        <w:t>2.2 Макроэкономический обзор Республики Казахстан</w:t>
      </w:r>
    </w:p>
    <w:bookmarkStart w:name="z52" w:id="40"/>
    <w:p>
      <w:pPr>
        <w:spacing w:after="0"/>
        <w:ind w:left="0"/>
        <w:jc w:val="both"/>
      </w:pPr>
      <w:r>
        <w:rPr>
          <w:rFonts w:ascii="Times New Roman"/>
          <w:b w:val="false"/>
          <w:i w:val="false"/>
          <w:color w:val="000000"/>
          <w:sz w:val="28"/>
        </w:rPr>
        <w:t>
      По данным Бюро национальной статистики Агентства по стратегическому планированию и реформам (далее – БНС) рост ВВП в 2023 году составил 5,1 %, а краткосрочный экономический индикатор за январь-апрель 2024 года – 103,9 %. Согласно прогнозу социально-экономического развития рост ВВП на период с 2025 – 2029 годы составит не менее 6 %. В то же время Национальный Банк Республики Казахстана (далее – НБРК) ожидает рост ВВП на 4-5 % в 2024 - 2025 годах, а в 2026 году до 4,9-5,9 %.</w:t>
      </w:r>
    </w:p>
    <w:bookmarkEnd w:id="40"/>
    <w:bookmarkStart w:name="z53" w:id="41"/>
    <w:p>
      <w:pPr>
        <w:spacing w:after="0"/>
        <w:ind w:left="0"/>
        <w:jc w:val="both"/>
      </w:pPr>
      <w:r>
        <w:rPr>
          <w:rFonts w:ascii="Times New Roman"/>
          <w:b w:val="false"/>
          <w:i w:val="false"/>
          <w:color w:val="000000"/>
          <w:sz w:val="28"/>
        </w:rPr>
        <w:t xml:space="preserve">
      По итогам 2023 года годовая инфляция составила 9,8 % и замедлилась в мае 2024 года до 8,5 %. Учитывая замедление инфляционных тенденций, НБРК трижды понизил ставку с начала 2024 года с 15,8 % до 14,5 %. Ожидается, что средний уровень инфляции в 2024 году составит 8 % и к 2026 году будет постепенно снижаться до целевого показателя НБРК в 5 %. </w:t>
      </w:r>
    </w:p>
    <w:bookmarkEnd w:id="41"/>
    <w:bookmarkStart w:name="z54" w:id="42"/>
    <w:p>
      <w:pPr>
        <w:spacing w:after="0"/>
        <w:ind w:left="0"/>
        <w:jc w:val="both"/>
      </w:pPr>
      <w:r>
        <w:rPr>
          <w:rFonts w:ascii="Times New Roman"/>
          <w:b w:val="false"/>
          <w:i w:val="false"/>
          <w:color w:val="000000"/>
          <w:sz w:val="28"/>
        </w:rPr>
        <w:t>
      Международные агентства прогнозируют умеренный рост ВВП Казахстана в среднесрочной перспективе. Международный валютный фонд предполагает, что в среднесрочной перспективе рост ВВП стабилизируется на уровне около 3,5 % с постепенным снижением инфляции до 5 % к 2025 – 2026 годам. Основные факторы роста включают стабильный внутренний спрос, рост бюджетных расходов и восстановление нефтяного сектора.</w:t>
      </w:r>
    </w:p>
    <w:bookmarkEnd w:id="42"/>
    <w:bookmarkStart w:name="z55" w:id="43"/>
    <w:p>
      <w:pPr>
        <w:spacing w:after="0"/>
        <w:ind w:left="0"/>
        <w:jc w:val="both"/>
      </w:pPr>
      <w:r>
        <w:rPr>
          <w:rFonts w:ascii="Times New Roman"/>
          <w:b w:val="false"/>
          <w:i w:val="false"/>
          <w:color w:val="000000"/>
          <w:sz w:val="28"/>
        </w:rPr>
        <w:t>
      По данным Азиатского банка развития экономика Казахстана вырастет на 3,8 % в 2024 году и на 5,3 % в 2025 году, что обусловлено ростом добычи нефти и активизацией инвестиций в нефтегазовый сектор. В то же время Всемирный банк прогнозирует, что ВВП Казахстана увеличится на 4 % в 2024 году главным образом благодаря расширению добычи нефти.</w:t>
      </w:r>
    </w:p>
    <w:bookmarkEnd w:id="43"/>
    <w:p>
      <w:pPr>
        <w:spacing w:after="0"/>
        <w:ind w:left="0"/>
        <w:jc w:val="both"/>
      </w:pPr>
      <w:r>
        <w:rPr>
          <w:rFonts w:ascii="Times New Roman"/>
          <w:b/>
          <w:i w:val="false"/>
          <w:color w:val="000000"/>
          <w:sz w:val="28"/>
        </w:rPr>
        <w:t>2.3 Текущее положение инвестиционной деятельности</w:t>
      </w:r>
    </w:p>
    <w:bookmarkStart w:name="z57" w:id="44"/>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Инвестиции в основной капитал</w:t>
      </w:r>
    </w:p>
    <w:bookmarkEnd w:id="44"/>
    <w:bookmarkStart w:name="z58" w:id="45"/>
    <w:p>
      <w:pPr>
        <w:spacing w:after="0"/>
        <w:ind w:left="0"/>
        <w:jc w:val="both"/>
      </w:pPr>
      <w:r>
        <w:rPr>
          <w:rFonts w:ascii="Times New Roman"/>
          <w:b w:val="false"/>
          <w:i w:val="false"/>
          <w:color w:val="000000"/>
          <w:sz w:val="28"/>
        </w:rPr>
        <w:t xml:space="preserve">
      Инвестиции в основной капитал (далее – ИОК) за период 2013-2023 гг. выросли в 3 раза – с 6 до 18 трлн тенге (в 2 раза в реальном выражении). При этом доля ИОК к ВВП снизилась на 1,8 п.п. с 16,9 % до 15,1 %. </w:t>
      </w:r>
    </w:p>
    <w:bookmarkEnd w:id="45"/>
    <w:bookmarkStart w:name="z59" w:id="46"/>
    <w:p>
      <w:pPr>
        <w:spacing w:after="0"/>
        <w:ind w:left="0"/>
        <w:jc w:val="both"/>
      </w:pPr>
      <w:r>
        <w:rPr>
          <w:rFonts w:ascii="Times New Roman"/>
          <w:b w:val="false"/>
          <w:i w:val="false"/>
          <w:color w:val="000000"/>
          <w:sz w:val="28"/>
        </w:rPr>
        <w:t xml:space="preserve">
      По данным БНС инвестиции в основной капитал в Казахстане за 2023 год составили 17,6 трлн тенге, что в реальном выражении на 11,2 % больше показателя 2022 года (15,2 трлн тенге). Более чем половина роста инвестиций обеспечена увеличением ИОК в энергетику (+39 %), транспорт и складирование (+40 %), информационно-коммуникационные технологии (далее – ИКТ) (в 2,3 раза), а также здравоохранение (51 %). При этом 34 % инвестиций в транспортной, энергетической отраслях и здравоохранении обеспечиваются государственным бюджетом (1,4 из 4,1 трлн тенге). В сфере ИКТ рост инвестиций можно объяснить вложениями телекоммуникационных компаний в развитие 5G технологий. </w:t>
      </w:r>
    </w:p>
    <w:bookmarkEnd w:id="46"/>
    <w:bookmarkStart w:name="z60" w:id="47"/>
    <w:p>
      <w:pPr>
        <w:spacing w:after="0"/>
        <w:ind w:left="0"/>
        <w:jc w:val="both"/>
      </w:pPr>
      <w:r>
        <w:rPr>
          <w:rFonts w:ascii="Times New Roman"/>
          <w:b w:val="false"/>
          <w:i w:val="false"/>
          <w:color w:val="000000"/>
          <w:sz w:val="28"/>
        </w:rPr>
        <w:t>
      В структуре источников финансирования преобладают собственные средства инвесторов (83,4 %), общий объем которых составляет 14,7 трлн тенге. Объем бюджетных средств составляет 2,9 трлн тенге (16,6 %), удельный вес заемных средств в ИОК – 10,6 % (1,9 трлн тенге), из которых на займы от банков второго уровня приходится лишь 2,5 % (445,3 млрд тенге). За 10 лет удельный вес заемных средств снизился практически в 3 раза – с 31,4 % до 10,6 %, тогда как доля бюджетных средств остается стабильной на уровне 15-16 %.</w:t>
      </w:r>
    </w:p>
    <w:bookmarkEnd w:id="47"/>
    <w:bookmarkStart w:name="z61" w:id="48"/>
    <w:p>
      <w:pPr>
        <w:spacing w:after="0"/>
        <w:ind w:left="0"/>
        <w:jc w:val="both"/>
      </w:pPr>
      <w:r>
        <w:rPr>
          <w:rFonts w:ascii="Times New Roman"/>
          <w:b w:val="false"/>
          <w:i w:val="false"/>
          <w:color w:val="000000"/>
          <w:sz w:val="28"/>
        </w:rPr>
        <w:t xml:space="preserve">
      Доля внутренних инвестиций в общем объеме составляет 81,1 %, внешних – 18,9 %. За 10 лет доля внешних инвестиций сократилась на 14,6 п.п. – с 33,5 % до 18,9 %. Снижение связано с завершением строительства крупных нефтегазовых проектов в западных регионах. </w:t>
      </w:r>
    </w:p>
    <w:bookmarkEnd w:id="48"/>
    <w:bookmarkStart w:name="z62" w:id="49"/>
    <w:p>
      <w:pPr>
        <w:spacing w:after="0"/>
        <w:ind w:left="0"/>
        <w:jc w:val="both"/>
      </w:pPr>
      <w:r>
        <w:rPr>
          <w:rFonts w:ascii="Times New Roman"/>
          <w:b w:val="false"/>
          <w:i w:val="false"/>
          <w:color w:val="000000"/>
          <w:sz w:val="28"/>
        </w:rPr>
        <w:t xml:space="preserve">
      В отраслевом разрезе 45,7 % инвестиций приходятся на промышленность с объемом 8,2 трлн тенге, в том числе 4,8 трлн тенге на горнодобывающую промышленность. Обрабатывающая промышленность сохраняет незначительную долю в общем объеме инвестиций в промышленность – 9,3 % или 1,7 трлн тенге (2013 г. – 11,4 %). </w:t>
      </w:r>
    </w:p>
    <w:bookmarkEnd w:id="49"/>
    <w:bookmarkStart w:name="z63" w:id="50"/>
    <w:p>
      <w:pPr>
        <w:spacing w:after="0"/>
        <w:ind w:left="0"/>
        <w:jc w:val="both"/>
      </w:pPr>
      <w:r>
        <w:rPr>
          <w:rFonts w:ascii="Times New Roman"/>
          <w:b w:val="false"/>
          <w:i w:val="false"/>
          <w:color w:val="000000"/>
          <w:sz w:val="28"/>
        </w:rPr>
        <w:t xml:space="preserve">
      В 2023 году сектор транспорта и складирования в Казахстане продемонстрировал рекордный приток ИОК в номинальном выражении, достигнувший 2,5 трлн тенге, что на 40,3 % превышает показатели 2022 года. Рост инвестиций объясняется завершением трҰх крупных проектов: "БАКАД", "Кандыагаш – Макат" и "Ушарал – Достык". </w:t>
      </w:r>
    </w:p>
    <w:bookmarkEnd w:id="50"/>
    <w:bookmarkStart w:name="z64" w:id="51"/>
    <w:p>
      <w:pPr>
        <w:spacing w:after="0"/>
        <w:ind w:left="0"/>
        <w:jc w:val="both"/>
      </w:pPr>
      <w:r>
        <w:rPr>
          <w:rFonts w:ascii="Times New Roman"/>
          <w:b w:val="false"/>
          <w:i w:val="false"/>
          <w:color w:val="000000"/>
          <w:sz w:val="28"/>
        </w:rPr>
        <w:t xml:space="preserve">
      В региональном разрезе Атырауская область традиционно лидирует по объему инвестиций, занимая 17,3 % (3,1 трлн тенге) от республиканского объема ИОК. За ней следуют города Алматы с 10 % (1,8 трлн тенге) и Астана с 9 % (1,63 трлн тенге). Остальные регионы имеют незначительную долю в республиканском объеме инвестиций, в среднем 3,7 %. </w:t>
      </w:r>
    </w:p>
    <w:bookmarkEnd w:id="51"/>
    <w:bookmarkStart w:name="z65" w:id="52"/>
    <w:p>
      <w:pPr>
        <w:spacing w:after="0"/>
        <w:ind w:left="0"/>
        <w:jc w:val="both"/>
      </w:pPr>
      <w:r>
        <w:rPr>
          <w:rFonts w:ascii="Times New Roman"/>
          <w:b w:val="false"/>
          <w:i w:val="false"/>
          <w:color w:val="000000"/>
          <w:sz w:val="28"/>
        </w:rPr>
        <w:t>
      Вышеизложенный анализ инвестиций в основной капитал выявляет ключевые тенденции: снижение доли ИОК к ВВП, уменьшение доли внешних инвестиций, низкий уровень участия банков второго уровня (далее – БВУ) в кредитовании основных фондов, сырьевая направленность и слабая региональная диверсификация.</w:t>
      </w:r>
    </w:p>
    <w:bookmarkEnd w:id="52"/>
    <w:bookmarkStart w:name="z66" w:id="53"/>
    <w:p>
      <w:pPr>
        <w:spacing w:after="0"/>
        <w:ind w:left="0"/>
        <w:jc w:val="both"/>
      </w:pPr>
      <w:r>
        <w:rPr>
          <w:rFonts w:ascii="Times New Roman"/>
          <w:b w:val="false"/>
          <w:i w:val="false"/>
          <w:color w:val="000000"/>
          <w:sz w:val="28"/>
        </w:rPr>
        <w:t>
      Согласно расчетам для достижения целевого показателя по ИОК (23 % от ВВП) необходимо привлечь 209,2 трлн тенге инвестиций в основной капитал за 6 лет (2024 – 2029 годы). При этом с учетом развития основных отраслей экономики, прогнозов цен на нефть и планов по строительству жилья прогнозируется, что объем ИОК за 2024 – 2029 годы составит порядка 141 трлн тенге. Таким образом, для достижения данной цели требуется дополнительно привлечь около 68,2 трлн тенге.</w:t>
      </w:r>
    </w:p>
    <w:bookmarkEnd w:id="53"/>
    <w:bookmarkStart w:name="z67" w:id="54"/>
    <w:p>
      <w:pPr>
        <w:spacing w:after="0"/>
        <w:ind w:left="0"/>
        <w:jc w:val="both"/>
      </w:pPr>
      <w:r>
        <w:rPr>
          <w:rFonts w:ascii="Times New Roman"/>
          <w:b w:val="false"/>
          <w:i w:val="false"/>
          <w:color w:val="000000"/>
          <w:sz w:val="28"/>
        </w:rPr>
        <w:t xml:space="preserve">
      </w:t>
      </w:r>
      <w:r>
        <w:rPr>
          <w:rFonts w:ascii="Times New Roman"/>
          <w:b/>
          <w:i w:val="false"/>
          <w:color w:val="000000"/>
          <w:sz w:val="28"/>
        </w:rPr>
        <w:t>Валовой и чистый приток прямых иностранных инвестиций</w:t>
      </w:r>
    </w:p>
    <w:bookmarkEnd w:id="54"/>
    <w:bookmarkStart w:name="z68" w:id="55"/>
    <w:p>
      <w:pPr>
        <w:spacing w:after="0"/>
        <w:ind w:left="0"/>
        <w:jc w:val="both"/>
      </w:pPr>
      <w:r>
        <w:rPr>
          <w:rFonts w:ascii="Times New Roman"/>
          <w:b w:val="false"/>
          <w:i w:val="false"/>
          <w:color w:val="000000"/>
          <w:sz w:val="28"/>
        </w:rPr>
        <w:t>
      Согласно данным НБРК валовой приток ПИИ в экономику Казахстана с 2013 по 2023 годы составил порядка 246,9 млрд долларов США, из них 102,5 млрд долларов США приходится на горнодобывающую промышленность (в т.ч. 83,7 млрд долларов США на нефтегазовую отрасль).</w:t>
      </w:r>
    </w:p>
    <w:bookmarkEnd w:id="55"/>
    <w:bookmarkStart w:name="z69" w:id="56"/>
    <w:p>
      <w:pPr>
        <w:spacing w:after="0"/>
        <w:ind w:left="0"/>
        <w:jc w:val="both"/>
      </w:pPr>
      <w:r>
        <w:rPr>
          <w:rFonts w:ascii="Times New Roman"/>
          <w:b w:val="false"/>
          <w:i w:val="false"/>
          <w:color w:val="000000"/>
          <w:sz w:val="28"/>
        </w:rPr>
        <w:t>
      В 2023 году валовой приток ПИИ составил 23,4 млрд долларов США, что на 16,9 % меньше уровня 2022 года. Чистый приток ПИИ снизился в 2 раза – с 6,5 до 3,2 млрд долларов США.</w:t>
      </w:r>
    </w:p>
    <w:bookmarkEnd w:id="56"/>
    <w:bookmarkStart w:name="z70" w:id="57"/>
    <w:p>
      <w:pPr>
        <w:spacing w:after="0"/>
        <w:ind w:left="0"/>
        <w:jc w:val="both"/>
      </w:pPr>
      <w:r>
        <w:rPr>
          <w:rFonts w:ascii="Times New Roman"/>
          <w:b w:val="false"/>
          <w:i w:val="false"/>
          <w:color w:val="000000"/>
          <w:sz w:val="28"/>
        </w:rPr>
        <w:t xml:space="preserve">
      Преобладающая доля снижения притока ПИИ в 2023 году приходится на горнодобывающую промышленность. Это объясняется, главным образом, сокращением чистой прибыли казахстанских предприятий из-за снижения цен на нефть, а также выплатой дивидендов, приходящихся на долю иностранных инвесторов. Валовой приток ПИИ в горнодобывающую промышленность за год уменьшился на 30,3 % до 8,4 млрд долларов США, при этом чистый приток ПИИ сократился с 4,1 млрд долларов США в 2022 году до 31,2 млн долларов США. </w:t>
      </w:r>
    </w:p>
    <w:bookmarkEnd w:id="57"/>
    <w:bookmarkStart w:name="z71" w:id="58"/>
    <w:p>
      <w:pPr>
        <w:spacing w:after="0"/>
        <w:ind w:left="0"/>
        <w:jc w:val="both"/>
      </w:pPr>
      <w:r>
        <w:rPr>
          <w:rFonts w:ascii="Times New Roman"/>
          <w:b w:val="false"/>
          <w:i w:val="false"/>
          <w:color w:val="000000"/>
          <w:sz w:val="28"/>
        </w:rPr>
        <w:t>
      Объем капиталовложений в металлургическую промышленность продолжает снижаться: валовой приток ПИИ уменьшился с 4,2 до 2,8 млрд долларов США. Чистый приток ПИИ в отрасль за 2022 и 2023 годы оставался отрицательным, составив -534,1 и -30 млн долларов США соответственно.</w:t>
      </w:r>
    </w:p>
    <w:bookmarkEnd w:id="58"/>
    <w:bookmarkStart w:name="z72" w:id="59"/>
    <w:p>
      <w:pPr>
        <w:spacing w:after="0"/>
        <w:ind w:left="0"/>
        <w:jc w:val="both"/>
      </w:pPr>
      <w:r>
        <w:rPr>
          <w:rFonts w:ascii="Times New Roman"/>
          <w:b w:val="false"/>
          <w:i w:val="false"/>
          <w:color w:val="000000"/>
          <w:sz w:val="28"/>
        </w:rPr>
        <w:t>
      Обрабатывающая промышленность (исключая металлургию) стала новым локомотивом притока иностранного капитала. Валовой приток ПИИ в эту отрасль увеличился на 87,6 % по сравнению с 2022 годом, достигнув рекордных 2,6 млрд долларов США. Увеличение обусловлено ростом инвестиций в производство пищевых продуктов (в 2,8 раза), резиновых и пластмассовых изделий (в 1,6 раза), машин и оборудования (в 2,5 раза), транспортных средств (в 4 раза), а также химическую промышленность (в 2 раза). Чистый приток ПИИ в обрабатывающую промышленность за год удвоился с 0,7 до 1,5 млрд долларов США.</w:t>
      </w:r>
    </w:p>
    <w:bookmarkEnd w:id="59"/>
    <w:bookmarkStart w:name="z73" w:id="60"/>
    <w:p>
      <w:pPr>
        <w:spacing w:after="0"/>
        <w:ind w:left="0"/>
        <w:jc w:val="both"/>
      </w:pPr>
      <w:r>
        <w:rPr>
          <w:rFonts w:ascii="Times New Roman"/>
          <w:b w:val="false"/>
          <w:i w:val="false"/>
          <w:color w:val="000000"/>
          <w:sz w:val="28"/>
        </w:rPr>
        <w:t>
      Согласно поручению Главы государства планируется привлечь 150 млрд долларов США иностранных инвестиций до 2029 года (валовой приток) (пункт 34 Плана действий по реализации предвыборной программы Президента Республики Казахстан "Справедливый Казахстан – для всех и для каждого. Сейчас и навсегда").</w:t>
      </w:r>
    </w:p>
    <w:bookmarkEnd w:id="60"/>
    <w:p>
      <w:pPr>
        <w:spacing w:after="0"/>
        <w:ind w:left="0"/>
        <w:jc w:val="both"/>
      </w:pPr>
      <w:r>
        <w:rPr>
          <w:rFonts w:ascii="Times New Roman"/>
          <w:b/>
          <w:i w:val="false"/>
          <w:color w:val="000000"/>
          <w:sz w:val="28"/>
        </w:rPr>
        <w:t>2.4 Текущее положение системы привлечения инвестиций</w:t>
      </w:r>
    </w:p>
    <w:bookmarkStart w:name="z75" w:id="61"/>
    <w:p>
      <w:pPr>
        <w:spacing w:after="0"/>
        <w:ind w:left="0"/>
        <w:jc w:val="both"/>
      </w:pPr>
      <w:r>
        <w:rPr>
          <w:rFonts w:ascii="Times New Roman"/>
          <w:b w:val="false"/>
          <w:i w:val="false"/>
          <w:color w:val="000000"/>
          <w:sz w:val="28"/>
        </w:rPr>
        <w:t xml:space="preserve">
      </w:t>
      </w:r>
      <w:r>
        <w:rPr>
          <w:rFonts w:ascii="Times New Roman"/>
          <w:b/>
          <w:i w:val="false"/>
          <w:color w:val="000000"/>
          <w:sz w:val="28"/>
        </w:rPr>
        <w:t>Законодательная база</w:t>
      </w:r>
    </w:p>
    <w:bookmarkEnd w:id="61"/>
    <w:bookmarkStart w:name="z76" w:id="62"/>
    <w:p>
      <w:pPr>
        <w:spacing w:after="0"/>
        <w:ind w:left="0"/>
        <w:jc w:val="both"/>
      </w:pPr>
      <w:r>
        <w:rPr>
          <w:rFonts w:ascii="Times New Roman"/>
          <w:b w:val="false"/>
          <w:i w:val="false"/>
          <w:color w:val="000000"/>
          <w:sz w:val="28"/>
        </w:rPr>
        <w:t xml:space="preserve">
      Основными нормативными правовыми актами (далее – НПА), регулирующими инвестиционную деятельность, являются Предпринимательский и Налоговый кодексы, а также другие отраслевые НПА. </w:t>
      </w:r>
    </w:p>
    <w:bookmarkEnd w:id="62"/>
    <w:bookmarkStart w:name="z77" w:id="63"/>
    <w:p>
      <w:pPr>
        <w:spacing w:after="0"/>
        <w:ind w:left="0"/>
        <w:jc w:val="both"/>
      </w:pPr>
      <w:r>
        <w:rPr>
          <w:rFonts w:ascii="Times New Roman"/>
          <w:b w:val="false"/>
          <w:i w:val="false"/>
          <w:color w:val="000000"/>
          <w:sz w:val="28"/>
        </w:rPr>
        <w:t>
      Законодательством гарантируется равное отношение к иностранным и местным инвесторам. Все меры поддержки, предусмотренные инвестиционной политикой, одинаково распространяются на всех участников рынка. Это включает в себя доступ к финансированию, налоговые льготы, юридическую защиту и другие меры поддержки, направленные на улучшение инвестиционного климата и привлечение капитала.</w:t>
      </w:r>
    </w:p>
    <w:bookmarkEnd w:id="63"/>
    <w:bookmarkStart w:name="z78" w:id="64"/>
    <w:p>
      <w:pPr>
        <w:spacing w:after="0"/>
        <w:ind w:left="0"/>
        <w:jc w:val="both"/>
      </w:pPr>
      <w:r>
        <w:rPr>
          <w:rFonts w:ascii="Times New Roman"/>
          <w:b w:val="false"/>
          <w:i w:val="false"/>
          <w:color w:val="000000"/>
          <w:sz w:val="28"/>
        </w:rPr>
        <w:t xml:space="preserve">
      </w:t>
      </w:r>
      <w:r>
        <w:rPr>
          <w:rFonts w:ascii="Times New Roman"/>
          <w:b/>
          <w:i w:val="false"/>
          <w:color w:val="000000"/>
          <w:sz w:val="28"/>
        </w:rPr>
        <w:t>Институциональная база</w:t>
      </w:r>
    </w:p>
    <w:bookmarkEnd w:id="64"/>
    <w:bookmarkStart w:name="z79" w:id="65"/>
    <w:p>
      <w:pPr>
        <w:spacing w:after="0"/>
        <w:ind w:left="0"/>
        <w:jc w:val="both"/>
      </w:pPr>
      <w:r>
        <w:rPr>
          <w:rFonts w:ascii="Times New Roman"/>
          <w:b w:val="false"/>
          <w:i w:val="false"/>
          <w:color w:val="000000"/>
          <w:sz w:val="28"/>
        </w:rPr>
        <w:t xml:space="preserve">
      Институциональная база процесса привлечения инвестиций обеспечивается в рамках трехуровневой системы. Внешний уровень – загранучреждения Республики Казахстан и зарубежные представители национальной компании по привлечению инвестиций. Центральный уровень – это центральные государственные органы и субъекты квазигосударственного сектора. Региональный уровень – местные исполнительные органы. </w:t>
      </w:r>
    </w:p>
    <w:bookmarkEnd w:id="65"/>
    <w:bookmarkStart w:name="z80" w:id="66"/>
    <w:p>
      <w:pPr>
        <w:spacing w:after="0"/>
        <w:ind w:left="0"/>
        <w:jc w:val="both"/>
      </w:pPr>
      <w:r>
        <w:rPr>
          <w:rFonts w:ascii="Times New Roman"/>
          <w:b w:val="false"/>
          <w:i w:val="false"/>
          <w:color w:val="000000"/>
          <w:sz w:val="28"/>
        </w:rPr>
        <w:t xml:space="preserve">
      Субъекты внешнего уровня системы привлечения инвестиций занимаются поиском потенциальных инвесторов, первичной консультацией и презентацией инвестиционных предложений. Для эффективной работы внешнего уровня системы действуют страновые инвестиционные программы (далее – СИП). </w:t>
      </w:r>
    </w:p>
    <w:bookmarkEnd w:id="66"/>
    <w:bookmarkStart w:name="z81" w:id="67"/>
    <w:p>
      <w:pPr>
        <w:spacing w:after="0"/>
        <w:ind w:left="0"/>
        <w:jc w:val="both"/>
      </w:pPr>
      <w:r>
        <w:rPr>
          <w:rFonts w:ascii="Times New Roman"/>
          <w:b w:val="false"/>
          <w:i w:val="false"/>
          <w:color w:val="000000"/>
          <w:sz w:val="28"/>
        </w:rPr>
        <w:t>
      Центральный уровень системы привлечения инвестиций отвечает за поиск потенциальных инвесторов, детальную консультацию и ведение переговоров с инвесторами. Также центральные государственные органы заключают соглашения, связанные с инвестиционной деятельностью, и занимаются предоставлением разрешительных документов.</w:t>
      </w:r>
    </w:p>
    <w:bookmarkEnd w:id="67"/>
    <w:bookmarkStart w:name="z82" w:id="68"/>
    <w:p>
      <w:pPr>
        <w:spacing w:after="0"/>
        <w:ind w:left="0"/>
        <w:jc w:val="both"/>
      </w:pPr>
      <w:r>
        <w:rPr>
          <w:rFonts w:ascii="Times New Roman"/>
          <w:b w:val="false"/>
          <w:i w:val="false"/>
          <w:color w:val="000000"/>
          <w:sz w:val="28"/>
        </w:rPr>
        <w:t xml:space="preserve">
      Местные исполнительные органы, как третий уровень привлечения инвестиций, должны отвечать за реализацию инвестиционного проекта и сопровождение после заключения инвестиционного соглашения (предоставление земельных участков, государственных натурных грантов, подведение инфраструктуры и др.). </w:t>
      </w:r>
    </w:p>
    <w:bookmarkEnd w:id="68"/>
    <w:bookmarkStart w:name="z83" w:id="69"/>
    <w:p>
      <w:pPr>
        <w:spacing w:after="0"/>
        <w:ind w:left="0"/>
        <w:jc w:val="both"/>
      </w:pPr>
      <w:r>
        <w:rPr>
          <w:rFonts w:ascii="Times New Roman"/>
          <w:b w:val="false"/>
          <w:i w:val="false"/>
          <w:color w:val="000000"/>
          <w:sz w:val="28"/>
        </w:rPr>
        <w:t>
      Таким образом, в процессы привлечения и сопровождения инвестиций вовлечено большое количество государственных органов и субъектов квазигосударственного сектора на центральном и региональном уровнях. Однако наблюдается отсутствие четкого разграничения полномочий и последовательности действий между участниками процесса. В этой связи инвесторы зачастую сталкиваются с чрезмерной бюрократией и административными издержками.</w:t>
      </w:r>
    </w:p>
    <w:bookmarkEnd w:id="69"/>
    <w:bookmarkStart w:name="z84" w:id="70"/>
    <w:p>
      <w:pPr>
        <w:spacing w:after="0"/>
        <w:ind w:left="0"/>
        <w:jc w:val="both"/>
      </w:pPr>
      <w:r>
        <w:rPr>
          <w:rFonts w:ascii="Times New Roman"/>
          <w:b w:val="false"/>
          <w:i w:val="false"/>
          <w:color w:val="000000"/>
          <w:sz w:val="28"/>
        </w:rPr>
        <w:t>
      Также функционирует несколько институтов и механизмов, которые охватывают все уровни системы привлечения инвестиций: Совет по привлечению инвестиций (далее – Инвестиционный штаб), Национальный центр по инвестиционной деятельности, Инвестиционный омбудсмен и механизм прокурорской защиты.</w:t>
      </w:r>
    </w:p>
    <w:bookmarkEnd w:id="70"/>
    <w:bookmarkStart w:name="z85" w:id="71"/>
    <w:p>
      <w:pPr>
        <w:spacing w:after="0"/>
        <w:ind w:left="0"/>
        <w:jc w:val="both"/>
      </w:pPr>
      <w:r>
        <w:rPr>
          <w:rFonts w:ascii="Times New Roman"/>
          <w:b w:val="false"/>
          <w:i w:val="false"/>
          <w:color w:val="000000"/>
          <w:sz w:val="28"/>
        </w:rPr>
        <w:t xml:space="preserve">
      Инвестиционный штаб занимается решением основных проблемных вопросов инвестиционных проектов на уровне руководства Правительства. Более того, в декабре 2023 года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повышению эффективности работы по привлечению инвестиций в экономику страны", согласно которому Инвестиционный штаб получил право принимать обязательные для исполнения протокольные решения и разрабатывать временные постановления Правительства Республики Казахстан, имеющие силу закона. </w:t>
      </w:r>
    </w:p>
    <w:bookmarkEnd w:id="71"/>
    <w:bookmarkStart w:name="z86" w:id="72"/>
    <w:p>
      <w:pPr>
        <w:spacing w:after="0"/>
        <w:ind w:left="0"/>
        <w:jc w:val="both"/>
      </w:pPr>
      <w:r>
        <w:rPr>
          <w:rFonts w:ascii="Times New Roman"/>
          <w:b w:val="false"/>
          <w:i w:val="false"/>
          <w:color w:val="000000"/>
          <w:sz w:val="28"/>
        </w:rPr>
        <w:t xml:space="preserve">
      Инвестиционный штаб рассматривает ежегодные ключевые показатели эффективности (KPI) по обеспечению инвестиций в основной капитал и привлечению прямых иностранных инвестиций, которые декомпозируются по отраслевым министерствам и регионам. Налажено взаимодействие отраслевых министерств и акиматов с заграничными государственными учреждениями для формирования "заказов" на привлечение инвестиций. Также проводится системная работа по выявлению необходимых законодательных изменений. </w:t>
      </w:r>
    </w:p>
    <w:bookmarkEnd w:id="72"/>
    <w:bookmarkStart w:name="z87" w:id="73"/>
    <w:p>
      <w:pPr>
        <w:spacing w:after="0"/>
        <w:ind w:left="0"/>
        <w:jc w:val="both"/>
      </w:pPr>
      <w:r>
        <w:rPr>
          <w:rFonts w:ascii="Times New Roman"/>
          <w:b w:val="false"/>
          <w:i w:val="false"/>
          <w:color w:val="000000"/>
          <w:sz w:val="28"/>
        </w:rPr>
        <w:t xml:space="preserve">
      Для улучшения инвестиционного климата в Казахстане создан Национальный центр по инвестиционной деятельности (далее – НЦИД), который функционирует в формате матричной структуры на базе структурного подразделения Аппарата Правительства Республики Казахстан с привлечением иных структурных подразделений государственных органов и квазигосударственных организаций, в том числе Секретариата Инвестиционного штаба, уполномоченного органа по инвестиционной политике, уполномоченного органа по проектному управлению, Президентского проектного офиса, национальной компании по привлечению инвестиций, региональных координационных советов городов республиканского значения и областей и др. </w:t>
      </w:r>
    </w:p>
    <w:bookmarkEnd w:id="73"/>
    <w:bookmarkStart w:name="z88" w:id="74"/>
    <w:p>
      <w:pPr>
        <w:spacing w:after="0"/>
        <w:ind w:left="0"/>
        <w:jc w:val="both"/>
      </w:pPr>
      <w:r>
        <w:rPr>
          <w:rFonts w:ascii="Times New Roman"/>
          <w:b w:val="false"/>
          <w:i w:val="false"/>
          <w:color w:val="000000"/>
          <w:sz w:val="28"/>
        </w:rPr>
        <w:t>
      НЦИД занимается организацией деятельности Секретариата Инвестиционного штаба, разрабатывает предложения по совершенствованию регуляторной политики, сопровождает и мониторит реализацию инвестиционных проектов, осуществляет межотраслевую координацию, а также вырабатывает предложения по совершенствованию бизнес-процессов государственных органов, предоставляющих государственные услуги инвесторам.</w:t>
      </w:r>
    </w:p>
    <w:bookmarkEnd w:id="74"/>
    <w:bookmarkStart w:name="z89" w:id="75"/>
    <w:p>
      <w:pPr>
        <w:spacing w:after="0"/>
        <w:ind w:left="0"/>
        <w:jc w:val="both"/>
      </w:pPr>
      <w:r>
        <w:rPr>
          <w:rFonts w:ascii="Times New Roman"/>
          <w:b w:val="false"/>
          <w:i w:val="false"/>
          <w:color w:val="000000"/>
          <w:sz w:val="28"/>
        </w:rPr>
        <w:t>
      Общее руководство деятельностью НЦИД осуществляет Первый заместитель Премьер-Министра Республики Казахстан. Он определяет приоритетные направления деятельности НЦИД, регулярно заслушивает отчет о ходе работы НЦИД и дает поручения НЦИД по вопросам, входящим в его компетенцию.</w:t>
      </w:r>
    </w:p>
    <w:bookmarkEnd w:id="75"/>
    <w:bookmarkStart w:name="z90" w:id="76"/>
    <w:p>
      <w:pPr>
        <w:spacing w:after="0"/>
        <w:ind w:left="0"/>
        <w:jc w:val="both"/>
      </w:pPr>
      <w:r>
        <w:rPr>
          <w:rFonts w:ascii="Times New Roman"/>
          <w:b w:val="false"/>
          <w:i w:val="false"/>
          <w:color w:val="000000"/>
          <w:sz w:val="28"/>
        </w:rPr>
        <w:t>
      С 2014 года действует институт Инвестиционного омбудсмена, который рассматривает обращения иностранных и местных инвесторов, содействует в решении инвестиционных споров и вырабатывает рекомендации по совершенствованию законодательства. Инвестиционным омбудсменом является Премьер-Министр Республики Казахстан.</w:t>
      </w:r>
    </w:p>
    <w:bookmarkEnd w:id="76"/>
    <w:bookmarkStart w:name="z91" w:id="77"/>
    <w:p>
      <w:pPr>
        <w:spacing w:after="0"/>
        <w:ind w:left="0"/>
        <w:jc w:val="both"/>
      </w:pPr>
      <w:r>
        <w:rPr>
          <w:rFonts w:ascii="Times New Roman"/>
          <w:b w:val="false"/>
          <w:i w:val="false"/>
          <w:color w:val="000000"/>
          <w:sz w:val="28"/>
        </w:rPr>
        <w:t>
      Органы прокуратуры по поручению Главы государства выполняют функции по защите прав инвесторов и сопровождению крупных инвестиционных проектов.</w:t>
      </w:r>
    </w:p>
    <w:bookmarkEnd w:id="77"/>
    <w:bookmarkStart w:name="z92" w:id="78"/>
    <w:p>
      <w:pPr>
        <w:spacing w:after="0"/>
        <w:ind w:left="0"/>
        <w:jc w:val="both"/>
      </w:pPr>
      <w:r>
        <w:rPr>
          <w:rFonts w:ascii="Times New Roman"/>
          <w:b w:val="false"/>
          <w:i w:val="false"/>
          <w:color w:val="000000"/>
          <w:sz w:val="28"/>
        </w:rPr>
        <w:t xml:space="preserve">
      </w:t>
      </w:r>
      <w:r>
        <w:rPr>
          <w:rFonts w:ascii="Times New Roman"/>
          <w:b/>
          <w:i w:val="false"/>
          <w:color w:val="000000"/>
          <w:sz w:val="28"/>
        </w:rPr>
        <w:t>Взаимодействие с бизнес-сообществом</w:t>
      </w:r>
    </w:p>
    <w:bookmarkEnd w:id="78"/>
    <w:bookmarkStart w:name="z93" w:id="79"/>
    <w:p>
      <w:pPr>
        <w:spacing w:after="0"/>
        <w:ind w:left="0"/>
        <w:jc w:val="both"/>
      </w:pPr>
      <w:r>
        <w:rPr>
          <w:rFonts w:ascii="Times New Roman"/>
          <w:b w:val="false"/>
          <w:i w:val="false"/>
          <w:color w:val="000000"/>
          <w:sz w:val="28"/>
        </w:rPr>
        <w:t xml:space="preserve">
      На постоянной основе ведется работа по взаимодействию с бизнес-сообществом в рамках инвестиционной деятельности. Налажены эффективные коммуникации с Национальной палатой предпринимателей Республики Казахстан "Атамекен" (далее – НПП "Атамекен"), отраслевыми ассоциациями, а также представителями зарубежного бизнес-сообщества: ассоциацией "Казахстанский Совет иностранных инвесторов", Американской торговой палатой, Европейской бизнес-ассоциацией Казахстана и др. </w:t>
      </w:r>
    </w:p>
    <w:bookmarkEnd w:id="79"/>
    <w:bookmarkStart w:name="z94" w:id="80"/>
    <w:p>
      <w:pPr>
        <w:spacing w:after="0"/>
        <w:ind w:left="0"/>
        <w:jc w:val="both"/>
      </w:pPr>
      <w:r>
        <w:rPr>
          <w:rFonts w:ascii="Times New Roman"/>
          <w:b w:val="false"/>
          <w:i w:val="false"/>
          <w:color w:val="000000"/>
          <w:sz w:val="28"/>
        </w:rPr>
        <w:t xml:space="preserve">
      По поручению Инвестиционного штаба с начала 2024 года национальной компанией по привлечению инвестиций проведен ряд акселераций по улучшению инвестиционного климата и выявлению барьеров, препятствующих реализации инвестиционных проектов в различных отраслях экономики с участием руководителей отраслевых государственных и квазигосударственных органов, а также представителей бизнес-сообщества. </w:t>
      </w:r>
    </w:p>
    <w:bookmarkEnd w:id="80"/>
    <w:bookmarkStart w:name="z95" w:id="81"/>
    <w:p>
      <w:pPr>
        <w:spacing w:after="0"/>
        <w:ind w:left="0"/>
        <w:jc w:val="both"/>
      </w:pPr>
      <w:r>
        <w:rPr>
          <w:rFonts w:ascii="Times New Roman"/>
          <w:b w:val="false"/>
          <w:i w:val="false"/>
          <w:color w:val="000000"/>
          <w:sz w:val="28"/>
        </w:rPr>
        <w:t>
      На текущий момент проведен ряд акселераций по таким отраслям, как машиностроение, электроэнергетика, транспорт-логистика, фармацевтика и здравоохранение, агропромышленный комплекс (далее – АПК).</w:t>
      </w:r>
    </w:p>
    <w:bookmarkEnd w:id="81"/>
    <w:bookmarkStart w:name="z96" w:id="82"/>
    <w:p>
      <w:pPr>
        <w:spacing w:after="0"/>
        <w:ind w:left="0"/>
        <w:jc w:val="both"/>
      </w:pPr>
      <w:r>
        <w:rPr>
          <w:rFonts w:ascii="Times New Roman"/>
          <w:b w:val="false"/>
          <w:i w:val="false"/>
          <w:color w:val="000000"/>
          <w:sz w:val="28"/>
        </w:rPr>
        <w:t>
      По результатам акселераций выявлены системные и точечные проблемные вопросы инвесторов, которые были оцифрованы и направлены на рассмотрение Инвестиционного штаба, Аппарата Правительства Республики Казахстан, а также в отраслевые министерства для принятия дальнейших мер.</w:t>
      </w:r>
    </w:p>
    <w:bookmarkEnd w:id="82"/>
    <w:bookmarkStart w:name="z97" w:id="83"/>
    <w:p>
      <w:pPr>
        <w:spacing w:after="0"/>
        <w:ind w:left="0"/>
        <w:jc w:val="both"/>
      </w:pPr>
      <w:r>
        <w:rPr>
          <w:rFonts w:ascii="Times New Roman"/>
          <w:b w:val="false"/>
          <w:i w:val="false"/>
          <w:color w:val="000000"/>
          <w:sz w:val="28"/>
        </w:rPr>
        <w:t>
      Работа в данном направлении будет продолжена.</w:t>
      </w:r>
    </w:p>
    <w:bookmarkEnd w:id="83"/>
    <w:bookmarkStart w:name="z98" w:id="8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"зеленого коридора"</w:t>
      </w:r>
      <w:r>
        <w:rPr>
          <w:rFonts w:ascii="Times New Roman"/>
          <w:b w:val="false"/>
          <w:i w:val="false"/>
          <w:color w:val="000000"/>
          <w:sz w:val="28"/>
        </w:rPr>
        <w:t>.</w:t>
      </w:r>
    </w:p>
    <w:bookmarkEnd w:id="84"/>
    <w:bookmarkStart w:name="z99" w:id="85"/>
    <w:p>
      <w:pPr>
        <w:spacing w:after="0"/>
        <w:ind w:left="0"/>
        <w:jc w:val="both"/>
      </w:pPr>
      <w:r>
        <w:rPr>
          <w:rFonts w:ascii="Times New Roman"/>
          <w:b w:val="false"/>
          <w:i w:val="false"/>
          <w:color w:val="000000"/>
          <w:sz w:val="28"/>
        </w:rPr>
        <w:t xml:space="preserve">
      На сегодняшний день протокольным решением Инвестиционного штаба принята методика включения инвестиционных проектов в "зеленый коридор". Методика включает в себя такие критерии, как: объем инвестиций, технологичность проекта, присутствие инвестора в Fortune Global 2000, листинг на международных биржах и создание рабочих мест. </w:t>
      </w:r>
    </w:p>
    <w:bookmarkEnd w:id="85"/>
    <w:bookmarkStart w:name="z100" w:id="86"/>
    <w:p>
      <w:pPr>
        <w:spacing w:after="0"/>
        <w:ind w:left="0"/>
        <w:jc w:val="both"/>
      </w:pPr>
      <w:r>
        <w:rPr>
          <w:rFonts w:ascii="Times New Roman"/>
          <w:b w:val="false"/>
          <w:i w:val="false"/>
          <w:color w:val="000000"/>
          <w:sz w:val="28"/>
        </w:rPr>
        <w:t xml:space="preserve">
      Разрабатывается Дорожная карта, включающая информацию о сокращении сроков (до 5 рабочих дней) получения разрешительных документов для проектов, включенных в "зеленый коридор". </w:t>
      </w:r>
    </w:p>
    <w:bookmarkEnd w:id="86"/>
    <w:bookmarkStart w:name="z101" w:id="87"/>
    <w:p>
      <w:pPr>
        <w:spacing w:after="0"/>
        <w:ind w:left="0"/>
        <w:jc w:val="both"/>
      </w:pPr>
      <w:r>
        <w:rPr>
          <w:rFonts w:ascii="Times New Roman"/>
          <w:b w:val="false"/>
          <w:i w:val="false"/>
          <w:color w:val="000000"/>
          <w:sz w:val="28"/>
        </w:rPr>
        <w:t xml:space="preserve">
      </w:t>
      </w:r>
      <w:r>
        <w:rPr>
          <w:rFonts w:ascii="Times New Roman"/>
          <w:b/>
          <w:i w:val="false"/>
          <w:color w:val="000000"/>
          <w:sz w:val="28"/>
        </w:rPr>
        <w:t>Система инвестиционных преференций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контракт (в том числе приоритетный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инвестициям Министерства иностранных дел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инвестиционный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центральные государственные органы, акционерное общество "Национальная компания "Kazakh Invest"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об инвестиционных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Улучшенный модельный контракт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налоговый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инвестициям Министерства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Преференции в сфере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 Корпоративный фонд "Международный технопарк IT-стартапов "Astana Hub" (далее – Astana Hub)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субсидирование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bl>
    <w:bookmarkStart w:name="z102" w:id="88"/>
    <w:p>
      <w:pPr>
        <w:spacing w:after="0"/>
        <w:ind w:left="0"/>
        <w:jc w:val="both"/>
      </w:pPr>
      <w:r>
        <w:rPr>
          <w:rFonts w:ascii="Times New Roman"/>
          <w:b w:val="false"/>
          <w:i w:val="false"/>
          <w:color w:val="000000"/>
          <w:sz w:val="28"/>
        </w:rPr>
        <w:t xml:space="preserve">
      Помимо вышеперечисленных мер государственной поддержки существуют также отраслевые преференции (возмещение расходов на индустриально-инновационное развитие, транспортные расходы, страхование экспортной деятельности и др.). </w:t>
      </w:r>
    </w:p>
    <w:bookmarkEnd w:id="88"/>
    <w:bookmarkStart w:name="z103" w:id="89"/>
    <w:p>
      <w:pPr>
        <w:spacing w:after="0"/>
        <w:ind w:left="0"/>
        <w:jc w:val="both"/>
      </w:pPr>
      <w:r>
        <w:rPr>
          <w:rFonts w:ascii="Times New Roman"/>
          <w:b w:val="false"/>
          <w:i w:val="false"/>
          <w:color w:val="000000"/>
          <w:sz w:val="28"/>
        </w:rPr>
        <w:t xml:space="preserve">
      Функции по предоставлению мер государственной поддержки инвесторам распределены между различными государственными органами, что усложняет процессы заключения и согласования. Согласно опросам инвесторов бюрократия со стороны государственных органов и субъектов квазигосударственного сектора является одним из главных барьеров при получении мер государственной поддержки. </w:t>
      </w:r>
    </w:p>
    <w:bookmarkEnd w:id="89"/>
    <w:bookmarkStart w:name="z104" w:id="90"/>
    <w:p>
      <w:pPr>
        <w:spacing w:after="0"/>
        <w:ind w:left="0"/>
        <w:jc w:val="both"/>
      </w:pPr>
      <w:r>
        <w:rPr>
          <w:rFonts w:ascii="Times New Roman"/>
          <w:b w:val="false"/>
          <w:i w:val="false"/>
          <w:color w:val="000000"/>
          <w:sz w:val="28"/>
        </w:rPr>
        <w:t>
      В качестве проблемы следует выделить то, что государственные органы не проводят полноценный мониторинг предоставленных инвестиционных преференций и не оценивают их мультипликативный эффект на развитие экономики. Например, не ведется учет заключенных специальных инвестиционных контрактов, отсутствует информация по отраслям и стоимости инвестиционных проектов.</w:t>
      </w:r>
    </w:p>
    <w:bookmarkEnd w:id="90"/>
    <w:bookmarkStart w:name="z105" w:id="91"/>
    <w:p>
      <w:pPr>
        <w:spacing w:after="0"/>
        <w:ind w:left="0"/>
        <w:jc w:val="both"/>
      </w:pPr>
      <w:r>
        <w:rPr>
          <w:rFonts w:ascii="Times New Roman"/>
          <w:b w:val="false"/>
          <w:i w:val="false"/>
          <w:color w:val="000000"/>
          <w:sz w:val="28"/>
        </w:rPr>
        <w:t>
      В этой связи будет проведена соответствующая работа по внедрению оценки предоставляемых инвестиционных преференций в рамках инвестиционных контрактов.</w:t>
      </w:r>
    </w:p>
    <w:bookmarkEnd w:id="91"/>
    <w:bookmarkStart w:name="z106" w:id="92"/>
    <w:p>
      <w:pPr>
        <w:spacing w:after="0"/>
        <w:ind w:left="0"/>
        <w:jc w:val="both"/>
      </w:pPr>
      <w:r>
        <w:rPr>
          <w:rFonts w:ascii="Times New Roman"/>
          <w:b w:val="false"/>
          <w:i w:val="false"/>
          <w:color w:val="000000"/>
          <w:sz w:val="28"/>
        </w:rPr>
        <w:t xml:space="preserve">
      </w:t>
      </w:r>
      <w:r>
        <w:rPr>
          <w:rFonts w:ascii="Times New Roman"/>
          <w:b/>
          <w:i w:val="false"/>
          <w:color w:val="000000"/>
          <w:sz w:val="28"/>
        </w:rPr>
        <w:t>Политика в области государственно-частного партнерства</w:t>
      </w:r>
    </w:p>
    <w:bookmarkEnd w:id="92"/>
    <w:bookmarkStart w:name="z107" w:id="93"/>
    <w:p>
      <w:pPr>
        <w:spacing w:after="0"/>
        <w:ind w:left="0"/>
        <w:jc w:val="both"/>
      </w:pPr>
      <w:r>
        <w:rPr>
          <w:rFonts w:ascii="Times New Roman"/>
          <w:b w:val="false"/>
          <w:i w:val="false"/>
          <w:color w:val="000000"/>
          <w:sz w:val="28"/>
        </w:rPr>
        <w:t xml:space="preserve">
      С введением в Казахстане Закона "О государственно-частном партнерстве" в 2015 году механизм государственно-частного партнерства (далее – ГЧП) получил широкое распространение: заключено 1183 договора ГЧП (в сфере образования, здравоохранения, социальных услуг, жилищно-коммунального хозяйства и др.). Проекты ГЧП могут осуществляться во всех отраслях экономики со сроком реализации от 5 до 30 лет. Исключение составляют объекты, перечень которых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"Об утверждении перечня объектов, не подлежащих передаче для реализации государственно-частного партнерства, в том числе в концессию".</w:t>
      </w:r>
    </w:p>
    <w:bookmarkEnd w:id="93"/>
    <w:bookmarkStart w:name="z108" w:id="94"/>
    <w:p>
      <w:pPr>
        <w:spacing w:after="0"/>
        <w:ind w:left="0"/>
        <w:jc w:val="both"/>
      </w:pPr>
      <w:r>
        <w:rPr>
          <w:rFonts w:ascii="Times New Roman"/>
          <w:b w:val="false"/>
          <w:i w:val="false"/>
          <w:color w:val="000000"/>
          <w:sz w:val="28"/>
        </w:rPr>
        <w:t>
      Интерес бизнеса к механизму ГЧП обусловлен наличием широких инструментов поддержки государства (софинансирование, предоставление земельных участков, обеспечение инженерными и транспортными коммуникациями, компенсация инвестиционных и операционных затрат инвестора и др.), стабильной гарантией и неизменностью выполнения условий по договору ГЧП (договоры ГЧП регистрируются в органах казначейства и выплаты из бюджета по ним не секвестируются, возможно применение международного арбитража).</w:t>
      </w:r>
    </w:p>
    <w:bookmarkEnd w:id="94"/>
    <w:bookmarkStart w:name="z109" w:id="95"/>
    <w:p>
      <w:pPr>
        <w:spacing w:after="0"/>
        <w:ind w:left="0"/>
        <w:jc w:val="both"/>
      </w:pPr>
      <w:r>
        <w:rPr>
          <w:rFonts w:ascii="Times New Roman"/>
          <w:b w:val="false"/>
          <w:i w:val="false"/>
          <w:color w:val="000000"/>
          <w:sz w:val="28"/>
        </w:rPr>
        <w:t>
      Отбор частного партнера осуществляется на конкурсной основе по проектам, инициированным как центральным или местным государственным органом, так и самим инвестором. Прямые переговоры возможны в исключительных случаях по решению Правительства для реализации проектов, направленных на создание и эксплуатацию уникальных объектов и предусматривающих трансфер технологий.</w:t>
      </w:r>
    </w:p>
    <w:bookmarkEnd w:id="95"/>
    <w:bookmarkStart w:name="z110" w:id="96"/>
    <w:p>
      <w:pPr>
        <w:spacing w:after="0"/>
        <w:ind w:left="0"/>
        <w:jc w:val="both"/>
      </w:pPr>
      <w:r>
        <w:rPr>
          <w:rFonts w:ascii="Times New Roman"/>
          <w:b w:val="false"/>
          <w:i w:val="false"/>
          <w:color w:val="000000"/>
          <w:sz w:val="28"/>
        </w:rPr>
        <w:t>
      Развитие механизма ГЧП является приоритетной целью Правительства Республики Казахстан в сфере инвестиций. Так, за последние 2 года инструмент ГЧП претерпел существенные изменения. Установлены критерии по отбору и реализации проектов ГЧП, обеспечивающие баланс между частными и государственными партнерами, создана единая платформа для цифровизации всего процесса планирования, реализации проектов и размещения в открытом доступе основных статьей договора ГЧП, экономического заключения. Ведется работа по объединению законодательства в области ГЧП и концессий, включая снижение требования о внесении собственных средств до 10 % и исключение необходимости подтверждения наличия капитала на стадии квалификации, пересмотр классификации видов договоров ГЧП и изменение подходов применения двухэтапных и одноэтапных конкурсов.</w:t>
      </w:r>
    </w:p>
    <w:bookmarkEnd w:id="96"/>
    <w:bookmarkStart w:name="z111" w:id="97"/>
    <w:p>
      <w:pPr>
        <w:spacing w:after="0"/>
        <w:ind w:left="0"/>
        <w:jc w:val="both"/>
      </w:pPr>
      <w:r>
        <w:rPr>
          <w:rFonts w:ascii="Times New Roman"/>
          <w:b w:val="false"/>
          <w:i w:val="false"/>
          <w:color w:val="000000"/>
          <w:sz w:val="28"/>
        </w:rPr>
        <w:t xml:space="preserve">
      Вместе с тем в сфере ГЧП наблюдается ряд проблем. Ввиду отсутствия на финансовом рынке дешевых кредитных средств акцент делается на проекты с низкой капиталоемкостью. </w:t>
      </w:r>
    </w:p>
    <w:bookmarkEnd w:id="97"/>
    <w:bookmarkStart w:name="z112" w:id="98"/>
    <w:p>
      <w:pPr>
        <w:spacing w:after="0"/>
        <w:ind w:left="0"/>
        <w:jc w:val="both"/>
      </w:pPr>
      <w:r>
        <w:rPr>
          <w:rFonts w:ascii="Times New Roman"/>
          <w:b w:val="false"/>
          <w:i w:val="false"/>
          <w:color w:val="000000"/>
          <w:sz w:val="28"/>
        </w:rPr>
        <w:t>
      Недостаточная квалификация специалистов государственных органов и консультантов по юридической оценке проектов приводит к невыгодным для государства условиям при заключении договоров. Отбор государственных инвестиционных проектов (далее – ГИП) зачастую носит формальный характер, без полноценной оценки их бюджетной эффективности и мультипликативного эффекта.</w:t>
      </w:r>
    </w:p>
    <w:bookmarkEnd w:id="98"/>
    <w:bookmarkStart w:name="z113" w:id="99"/>
    <w:p>
      <w:pPr>
        <w:spacing w:after="0"/>
        <w:ind w:left="0"/>
        <w:jc w:val="both"/>
      </w:pPr>
      <w:r>
        <w:rPr>
          <w:rFonts w:ascii="Times New Roman"/>
          <w:b w:val="false"/>
          <w:i w:val="false"/>
          <w:color w:val="000000"/>
          <w:sz w:val="28"/>
        </w:rPr>
        <w:t>
      Проверяющие органы также отмечают присутствие признаков государственных закупок в проектах местных исполнительных органов, что приводит к расторжению договоров ГЧП на этапе их реализации. Это вызывает отток инвесторов в другие страны и снижает уровень доверия к механизму ГЧП.</w:t>
      </w:r>
    </w:p>
    <w:bookmarkEnd w:id="99"/>
    <w:bookmarkStart w:name="z114" w:id="100"/>
    <w:p>
      <w:pPr>
        <w:spacing w:after="0"/>
        <w:ind w:left="0"/>
        <w:jc w:val="both"/>
      </w:pPr>
      <w:r>
        <w:rPr>
          <w:rFonts w:ascii="Times New Roman"/>
          <w:b w:val="false"/>
          <w:i w:val="false"/>
          <w:color w:val="000000"/>
          <w:sz w:val="28"/>
        </w:rPr>
        <w:t>
      В этой связи Концепция направлена на решение данных вопросов.</w:t>
      </w:r>
    </w:p>
    <w:bookmarkEnd w:id="100"/>
    <w:bookmarkStart w:name="z115" w:id="101"/>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Специальные экономические, индустриальные и малые промышленные зоны</w:t>
      </w:r>
    </w:p>
    <w:bookmarkEnd w:id="101"/>
    <w:bookmarkStart w:name="z116" w:id="102"/>
    <w:p>
      <w:pPr>
        <w:spacing w:after="0"/>
        <w:ind w:left="0"/>
        <w:jc w:val="both"/>
      </w:pPr>
      <w:r>
        <w:rPr>
          <w:rFonts w:ascii="Times New Roman"/>
          <w:b w:val="false"/>
          <w:i w:val="false"/>
          <w:color w:val="000000"/>
          <w:sz w:val="28"/>
        </w:rPr>
        <w:t>
      Специальные экономические, индустриальные и малые промышленные зоны (далее – СЭЗ, ИЗ и МПЗ) играют ключевую роль в повышении инвестиционной привлекательности Казахстана.</w:t>
      </w:r>
    </w:p>
    <w:bookmarkEnd w:id="102"/>
    <w:bookmarkStart w:name="z117" w:id="103"/>
    <w:p>
      <w:pPr>
        <w:spacing w:after="0"/>
        <w:ind w:left="0"/>
        <w:jc w:val="both"/>
      </w:pPr>
      <w:r>
        <w:rPr>
          <w:rFonts w:ascii="Times New Roman"/>
          <w:b w:val="false"/>
          <w:i w:val="false"/>
          <w:color w:val="000000"/>
          <w:sz w:val="28"/>
        </w:rPr>
        <w:t xml:space="preserve">
      Участники СЭЗ имеют право на ряд налоговых и регуляторных послаблений, земельные участки и доступ к инфраструктуре. В настоящее время в стране функционирует 14 СЭЗ общей площадью 18,4 тыс. га. </w:t>
      </w:r>
    </w:p>
    <w:bookmarkEnd w:id="103"/>
    <w:bookmarkStart w:name="z118" w:id="104"/>
    <w:p>
      <w:pPr>
        <w:spacing w:after="0"/>
        <w:ind w:left="0"/>
        <w:jc w:val="both"/>
      </w:pPr>
      <w:r>
        <w:rPr>
          <w:rFonts w:ascii="Times New Roman"/>
          <w:b w:val="false"/>
          <w:i w:val="false"/>
          <w:color w:val="000000"/>
          <w:sz w:val="28"/>
        </w:rPr>
        <w:t>
      В 2023 году приняты меры по повышению эффективности СЭЗ, включая дифференцированный подход к предоставлению налоговых льгот в зависимости от объема инвестиций и возможность выкупа земельных участков после исполнения инвестиционных обязательств.</w:t>
      </w:r>
    </w:p>
    <w:bookmarkEnd w:id="104"/>
    <w:bookmarkStart w:name="z119" w:id="105"/>
    <w:p>
      <w:pPr>
        <w:spacing w:after="0"/>
        <w:ind w:left="0"/>
        <w:jc w:val="both"/>
      </w:pPr>
      <w:r>
        <w:rPr>
          <w:rFonts w:ascii="Times New Roman"/>
          <w:b w:val="false"/>
          <w:i w:val="false"/>
          <w:color w:val="000000"/>
          <w:sz w:val="28"/>
        </w:rPr>
        <w:t xml:space="preserve">
      Однако существуют проблемы с обеспечением необходимой инфраструктурой. Так, по данным МПС РК обеспеченность инфраструктурой составляет лишь 44 %. </w:t>
      </w:r>
    </w:p>
    <w:bookmarkEnd w:id="105"/>
    <w:bookmarkStart w:name="z120" w:id="106"/>
    <w:p>
      <w:pPr>
        <w:spacing w:after="0"/>
        <w:ind w:left="0"/>
        <w:jc w:val="both"/>
      </w:pPr>
      <w:r>
        <w:rPr>
          <w:rFonts w:ascii="Times New Roman"/>
          <w:b w:val="false"/>
          <w:i w:val="false"/>
          <w:color w:val="000000"/>
          <w:sz w:val="28"/>
        </w:rPr>
        <w:t xml:space="preserve">
      Большая часть резидентов СЭЗ ориентирована на внутренний рынок, что при льготных условиях создает неравные условия конкуренции. </w:t>
      </w:r>
    </w:p>
    <w:bookmarkEnd w:id="106"/>
    <w:bookmarkStart w:name="z121" w:id="107"/>
    <w:p>
      <w:pPr>
        <w:spacing w:after="0"/>
        <w:ind w:left="0"/>
        <w:jc w:val="both"/>
      </w:pPr>
      <w:r>
        <w:rPr>
          <w:rFonts w:ascii="Times New Roman"/>
          <w:b w:val="false"/>
          <w:i w:val="false"/>
          <w:color w:val="000000"/>
          <w:sz w:val="28"/>
        </w:rPr>
        <w:t>
      Дополнительные проблемы включают ограниченный перечень разрешенных видов деятельности на территории СЭЗ, отсутствие встречных обязательств для его участников и различные сроки действия текущих СЭЗ.</w:t>
      </w:r>
    </w:p>
    <w:bookmarkEnd w:id="107"/>
    <w:bookmarkStart w:name="z122" w:id="108"/>
    <w:p>
      <w:pPr>
        <w:spacing w:after="0"/>
        <w:ind w:left="0"/>
        <w:jc w:val="both"/>
      </w:pPr>
      <w:r>
        <w:rPr>
          <w:rFonts w:ascii="Times New Roman"/>
          <w:b w:val="false"/>
          <w:i w:val="false"/>
          <w:color w:val="000000"/>
          <w:sz w:val="28"/>
        </w:rPr>
        <w:t xml:space="preserve">
      Участники ИЗ в отличие от участников СЭЗ могут рассчитывать только на инфраструктуру и земельные участки без ограничений. На сегодняшний день функционируют 33 ИЗ, из которых 21 обеспечены готовой инфраструктурой. По данным МПС РК на территории действующих ИЗ на период с 2022 по 2025 годы запланирована реализация 189 проектов на сумму более 478,2 млрд тенге. </w:t>
      </w:r>
    </w:p>
    <w:bookmarkEnd w:id="108"/>
    <w:bookmarkStart w:name="z123" w:id="109"/>
    <w:p>
      <w:pPr>
        <w:spacing w:after="0"/>
        <w:ind w:left="0"/>
        <w:jc w:val="both"/>
      </w:pPr>
      <w:r>
        <w:rPr>
          <w:rFonts w:ascii="Times New Roman"/>
          <w:b w:val="false"/>
          <w:i w:val="false"/>
          <w:color w:val="000000"/>
          <w:sz w:val="28"/>
        </w:rPr>
        <w:t>
      В целях обеспечения малого и среднего бизнеса готовыми производственными помещениями создаются МПЗ. В 2024 году на строительство МПЗ выделено 30 млрд тенге. Реализация данного механизма обеспечит эффективную инфраструктурную поддержку малому и среднему бизнесу, рост занятости и повышение доходов населения.</w:t>
      </w:r>
    </w:p>
    <w:bookmarkEnd w:id="109"/>
    <w:bookmarkStart w:name="z124" w:id="110"/>
    <w:p>
      <w:pPr>
        <w:spacing w:after="0"/>
        <w:ind w:left="0"/>
        <w:jc w:val="both"/>
      </w:pPr>
      <w:r>
        <w:rPr>
          <w:rFonts w:ascii="Times New Roman"/>
          <w:b w:val="false"/>
          <w:i w:val="false"/>
          <w:color w:val="000000"/>
          <w:sz w:val="28"/>
        </w:rPr>
        <w:t>
      Работа по обеспечению необходимой инфраструктурой будет осуществляться на постоянной основе.</w:t>
      </w:r>
    </w:p>
    <w:bookmarkEnd w:id="110"/>
    <w:bookmarkStart w:name="z125" w:id="111"/>
    <w:p>
      <w:pPr>
        <w:spacing w:after="0"/>
        <w:ind w:left="0"/>
        <w:jc w:val="both"/>
      </w:pPr>
      <w:r>
        <w:rPr>
          <w:rFonts w:ascii="Times New Roman"/>
          <w:b w:val="false"/>
          <w:i w:val="false"/>
          <w:color w:val="000000"/>
          <w:sz w:val="28"/>
        </w:rPr>
        <w:t xml:space="preserve">
      </w:t>
      </w:r>
      <w:r>
        <w:rPr>
          <w:rFonts w:ascii="Times New Roman"/>
          <w:b/>
          <w:i w:val="false"/>
          <w:color w:val="000000"/>
          <w:sz w:val="28"/>
        </w:rPr>
        <w:t>Приватизация государственных активов</w:t>
      </w:r>
    </w:p>
    <w:bookmarkEnd w:id="111"/>
    <w:bookmarkStart w:name="z126" w:id="112"/>
    <w:p>
      <w:pPr>
        <w:spacing w:after="0"/>
        <w:ind w:left="0"/>
        <w:jc w:val="both"/>
      </w:pPr>
      <w:r>
        <w:rPr>
          <w:rFonts w:ascii="Times New Roman"/>
          <w:b w:val="false"/>
          <w:i w:val="false"/>
          <w:color w:val="000000"/>
          <w:sz w:val="28"/>
        </w:rPr>
        <w:t xml:space="preserve">
      В мае 2024 года был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 мерах по либерализации экономики" (далее – Указ), согласно которому Правительством совместно с Агентством по защите и развитию конкуренции Республики Казахстан был создан Национальный офис по приватизации, который до конца текущего года должен выработать четкие критерии к государственным объектам, подлежащим обязательной приватизации, а также провести анализ деятельности государственных предприятий и сформировать перечень государственных активов, подлежащих приватизации. В приватизации государственных активов смогут принять участие как казахстанские, так и зарубежные предприятия. Приватизация станет одним из главных драйверов роста инвестиций (как ПИИ, так и ИОК) в Казахстане. </w:t>
      </w:r>
    </w:p>
    <w:bookmarkEnd w:id="112"/>
    <w:bookmarkStart w:name="z127" w:id="113"/>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Действующие финансовые инструменты</w:t>
      </w:r>
    </w:p>
    <w:bookmarkEnd w:id="113"/>
    <w:bookmarkStart w:name="z128" w:id="114"/>
    <w:p>
      <w:pPr>
        <w:spacing w:after="0"/>
        <w:ind w:left="0"/>
        <w:jc w:val="both"/>
      </w:pPr>
      <w:r>
        <w:rPr>
          <w:rFonts w:ascii="Times New Roman"/>
          <w:b w:val="false"/>
          <w:i w:val="false"/>
          <w:color w:val="000000"/>
          <w:sz w:val="28"/>
        </w:rPr>
        <w:t xml:space="preserve">
      На сегодняшний день существует ряд инструментов финансирования инвестиционных проектов, предоставляемых субъектами квазигосударственного сектора и банками второго уровня. </w:t>
      </w:r>
    </w:p>
    <w:bookmarkEnd w:id="114"/>
    <w:bookmarkStart w:name="z129" w:id="115"/>
    <w:p>
      <w:pPr>
        <w:spacing w:after="0"/>
        <w:ind w:left="0"/>
        <w:jc w:val="both"/>
      </w:pPr>
      <w:r>
        <w:rPr>
          <w:rFonts w:ascii="Times New Roman"/>
          <w:b w:val="false"/>
          <w:i w:val="false"/>
          <w:color w:val="000000"/>
          <w:sz w:val="28"/>
        </w:rPr>
        <w:t>
      АО "Банк Развития Казахстана" (далее – БРК) предоставляет займы по льготной ставке, АО "Фонд развития промышленности" – лизинговое финансирование, а организации Kazakhstan Investment Development Fund и Qazaqstan Investment Corporation – долевое и венчурное финансирование. Также используется механизм коллективного финансирования, включая синдицированные кредиты БРК и банков второго уровня. Синдицированные кредиты позволяют финансовым институтам распределять риски и предлагать более выгодные условия кредитования для инвесторов.</w:t>
      </w:r>
    </w:p>
    <w:bookmarkEnd w:id="115"/>
    <w:bookmarkStart w:name="z130" w:id="116"/>
    <w:p>
      <w:pPr>
        <w:spacing w:after="0"/>
        <w:ind w:left="0"/>
        <w:jc w:val="both"/>
      </w:pPr>
      <w:r>
        <w:rPr>
          <w:rFonts w:ascii="Times New Roman"/>
          <w:b w:val="false"/>
          <w:i w:val="false"/>
          <w:color w:val="000000"/>
          <w:sz w:val="28"/>
        </w:rPr>
        <w:t>
      Несмотря на это объем заемных средств в структуре ИОК составляет лишь 10,6 % (2023 год). Доля кредитов юридических лиц к ВВП составляет 8 %, что значительно ниже, чем в Чили (48 %), России (39 %), Узбекистане (33 %) и Грузии (29 %).</w:t>
      </w:r>
    </w:p>
    <w:bookmarkEnd w:id="116"/>
    <w:bookmarkStart w:name="z131" w:id="117"/>
    <w:p>
      <w:pPr>
        <w:spacing w:after="0"/>
        <w:ind w:left="0"/>
        <w:jc w:val="both"/>
      </w:pPr>
      <w:r>
        <w:rPr>
          <w:rFonts w:ascii="Times New Roman"/>
          <w:b w:val="false"/>
          <w:i w:val="false"/>
          <w:color w:val="000000"/>
          <w:sz w:val="28"/>
        </w:rPr>
        <w:t>
      К числу факторов, влияющих на формирование такой ситуации, относятся низкая диверсификация экономики, преобладающая доля государственной поддержки, краткосрочная база фондирования банков, дефицит качественных корпоративных заемщиков, слабый уровень прозрачности и практики ведения бизнеса, в особенности в сегменте малого бизнеса.</w:t>
      </w:r>
    </w:p>
    <w:bookmarkEnd w:id="117"/>
    <w:bookmarkStart w:name="z132" w:id="118"/>
    <w:p>
      <w:pPr>
        <w:spacing w:after="0"/>
        <w:ind w:left="0"/>
        <w:jc w:val="both"/>
      </w:pPr>
      <w:r>
        <w:rPr>
          <w:rFonts w:ascii="Times New Roman"/>
          <w:b w:val="false"/>
          <w:i w:val="false"/>
          <w:color w:val="000000"/>
          <w:sz w:val="28"/>
        </w:rPr>
        <w:t>
      В этой связи помимо совершенствования действующих инструментов финансирования будут развиваться альтернативные методы привлечения средств.</w:t>
      </w:r>
    </w:p>
    <w:bookmarkEnd w:id="118"/>
    <w:bookmarkStart w:name="z133" w:id="119"/>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инвестиционного климата в Республике Казахстан</w:t>
      </w:r>
    </w:p>
    <w:bookmarkEnd w:id="119"/>
    <w:bookmarkStart w:name="z134" w:id="120"/>
    <w:p>
      <w:pPr>
        <w:spacing w:after="0"/>
        <w:ind w:left="0"/>
        <w:jc w:val="both"/>
      </w:pPr>
      <w:r>
        <w:rPr>
          <w:rFonts w:ascii="Times New Roman"/>
          <w:b w:val="false"/>
          <w:i w:val="false"/>
          <w:color w:val="000000"/>
          <w:sz w:val="28"/>
        </w:rPr>
        <w:t>
      Сильные стороны:</w:t>
      </w:r>
    </w:p>
    <w:bookmarkEnd w:id="120"/>
    <w:bookmarkStart w:name="z135" w:id="121"/>
    <w:p>
      <w:pPr>
        <w:spacing w:after="0"/>
        <w:ind w:left="0"/>
        <w:jc w:val="both"/>
      </w:pPr>
      <w:r>
        <w:rPr>
          <w:rFonts w:ascii="Times New Roman"/>
          <w:b w:val="false"/>
          <w:i w:val="false"/>
          <w:color w:val="000000"/>
          <w:sz w:val="28"/>
        </w:rPr>
        <w:t>
      стратегические планы: разработка концепций и планов, направленных на привлечение инвестиций;</w:t>
      </w:r>
    </w:p>
    <w:bookmarkEnd w:id="121"/>
    <w:bookmarkStart w:name="z136" w:id="122"/>
    <w:p>
      <w:pPr>
        <w:spacing w:after="0"/>
        <w:ind w:left="0"/>
        <w:jc w:val="both"/>
      </w:pPr>
      <w:r>
        <w:rPr>
          <w:rFonts w:ascii="Times New Roman"/>
          <w:b w:val="false"/>
          <w:i w:val="false"/>
          <w:color w:val="000000"/>
          <w:sz w:val="28"/>
        </w:rPr>
        <w:t>
      природные ресурсы: богатые запасы природных ресурсов;</w:t>
      </w:r>
    </w:p>
    <w:bookmarkEnd w:id="122"/>
    <w:bookmarkStart w:name="z137" w:id="123"/>
    <w:p>
      <w:pPr>
        <w:spacing w:after="0"/>
        <w:ind w:left="0"/>
        <w:jc w:val="both"/>
      </w:pPr>
      <w:r>
        <w:rPr>
          <w:rFonts w:ascii="Times New Roman"/>
          <w:b w:val="false"/>
          <w:i w:val="false"/>
          <w:color w:val="000000"/>
          <w:sz w:val="28"/>
        </w:rPr>
        <w:t>
      географическое положение: удобное расположение между Востоком и Западом, развитый рынок транспортно-логистических услуг;</w:t>
      </w:r>
    </w:p>
    <w:bookmarkEnd w:id="123"/>
    <w:bookmarkStart w:name="z138" w:id="124"/>
    <w:p>
      <w:pPr>
        <w:spacing w:after="0"/>
        <w:ind w:left="0"/>
        <w:jc w:val="both"/>
      </w:pPr>
      <w:r>
        <w:rPr>
          <w:rFonts w:ascii="Times New Roman"/>
          <w:b w:val="false"/>
          <w:i w:val="false"/>
          <w:color w:val="000000"/>
          <w:sz w:val="28"/>
        </w:rPr>
        <w:t>
      сельское хозяйство: высокий потенциал сельскохозяйственного сектора;</w:t>
      </w:r>
    </w:p>
    <w:bookmarkEnd w:id="124"/>
    <w:bookmarkStart w:name="z139" w:id="125"/>
    <w:p>
      <w:pPr>
        <w:spacing w:after="0"/>
        <w:ind w:left="0"/>
        <w:jc w:val="both"/>
      </w:pPr>
      <w:r>
        <w:rPr>
          <w:rFonts w:ascii="Times New Roman"/>
          <w:b w:val="false"/>
          <w:i w:val="false"/>
          <w:color w:val="000000"/>
          <w:sz w:val="28"/>
        </w:rPr>
        <w:t>
      международные рейтинги: высокие международные инвестиционные рейтинги, 35-е место в Индексе глобальной конкурентоспособности за 2024 год;</w:t>
      </w:r>
    </w:p>
    <w:bookmarkEnd w:id="125"/>
    <w:bookmarkStart w:name="z140" w:id="126"/>
    <w:p>
      <w:pPr>
        <w:spacing w:after="0"/>
        <w:ind w:left="0"/>
        <w:jc w:val="both"/>
      </w:pPr>
      <w:r>
        <w:rPr>
          <w:rFonts w:ascii="Times New Roman"/>
          <w:b w:val="false"/>
          <w:i w:val="false"/>
          <w:color w:val="000000"/>
          <w:sz w:val="28"/>
        </w:rPr>
        <w:t>
      инвестиционная поддержка: развитая экосистема поддержки инвестиций (специализированные организации, институты развития, СЭЗ, ИЗ, МФЦА, Astana Hub и др.);</w:t>
      </w:r>
    </w:p>
    <w:bookmarkEnd w:id="126"/>
    <w:bookmarkStart w:name="z141" w:id="127"/>
    <w:p>
      <w:pPr>
        <w:spacing w:after="0"/>
        <w:ind w:left="0"/>
        <w:jc w:val="both"/>
      </w:pPr>
      <w:r>
        <w:rPr>
          <w:rFonts w:ascii="Times New Roman"/>
          <w:b w:val="false"/>
          <w:i w:val="false"/>
          <w:color w:val="000000"/>
          <w:sz w:val="28"/>
        </w:rPr>
        <w:t>
      доступ к рынкам сбыта: близость к емким рынкам (КНР, Россия, Центральная Азия, Ближний Восток);</w:t>
      </w:r>
    </w:p>
    <w:bookmarkEnd w:id="127"/>
    <w:bookmarkStart w:name="z142" w:id="128"/>
    <w:p>
      <w:pPr>
        <w:spacing w:after="0"/>
        <w:ind w:left="0"/>
        <w:jc w:val="both"/>
      </w:pPr>
      <w:r>
        <w:rPr>
          <w:rFonts w:ascii="Times New Roman"/>
          <w:b w:val="false"/>
          <w:i w:val="false"/>
          <w:color w:val="000000"/>
          <w:sz w:val="28"/>
        </w:rPr>
        <w:t>
      агломерации: формирующиеся агломерации с высоким инвестиционным потенциалом.</w:t>
      </w:r>
    </w:p>
    <w:bookmarkEnd w:id="128"/>
    <w:bookmarkStart w:name="z143" w:id="129"/>
    <w:p>
      <w:pPr>
        <w:spacing w:after="0"/>
        <w:ind w:left="0"/>
        <w:jc w:val="both"/>
      </w:pPr>
      <w:r>
        <w:rPr>
          <w:rFonts w:ascii="Times New Roman"/>
          <w:b w:val="false"/>
          <w:i w:val="false"/>
          <w:color w:val="000000"/>
          <w:sz w:val="28"/>
        </w:rPr>
        <w:t>
      Слабые стороны:</w:t>
      </w:r>
    </w:p>
    <w:bookmarkEnd w:id="129"/>
    <w:bookmarkStart w:name="z144" w:id="130"/>
    <w:p>
      <w:pPr>
        <w:spacing w:after="0"/>
        <w:ind w:left="0"/>
        <w:jc w:val="both"/>
      </w:pPr>
      <w:r>
        <w:rPr>
          <w:rFonts w:ascii="Times New Roman"/>
          <w:b w:val="false"/>
          <w:i w:val="false"/>
          <w:color w:val="000000"/>
          <w:sz w:val="28"/>
        </w:rPr>
        <w:t>
      координация инвестиций: недостаточно эффективное межведомственное взаимодействие между различными государственными органами и институтами развития в рамках работы по привлечению и удержанию инвестиций;</w:t>
      </w:r>
    </w:p>
    <w:bookmarkEnd w:id="130"/>
    <w:bookmarkStart w:name="z145" w:id="131"/>
    <w:p>
      <w:pPr>
        <w:spacing w:after="0"/>
        <w:ind w:left="0"/>
        <w:jc w:val="both"/>
      </w:pPr>
      <w:r>
        <w:rPr>
          <w:rFonts w:ascii="Times New Roman"/>
          <w:b w:val="false"/>
          <w:i w:val="false"/>
          <w:color w:val="000000"/>
          <w:sz w:val="28"/>
        </w:rPr>
        <w:t>
      бюрократия и коррупция: относительно высокий уровень бюрократии и коррупции;</w:t>
      </w:r>
    </w:p>
    <w:bookmarkEnd w:id="131"/>
    <w:bookmarkStart w:name="z146" w:id="132"/>
    <w:p>
      <w:pPr>
        <w:spacing w:after="0"/>
        <w:ind w:left="0"/>
        <w:jc w:val="both"/>
      </w:pPr>
      <w:r>
        <w:rPr>
          <w:rFonts w:ascii="Times New Roman"/>
          <w:b w:val="false"/>
          <w:i w:val="false"/>
          <w:color w:val="000000"/>
          <w:sz w:val="28"/>
        </w:rPr>
        <w:t>
      инфраструктура: недостаточно развитая инфраструктура для инвесторов (транспортно-логистическая, производственная, инженерная, торговая инфраструктура);</w:t>
      </w:r>
    </w:p>
    <w:bookmarkEnd w:id="132"/>
    <w:bookmarkStart w:name="z147" w:id="133"/>
    <w:p>
      <w:pPr>
        <w:spacing w:after="0"/>
        <w:ind w:left="0"/>
        <w:jc w:val="both"/>
      </w:pPr>
      <w:r>
        <w:rPr>
          <w:rFonts w:ascii="Times New Roman"/>
          <w:b w:val="false"/>
          <w:i w:val="false"/>
          <w:color w:val="000000"/>
          <w:sz w:val="28"/>
        </w:rPr>
        <w:t>
      судебная система: низкий уровень доверия к судебной системе;</w:t>
      </w:r>
    </w:p>
    <w:bookmarkEnd w:id="133"/>
    <w:bookmarkStart w:name="z148" w:id="134"/>
    <w:p>
      <w:pPr>
        <w:spacing w:after="0"/>
        <w:ind w:left="0"/>
        <w:jc w:val="both"/>
      </w:pPr>
      <w:r>
        <w:rPr>
          <w:rFonts w:ascii="Times New Roman"/>
          <w:b w:val="false"/>
          <w:i w:val="false"/>
          <w:color w:val="000000"/>
          <w:sz w:val="28"/>
        </w:rPr>
        <w:t>
      налоговая система: барьеры в налоговом администрировании;</w:t>
      </w:r>
    </w:p>
    <w:bookmarkEnd w:id="134"/>
    <w:bookmarkStart w:name="z149" w:id="135"/>
    <w:p>
      <w:pPr>
        <w:spacing w:after="0"/>
        <w:ind w:left="0"/>
        <w:jc w:val="both"/>
      </w:pPr>
      <w:r>
        <w:rPr>
          <w:rFonts w:ascii="Times New Roman"/>
          <w:b w:val="false"/>
          <w:i w:val="false"/>
          <w:color w:val="000000"/>
          <w:sz w:val="28"/>
        </w:rPr>
        <w:t>
      доступ к ресурсам: недостаточно прозрачный доступ к факторам производства (земля, сырье, энергия);</w:t>
      </w:r>
    </w:p>
    <w:bookmarkEnd w:id="135"/>
    <w:bookmarkStart w:name="z150" w:id="136"/>
    <w:p>
      <w:pPr>
        <w:spacing w:after="0"/>
        <w:ind w:left="0"/>
        <w:jc w:val="both"/>
      </w:pPr>
      <w:r>
        <w:rPr>
          <w:rFonts w:ascii="Times New Roman"/>
          <w:b w:val="false"/>
          <w:i w:val="false"/>
          <w:color w:val="000000"/>
          <w:sz w:val="28"/>
        </w:rPr>
        <w:t>
      кадровое обеспечение: дефицит высококвалифицированных кадров;</w:t>
      </w:r>
    </w:p>
    <w:bookmarkEnd w:id="136"/>
    <w:bookmarkStart w:name="z151" w:id="137"/>
    <w:p>
      <w:pPr>
        <w:spacing w:after="0"/>
        <w:ind w:left="0"/>
        <w:jc w:val="both"/>
      </w:pPr>
      <w:r>
        <w:rPr>
          <w:rFonts w:ascii="Times New Roman"/>
          <w:b w:val="false"/>
          <w:i w:val="false"/>
          <w:color w:val="000000"/>
          <w:sz w:val="28"/>
        </w:rPr>
        <w:t>
      банковский сектор: низкая степень банковского сектора в кредитовании экономики;</w:t>
      </w:r>
    </w:p>
    <w:bookmarkEnd w:id="137"/>
    <w:bookmarkStart w:name="z152" w:id="138"/>
    <w:p>
      <w:pPr>
        <w:spacing w:after="0"/>
        <w:ind w:left="0"/>
        <w:jc w:val="both"/>
      </w:pPr>
      <w:r>
        <w:rPr>
          <w:rFonts w:ascii="Times New Roman"/>
          <w:b w:val="false"/>
          <w:i w:val="false"/>
          <w:color w:val="000000"/>
          <w:sz w:val="28"/>
        </w:rPr>
        <w:t>
      региональный потенциал: недостаточное использование инвестиционного потенциала регионами;</w:t>
      </w:r>
    </w:p>
    <w:bookmarkEnd w:id="138"/>
    <w:bookmarkStart w:name="z153" w:id="139"/>
    <w:p>
      <w:pPr>
        <w:spacing w:after="0"/>
        <w:ind w:left="0"/>
        <w:jc w:val="both"/>
      </w:pPr>
      <w:r>
        <w:rPr>
          <w:rFonts w:ascii="Times New Roman"/>
          <w:b w:val="false"/>
          <w:i w:val="false"/>
          <w:color w:val="000000"/>
          <w:sz w:val="28"/>
        </w:rPr>
        <w:t>
      государственное регулирование: избыточное количество проверок инвесторов со стороны государственных органов;</w:t>
      </w:r>
    </w:p>
    <w:bookmarkEnd w:id="139"/>
    <w:bookmarkStart w:name="z154" w:id="140"/>
    <w:p>
      <w:pPr>
        <w:spacing w:after="0"/>
        <w:ind w:left="0"/>
        <w:jc w:val="both"/>
      </w:pPr>
      <w:r>
        <w:rPr>
          <w:rFonts w:ascii="Times New Roman"/>
          <w:b w:val="false"/>
          <w:i w:val="false"/>
          <w:color w:val="000000"/>
          <w:sz w:val="28"/>
        </w:rPr>
        <w:t>
      сертификация: недостаточное развитие института сертификации продукции (отсутствие лабораторий, специалистов и др.);</w:t>
      </w:r>
    </w:p>
    <w:bookmarkEnd w:id="140"/>
    <w:bookmarkStart w:name="z155" w:id="141"/>
    <w:p>
      <w:pPr>
        <w:spacing w:after="0"/>
        <w:ind w:left="0"/>
        <w:jc w:val="both"/>
      </w:pPr>
      <w:r>
        <w:rPr>
          <w:rFonts w:ascii="Times New Roman"/>
          <w:b w:val="false"/>
          <w:i w:val="false"/>
          <w:color w:val="000000"/>
          <w:sz w:val="28"/>
        </w:rPr>
        <w:t>
      износ основных средств: высокая степень износа основных фондов в экономике и как следствие высокий уровень издержек, низкая производительность труда.</w:t>
      </w:r>
    </w:p>
    <w:bookmarkEnd w:id="141"/>
    <w:bookmarkStart w:name="z156" w:id="142"/>
    <w:p>
      <w:pPr>
        <w:spacing w:after="0"/>
        <w:ind w:left="0"/>
        <w:jc w:val="both"/>
      </w:pPr>
      <w:r>
        <w:rPr>
          <w:rFonts w:ascii="Times New Roman"/>
          <w:b w:val="false"/>
          <w:i w:val="false"/>
          <w:color w:val="000000"/>
          <w:sz w:val="28"/>
        </w:rPr>
        <w:t>
      Возможности:</w:t>
      </w:r>
    </w:p>
    <w:bookmarkEnd w:id="142"/>
    <w:bookmarkStart w:name="z157" w:id="143"/>
    <w:p>
      <w:pPr>
        <w:spacing w:after="0"/>
        <w:ind w:left="0"/>
        <w:jc w:val="both"/>
      </w:pPr>
      <w:r>
        <w:rPr>
          <w:rFonts w:ascii="Times New Roman"/>
          <w:b w:val="false"/>
          <w:i w:val="false"/>
          <w:color w:val="000000"/>
          <w:sz w:val="28"/>
        </w:rPr>
        <w:t>
      транзитные маршруты: диверсификация транзитных маршрутов по направлению Европа-Китай;</w:t>
      </w:r>
    </w:p>
    <w:bookmarkEnd w:id="143"/>
    <w:bookmarkStart w:name="z158" w:id="144"/>
    <w:p>
      <w:pPr>
        <w:spacing w:after="0"/>
        <w:ind w:left="0"/>
        <w:jc w:val="both"/>
      </w:pPr>
      <w:r>
        <w:rPr>
          <w:rFonts w:ascii="Times New Roman"/>
          <w:b w:val="false"/>
          <w:i w:val="false"/>
          <w:color w:val="000000"/>
          <w:sz w:val="28"/>
        </w:rPr>
        <w:t>
      участие в международных торговых соглашениях: укрепление торговых связей и участие в международных соглашениях может открыть новые рынки и улучшить условия для инвесторов;</w:t>
      </w:r>
    </w:p>
    <w:bookmarkEnd w:id="144"/>
    <w:bookmarkStart w:name="z159" w:id="145"/>
    <w:p>
      <w:pPr>
        <w:spacing w:after="0"/>
        <w:ind w:left="0"/>
        <w:jc w:val="both"/>
      </w:pPr>
      <w:r>
        <w:rPr>
          <w:rFonts w:ascii="Times New Roman"/>
          <w:b w:val="false"/>
          <w:i w:val="false"/>
          <w:color w:val="000000"/>
          <w:sz w:val="28"/>
        </w:rPr>
        <w:t>
      АПК: готовность зарубежных стран инвестировать в АПК;</w:t>
      </w:r>
    </w:p>
    <w:bookmarkEnd w:id="145"/>
    <w:bookmarkStart w:name="z160" w:id="146"/>
    <w:p>
      <w:pPr>
        <w:spacing w:after="0"/>
        <w:ind w:left="0"/>
        <w:jc w:val="both"/>
      </w:pPr>
      <w:r>
        <w:rPr>
          <w:rFonts w:ascii="Times New Roman"/>
          <w:b w:val="false"/>
          <w:i w:val="false"/>
          <w:color w:val="000000"/>
          <w:sz w:val="28"/>
        </w:rPr>
        <w:t>
      "Зеленая энергетика": рост инвестиций в "зеленую энергетику";</w:t>
      </w:r>
    </w:p>
    <w:bookmarkEnd w:id="146"/>
    <w:bookmarkStart w:name="z161" w:id="147"/>
    <w:p>
      <w:pPr>
        <w:spacing w:after="0"/>
        <w:ind w:left="0"/>
        <w:jc w:val="both"/>
      </w:pPr>
      <w:r>
        <w:rPr>
          <w:rFonts w:ascii="Times New Roman"/>
          <w:b w:val="false"/>
          <w:i w:val="false"/>
          <w:color w:val="000000"/>
          <w:sz w:val="28"/>
        </w:rPr>
        <w:t>
      ИКТ и транспортно-логистический комплекс: рост инвестиций в сферу ИКТ и транспортно-логистического комплекса;</w:t>
      </w:r>
    </w:p>
    <w:bookmarkEnd w:id="147"/>
    <w:bookmarkStart w:name="z162" w:id="148"/>
    <w:p>
      <w:pPr>
        <w:spacing w:after="0"/>
        <w:ind w:left="0"/>
        <w:jc w:val="both"/>
      </w:pPr>
      <w:r>
        <w:rPr>
          <w:rFonts w:ascii="Times New Roman"/>
          <w:b w:val="false"/>
          <w:i w:val="false"/>
          <w:color w:val="000000"/>
          <w:sz w:val="28"/>
        </w:rPr>
        <w:t>
      туризм: улучшение позиции Казахстана в индексе конкурентоспособности путешествий и туризма Всемирного экономического форума за три года (с 66 по 52 место);</w:t>
      </w:r>
    </w:p>
    <w:bookmarkEnd w:id="148"/>
    <w:bookmarkStart w:name="z163" w:id="149"/>
    <w:p>
      <w:pPr>
        <w:spacing w:after="0"/>
        <w:ind w:left="0"/>
        <w:jc w:val="both"/>
      </w:pPr>
      <w:r>
        <w:rPr>
          <w:rFonts w:ascii="Times New Roman"/>
          <w:b w:val="false"/>
          <w:i w:val="false"/>
          <w:color w:val="000000"/>
          <w:sz w:val="28"/>
        </w:rPr>
        <w:t>
      инфраструктура: разрабатывается Национальный инфраструктурный план до 2029 года (далее – НИП), направленный на формирование устойчивого инфраструктурного каркаса страны;</w:t>
      </w:r>
    </w:p>
    <w:bookmarkEnd w:id="149"/>
    <w:bookmarkStart w:name="z164" w:id="150"/>
    <w:p>
      <w:pPr>
        <w:spacing w:after="0"/>
        <w:ind w:left="0"/>
        <w:jc w:val="both"/>
      </w:pPr>
      <w:r>
        <w:rPr>
          <w:rFonts w:ascii="Times New Roman"/>
          <w:b w:val="false"/>
          <w:i w:val="false"/>
          <w:color w:val="000000"/>
          <w:sz w:val="28"/>
        </w:rPr>
        <w:t>
      научные исследования и разработки: ежегодное увеличение финансирования казахстанской науки в среднем на 25 %;</w:t>
      </w:r>
    </w:p>
    <w:bookmarkEnd w:id="150"/>
    <w:bookmarkStart w:name="z165" w:id="151"/>
    <w:p>
      <w:pPr>
        <w:spacing w:after="0"/>
        <w:ind w:left="0"/>
        <w:jc w:val="both"/>
      </w:pPr>
      <w:r>
        <w:rPr>
          <w:rFonts w:ascii="Times New Roman"/>
          <w:b w:val="false"/>
          <w:i w:val="false"/>
          <w:color w:val="000000"/>
          <w:sz w:val="28"/>
        </w:rPr>
        <w:t>
      применение площадки МФЦА, в том числе его права и механизмов для разрешения инвестиционных споров.</w:t>
      </w:r>
    </w:p>
    <w:bookmarkEnd w:id="151"/>
    <w:bookmarkStart w:name="z166" w:id="152"/>
    <w:p>
      <w:pPr>
        <w:spacing w:after="0"/>
        <w:ind w:left="0"/>
        <w:jc w:val="both"/>
      </w:pPr>
      <w:r>
        <w:rPr>
          <w:rFonts w:ascii="Times New Roman"/>
          <w:b w:val="false"/>
          <w:i w:val="false"/>
          <w:color w:val="000000"/>
          <w:sz w:val="28"/>
        </w:rPr>
        <w:t>
      Риски:</w:t>
      </w:r>
    </w:p>
    <w:bookmarkEnd w:id="152"/>
    <w:bookmarkStart w:name="z167" w:id="153"/>
    <w:p>
      <w:pPr>
        <w:spacing w:after="0"/>
        <w:ind w:left="0"/>
        <w:jc w:val="both"/>
      </w:pPr>
      <w:r>
        <w:rPr>
          <w:rFonts w:ascii="Times New Roman"/>
          <w:b w:val="false"/>
          <w:i w:val="false"/>
          <w:color w:val="000000"/>
          <w:sz w:val="28"/>
        </w:rPr>
        <w:t>
      концентрация ПИИ: увеличение концентрации ПИИ из политически близких стран;</w:t>
      </w:r>
    </w:p>
    <w:bookmarkEnd w:id="153"/>
    <w:bookmarkStart w:name="z168" w:id="154"/>
    <w:p>
      <w:pPr>
        <w:spacing w:after="0"/>
        <w:ind w:left="0"/>
        <w:jc w:val="both"/>
      </w:pPr>
      <w:r>
        <w:rPr>
          <w:rFonts w:ascii="Times New Roman"/>
          <w:b w:val="false"/>
          <w:i w:val="false"/>
          <w:color w:val="000000"/>
          <w:sz w:val="28"/>
        </w:rPr>
        <w:t>
      конкуренция: усиление конкуренции за ПИИ между странами Центральной Азии;</w:t>
      </w:r>
    </w:p>
    <w:bookmarkEnd w:id="154"/>
    <w:bookmarkStart w:name="z169" w:id="155"/>
    <w:p>
      <w:pPr>
        <w:spacing w:after="0"/>
        <w:ind w:left="0"/>
        <w:jc w:val="both"/>
      </w:pPr>
      <w:r>
        <w:rPr>
          <w:rFonts w:ascii="Times New Roman"/>
          <w:b w:val="false"/>
          <w:i w:val="false"/>
          <w:color w:val="000000"/>
          <w:sz w:val="28"/>
        </w:rPr>
        <w:t>
      геополитическая напряженность: сохранение геополитической напряженности в регионе и вероятность обострения конфликтов;</w:t>
      </w:r>
    </w:p>
    <w:bookmarkEnd w:id="155"/>
    <w:bookmarkStart w:name="z170" w:id="156"/>
    <w:p>
      <w:pPr>
        <w:spacing w:after="0"/>
        <w:ind w:left="0"/>
        <w:jc w:val="both"/>
      </w:pPr>
      <w:r>
        <w:rPr>
          <w:rFonts w:ascii="Times New Roman"/>
          <w:b w:val="false"/>
          <w:i w:val="false"/>
          <w:color w:val="000000"/>
          <w:sz w:val="28"/>
        </w:rPr>
        <w:t>
      нефтегазовый комплекс: снижение инвестиций в сырьевые сектора;</w:t>
      </w:r>
    </w:p>
    <w:bookmarkEnd w:id="156"/>
    <w:bookmarkStart w:name="z171" w:id="157"/>
    <w:p>
      <w:pPr>
        <w:spacing w:after="0"/>
        <w:ind w:left="0"/>
        <w:jc w:val="both"/>
      </w:pPr>
      <w:r>
        <w:rPr>
          <w:rFonts w:ascii="Times New Roman"/>
          <w:b w:val="false"/>
          <w:i w:val="false"/>
          <w:color w:val="000000"/>
          <w:sz w:val="28"/>
        </w:rPr>
        <w:t>
      металлургическое производство: снижение инвестиций в металлургический сектор;</w:t>
      </w:r>
    </w:p>
    <w:bookmarkEnd w:id="157"/>
    <w:bookmarkStart w:name="z172" w:id="158"/>
    <w:p>
      <w:pPr>
        <w:spacing w:after="0"/>
        <w:ind w:left="0"/>
        <w:jc w:val="both"/>
      </w:pPr>
      <w:r>
        <w:rPr>
          <w:rFonts w:ascii="Times New Roman"/>
          <w:b w:val="false"/>
          <w:i w:val="false"/>
          <w:color w:val="000000"/>
          <w:sz w:val="28"/>
        </w:rPr>
        <w:t>
      снижение инвестиционной привлекательности природных ресурсов Казахстана в результате перехода стран к углеродной нейтральности.</w:t>
      </w:r>
    </w:p>
    <w:bookmarkEnd w:id="158"/>
    <w:p>
      <w:pPr>
        <w:spacing w:after="0"/>
        <w:ind w:left="0"/>
        <w:jc w:val="both"/>
      </w:pPr>
      <w:r>
        <w:rPr>
          <w:rFonts w:ascii="Times New Roman"/>
          <w:b/>
          <w:i w:val="false"/>
          <w:color w:val="000000"/>
          <w:sz w:val="28"/>
        </w:rPr>
        <w:t>Раздел 3. Обзор международного опыта</w:t>
      </w:r>
    </w:p>
    <w:bookmarkStart w:name="z174" w:id="159"/>
    <w:p>
      <w:pPr>
        <w:spacing w:after="0"/>
        <w:ind w:left="0"/>
        <w:jc w:val="both"/>
      </w:pPr>
      <w:r>
        <w:rPr>
          <w:rFonts w:ascii="Times New Roman"/>
          <w:b w:val="false"/>
          <w:i w:val="false"/>
          <w:color w:val="000000"/>
          <w:sz w:val="28"/>
        </w:rPr>
        <w:t>
      Эффективное привлечение инвестиций требует системного подхода, включающего защиту прав инвесторов, цифровизацию бизнес-процессов и обеспечение необходимой инфраструктурой. Анализ мировой практики выявил, что Казахстан может применить следующие примеры:</w:t>
      </w:r>
    </w:p>
    <w:bookmarkEnd w:id="159"/>
    <w:bookmarkStart w:name="z175" w:id="160"/>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Инвестиционные платформы</w:t>
      </w:r>
    </w:p>
    <w:bookmarkEnd w:id="160"/>
    <w:bookmarkStart w:name="z176" w:id="161"/>
    <w:p>
      <w:pPr>
        <w:spacing w:after="0"/>
        <w:ind w:left="0"/>
        <w:jc w:val="both"/>
      </w:pPr>
      <w:r>
        <w:rPr>
          <w:rFonts w:ascii="Times New Roman"/>
          <w:b w:val="false"/>
          <w:i w:val="false"/>
          <w:color w:val="000000"/>
          <w:sz w:val="28"/>
        </w:rPr>
        <w:t>
      Цифровые платформы по принципу "одного окна" упрощают инвестиционные процессы. В Уругвае такая платформа автоматизирует бизнес-процессы и предоставляет информацию об инвестиционном климате. В Индии платформа PRAGATI, контролируемая Премьер-Министром, ускоряет реализацию крупных проектов, а Тайвань предлагает онлайн-систему, упрощающую подачу заявок и предоставляющую персональных менеджеров для крупных проектов.</w:t>
      </w:r>
    </w:p>
    <w:bookmarkEnd w:id="161"/>
    <w:bookmarkStart w:name="z177" w:id="162"/>
    <w:p>
      <w:pPr>
        <w:spacing w:after="0"/>
        <w:ind w:left="0"/>
        <w:jc w:val="both"/>
      </w:pPr>
      <w:r>
        <w:rPr>
          <w:rFonts w:ascii="Times New Roman"/>
          <w:b w:val="false"/>
          <w:i w:val="false"/>
          <w:color w:val="000000"/>
          <w:sz w:val="28"/>
        </w:rPr>
        <w:t xml:space="preserve">
      </w:t>
      </w:r>
      <w:r>
        <w:rPr>
          <w:rFonts w:ascii="Times New Roman"/>
          <w:b/>
          <w:i w:val="false"/>
          <w:color w:val="000000"/>
          <w:sz w:val="28"/>
        </w:rPr>
        <w:t>Зеленый коридор</w:t>
      </w:r>
    </w:p>
    <w:bookmarkEnd w:id="162"/>
    <w:bookmarkStart w:name="z178" w:id="163"/>
    <w:p>
      <w:pPr>
        <w:spacing w:after="0"/>
        <w:ind w:left="0"/>
        <w:jc w:val="both"/>
      </w:pPr>
      <w:r>
        <w:rPr>
          <w:rFonts w:ascii="Times New Roman"/>
          <w:b w:val="false"/>
          <w:i w:val="false"/>
          <w:color w:val="000000"/>
          <w:sz w:val="28"/>
        </w:rPr>
        <w:t>
      Многие страны ускоряют процедуры получения разрешений для инвесторов. Греция внедрила систему "Зеленого коридора" для стратегических проектов, Саудовская Аравия через SAGIA выдает инвестиционные лицензии за 5 дней для определенных компаний, а в Албании закон об ускоренных процедурах охватывает стратегические отрасли. В Чили Единая система разрешений (SUPER) объединяет множество лицензий и разрешений, что делает ее одной из самых оптимизированных в мире по данным Всемирного банка.</w:t>
      </w:r>
    </w:p>
    <w:bookmarkEnd w:id="163"/>
    <w:bookmarkStart w:name="z179" w:id="164"/>
    <w:p>
      <w:pPr>
        <w:spacing w:after="0"/>
        <w:ind w:left="0"/>
        <w:jc w:val="both"/>
      </w:pPr>
      <w:r>
        <w:rPr>
          <w:rFonts w:ascii="Times New Roman"/>
          <w:b w:val="false"/>
          <w:i w:val="false"/>
          <w:color w:val="000000"/>
          <w:sz w:val="28"/>
        </w:rPr>
        <w:t xml:space="preserve">
      </w:t>
      </w:r>
      <w:r>
        <w:rPr>
          <w:rFonts w:ascii="Times New Roman"/>
          <w:b/>
          <w:i w:val="false"/>
          <w:color w:val="000000"/>
          <w:sz w:val="28"/>
        </w:rPr>
        <w:t>Меры развития ГЧП</w:t>
      </w:r>
    </w:p>
    <w:bookmarkEnd w:id="164"/>
    <w:bookmarkStart w:name="z180" w:id="165"/>
    <w:p>
      <w:pPr>
        <w:spacing w:after="0"/>
        <w:ind w:left="0"/>
        <w:jc w:val="both"/>
      </w:pPr>
      <w:r>
        <w:rPr>
          <w:rFonts w:ascii="Times New Roman"/>
          <w:b w:val="false"/>
          <w:i w:val="false"/>
          <w:color w:val="000000"/>
          <w:sz w:val="28"/>
        </w:rPr>
        <w:t>
      ГЧП широко используется для реализации инфраструктурных проектов, таких как дороги, больницы, школы, транспортные системы и энергетические установки. В Узбекистане Фонд разработки проектов ГЧП, созданный при поддержке ЕБРР, привлекает консультантов для разработки концепций, финансовых моделей и тендерной документации. Китайский центр ГЧП (CPPPC) при Министерстве финансов помогает правительству в выборе отраслей, моделей и стандартизации проектов. Корейский Центр ГЧП (PIMAC) при Корейском институте развития проводит предварительное технико-экономическое обоснование инвестиционных проектов. Качественное планирование проектов обеспечивает повышение эффективности денег, снижает риски, и, соответственно, повышает инвестиционную привлекательность ГЧП и инвестиционную привлекательность рынка в целом.</w:t>
      </w:r>
    </w:p>
    <w:bookmarkEnd w:id="165"/>
    <w:bookmarkStart w:name="z181" w:id="166"/>
    <w:p>
      <w:pPr>
        <w:spacing w:after="0"/>
        <w:ind w:left="0"/>
        <w:jc w:val="both"/>
      </w:pPr>
      <w:r>
        <w:rPr>
          <w:rFonts w:ascii="Times New Roman"/>
          <w:b w:val="false"/>
          <w:i w:val="false"/>
          <w:color w:val="000000"/>
          <w:sz w:val="28"/>
        </w:rPr>
        <w:t xml:space="preserve">
      </w:t>
      </w:r>
      <w:r>
        <w:rPr>
          <w:rFonts w:ascii="Times New Roman"/>
          <w:b/>
          <w:i w:val="false"/>
          <w:color w:val="000000"/>
          <w:sz w:val="28"/>
        </w:rPr>
        <w:t>Меры развития СЭЗ</w:t>
      </w:r>
    </w:p>
    <w:bookmarkEnd w:id="166"/>
    <w:bookmarkStart w:name="z182" w:id="167"/>
    <w:p>
      <w:pPr>
        <w:spacing w:after="0"/>
        <w:ind w:left="0"/>
        <w:jc w:val="both"/>
      </w:pPr>
      <w:r>
        <w:rPr>
          <w:rFonts w:ascii="Times New Roman"/>
          <w:b w:val="false"/>
          <w:i w:val="false"/>
          <w:color w:val="000000"/>
          <w:sz w:val="28"/>
        </w:rPr>
        <w:t>
      В международной практике успешные страны вводят различные меры для улучшения условий в СЭЗ, включая налоговые стимулы, упрощенные административные процедуры и инвестиции в инфраструктуру. Например, Китай стал пионером в этой области, предоставив налоговые льготы и упрощенные правила для экспортно ориентированных компаний в СЭЗ. Эти меры позволили привлечь крупные иностранные корпорации и сделать СЭЗ важнейшими точками роста экономики, стимулируя инновации и высокотехнологичное производство. СЭЗ в Китае предоставляют доступ к инфраструктуре и значительные государственные вложения в научные исследования и разработки.</w:t>
      </w:r>
    </w:p>
    <w:bookmarkEnd w:id="167"/>
    <w:bookmarkStart w:name="z183" w:id="168"/>
    <w:p>
      <w:pPr>
        <w:spacing w:after="0"/>
        <w:ind w:left="0"/>
        <w:jc w:val="both"/>
      </w:pPr>
      <w:r>
        <w:rPr>
          <w:rFonts w:ascii="Times New Roman"/>
          <w:b w:val="false"/>
          <w:i w:val="false"/>
          <w:color w:val="000000"/>
          <w:sz w:val="28"/>
        </w:rPr>
        <w:t>
      В Малайзии специальные экономические зоны, такие как зона "Искандар", ориентированы на привлечение инвестиций в высокотехнологичные отрасли и цифровую экономику. Правительство Малайзии предоставляет налоговые льготы на срок до 10 лет, а также освобождение от импортных и экспортных пошлин на оборудование. Дополнительные меры включают упрощение административных процедур, быстрое получение разрешений и доступ к высококачественной инфраструктуре. "Искандар" также предоставляет инвесторам доступ к квалифицированной рабочей силе и стимулирует сотрудничество с университетами и исследовательскими центрами для развития инноваций.</w:t>
      </w:r>
    </w:p>
    <w:bookmarkEnd w:id="168"/>
    <w:bookmarkStart w:name="z184" w:id="169"/>
    <w:p>
      <w:pPr>
        <w:spacing w:after="0"/>
        <w:ind w:left="0"/>
        <w:jc w:val="both"/>
      </w:pPr>
      <w:r>
        <w:rPr>
          <w:rFonts w:ascii="Times New Roman"/>
          <w:b w:val="false"/>
          <w:i w:val="false"/>
          <w:color w:val="000000"/>
          <w:sz w:val="28"/>
        </w:rPr>
        <w:t>
      В Южной Корее СЭЗ, такие как Инчхон, направлены на привлечение инвестиций в логистику, биотехнологии и IT-сектор. Южнокорейское правительство предлагает резидентам СЭЗ льготные налоговые режимы, включая снижение корпоративного налога до 50 % на срок до 7 лет. Кроме того, предусмотрены меры по упрощению импорта и экспорта товаров через порты и аэропорты.</w:t>
      </w:r>
    </w:p>
    <w:bookmarkEnd w:id="169"/>
    <w:bookmarkStart w:name="z185" w:id="17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инфраструктуры</w:t>
      </w:r>
    </w:p>
    <w:bookmarkEnd w:id="170"/>
    <w:bookmarkStart w:name="z186" w:id="171"/>
    <w:p>
      <w:pPr>
        <w:spacing w:after="0"/>
        <w:ind w:left="0"/>
        <w:jc w:val="both"/>
      </w:pPr>
      <w:r>
        <w:rPr>
          <w:rFonts w:ascii="Times New Roman"/>
          <w:b w:val="false"/>
          <w:i w:val="false"/>
          <w:color w:val="000000"/>
          <w:sz w:val="28"/>
        </w:rPr>
        <w:t>
      В Российской Федерации действует Соглашение о защите и поощрении капиталовложений, обеспечивающее гарантии стабильности законодательства и возможность компенсации затрат на инфраструктуру через налоговые вычеты и прямое возмещение. Инвесторам возмещаются затраты на различные виды инфраструктуры, включая транспортную, коммунальную, энергетическую, социальную и цифровую, а также на проценты по кредитам и займам. Сумма возмещения не может превышать объем исчисленных налогов и выплачивается частями в течение 5 или 10 лет. Субсидии предоставляются через Министерство экономического развития Российской Федерации в пределах бюджетных ассигнований.</w:t>
      </w:r>
    </w:p>
    <w:bookmarkEnd w:id="171"/>
    <w:p>
      <w:pPr>
        <w:spacing w:after="0"/>
        <w:ind w:left="0"/>
        <w:jc w:val="both"/>
      </w:pPr>
      <w:r>
        <w:rPr>
          <w:rFonts w:ascii="Times New Roman"/>
          <w:b/>
          <w:i w:val="false"/>
          <w:color w:val="000000"/>
          <w:sz w:val="28"/>
        </w:rPr>
        <w:t>Раздел 4. Видение развития инвестиционной политики</w:t>
      </w:r>
    </w:p>
    <w:bookmarkStart w:name="z188" w:id="172"/>
    <w:p>
      <w:pPr>
        <w:spacing w:after="0"/>
        <w:ind w:left="0"/>
        <w:jc w:val="both"/>
      </w:pPr>
      <w:r>
        <w:rPr>
          <w:rFonts w:ascii="Times New Roman"/>
          <w:b w:val="false"/>
          <w:i w:val="false"/>
          <w:color w:val="000000"/>
          <w:sz w:val="28"/>
        </w:rPr>
        <w:t xml:space="preserve">
      Реализация настоящей Концепции направлена на формирование целостной экосистемы для привлечения инвестиций и повышения инвестиционной привлекательности страны. </w:t>
      </w:r>
    </w:p>
    <w:bookmarkEnd w:id="172"/>
    <w:bookmarkStart w:name="z189" w:id="173"/>
    <w:p>
      <w:pPr>
        <w:spacing w:after="0"/>
        <w:ind w:left="0"/>
        <w:jc w:val="both"/>
      </w:pPr>
      <w:r>
        <w:rPr>
          <w:rFonts w:ascii="Times New Roman"/>
          <w:b w:val="false"/>
          <w:i w:val="false"/>
          <w:color w:val="000000"/>
          <w:sz w:val="28"/>
        </w:rPr>
        <w:t>
      Ключевыми ориентирами для привлечения инвестиций в несырьевой сектор и отхода от сырьевой модели развития станут рост производительности труда, наращивание объемов и повышение сложности экспорта, а также поэтапная локализация производств.</w:t>
      </w:r>
    </w:p>
    <w:bookmarkEnd w:id="173"/>
    <w:bookmarkStart w:name="z190" w:id="174"/>
    <w:p>
      <w:pPr>
        <w:spacing w:after="0"/>
        <w:ind w:left="0"/>
        <w:jc w:val="both"/>
      </w:pPr>
      <w:r>
        <w:rPr>
          <w:rFonts w:ascii="Times New Roman"/>
          <w:b w:val="false"/>
          <w:i w:val="false"/>
          <w:color w:val="000000"/>
          <w:sz w:val="28"/>
        </w:rPr>
        <w:t xml:space="preserve">
      Видение заключается в усовершенствовании трехуровневой системы привлечения инвестиций для создания крепкого фундамента инвестиционной политики. </w:t>
      </w:r>
    </w:p>
    <w:bookmarkEnd w:id="174"/>
    <w:bookmarkStart w:name="z191" w:id="175"/>
    <w:p>
      <w:pPr>
        <w:spacing w:after="0"/>
        <w:ind w:left="0"/>
        <w:jc w:val="both"/>
      </w:pPr>
      <w:r>
        <w:rPr>
          <w:rFonts w:ascii="Times New Roman"/>
          <w:b w:val="false"/>
          <w:i w:val="false"/>
          <w:color w:val="000000"/>
          <w:sz w:val="28"/>
        </w:rPr>
        <w:t xml:space="preserve">
      Полноценный запуск национальной цифровой инвестиционной платформы станет основой для мониторинга инвестиционной деятельности и координации между государственными органами. Все бизнес-процессы инвестиционной деятельности будут оцифрованы: от привлечения до запуска проекта по принципу "одного окна". </w:t>
      </w:r>
    </w:p>
    <w:bookmarkEnd w:id="175"/>
    <w:bookmarkStart w:name="z192" w:id="176"/>
    <w:p>
      <w:pPr>
        <w:spacing w:after="0"/>
        <w:ind w:left="0"/>
        <w:jc w:val="both"/>
      </w:pPr>
      <w:r>
        <w:rPr>
          <w:rFonts w:ascii="Times New Roman"/>
          <w:b w:val="false"/>
          <w:i w:val="false"/>
          <w:color w:val="000000"/>
          <w:sz w:val="28"/>
        </w:rPr>
        <w:t>
      Работа по укреплению благоприятной инвестиционной среды будет направлена на дальнейшее повышение прозрачности инвестиционной политики, развитие и защиту справедливой конкуренции, улучшение мягкой и твердой инфраструктуры для инвесторов, а также развитие малого и среднего бизнеса.</w:t>
      </w:r>
    </w:p>
    <w:bookmarkEnd w:id="176"/>
    <w:bookmarkStart w:name="z193" w:id="177"/>
    <w:p>
      <w:pPr>
        <w:spacing w:after="0"/>
        <w:ind w:left="0"/>
        <w:jc w:val="both"/>
      </w:pPr>
      <w:r>
        <w:rPr>
          <w:rFonts w:ascii="Times New Roman"/>
          <w:b w:val="false"/>
          <w:i w:val="false"/>
          <w:color w:val="000000"/>
          <w:sz w:val="28"/>
        </w:rPr>
        <w:t xml:space="preserve">
      Система защиты прав инвесторов будет усовершенствована посредством совершенствования механизма рассмотрения и решения проблемных вопросов инвесторов. Система инвестиционных преференций и мер государственной поддержки будет оптимизирована и дифференцирована с учетом отраслевой и региональной специфики. </w:t>
      </w:r>
    </w:p>
    <w:bookmarkEnd w:id="177"/>
    <w:bookmarkStart w:name="z194" w:id="178"/>
    <w:p>
      <w:pPr>
        <w:spacing w:after="0"/>
        <w:ind w:left="0"/>
        <w:jc w:val="both"/>
      </w:pPr>
      <w:r>
        <w:rPr>
          <w:rFonts w:ascii="Times New Roman"/>
          <w:b w:val="false"/>
          <w:i w:val="false"/>
          <w:color w:val="000000"/>
          <w:sz w:val="28"/>
        </w:rPr>
        <w:t xml:space="preserve">
      Будут усовершенствован механизм ГЧП через создание фонда подготовки крупных проектов и улучшены подходы по инициированию и отбору проектов. </w:t>
      </w:r>
    </w:p>
    <w:bookmarkEnd w:id="178"/>
    <w:bookmarkStart w:name="z195" w:id="179"/>
    <w:p>
      <w:pPr>
        <w:spacing w:after="0"/>
        <w:ind w:left="0"/>
        <w:jc w:val="both"/>
      </w:pPr>
      <w:r>
        <w:rPr>
          <w:rFonts w:ascii="Times New Roman"/>
          <w:b w:val="false"/>
          <w:i w:val="false"/>
          <w:color w:val="000000"/>
          <w:sz w:val="28"/>
        </w:rPr>
        <w:t xml:space="preserve">
      Эффективность работы СЭЗ и ИЗ будет повышена за счет доведения инфраструктуры до полной готовности и введения встречных обязательств. </w:t>
      </w:r>
    </w:p>
    <w:bookmarkEnd w:id="179"/>
    <w:bookmarkStart w:name="z196" w:id="180"/>
    <w:p>
      <w:pPr>
        <w:spacing w:after="0"/>
        <w:ind w:left="0"/>
        <w:jc w:val="both"/>
      </w:pPr>
      <w:r>
        <w:rPr>
          <w:rFonts w:ascii="Times New Roman"/>
          <w:b w:val="false"/>
          <w:i w:val="false"/>
          <w:color w:val="000000"/>
          <w:sz w:val="28"/>
        </w:rPr>
        <w:t xml:space="preserve">
      Качественный рост кредитования реального сектора экономики будет обеспечен путем смещения акцента с прямого финансирования от государственных институтов развития на частные финансовые институты, развивая рынок долгосрочного фондирования банков и альтернативные источники финансирования. </w:t>
      </w:r>
    </w:p>
    <w:bookmarkEnd w:id="180"/>
    <w:bookmarkStart w:name="z197" w:id="181"/>
    <w:p>
      <w:pPr>
        <w:spacing w:after="0"/>
        <w:ind w:left="0"/>
        <w:jc w:val="both"/>
      </w:pPr>
      <w:r>
        <w:rPr>
          <w:rFonts w:ascii="Times New Roman"/>
          <w:b w:val="false"/>
          <w:i w:val="false"/>
          <w:color w:val="000000"/>
          <w:sz w:val="28"/>
        </w:rPr>
        <w:t>
      Стимулирование привлечения инвестиций в "зеленые" проекты будет проводиться с учетом достижения целей устойчивого развития, декарбонизации и на основе продвижения принципов ESG при реализации проектов.</w:t>
      </w:r>
    </w:p>
    <w:bookmarkEnd w:id="181"/>
    <w:bookmarkStart w:name="z198" w:id="182"/>
    <w:p>
      <w:pPr>
        <w:spacing w:after="0"/>
        <w:ind w:left="0"/>
        <w:jc w:val="both"/>
      </w:pPr>
      <w:r>
        <w:rPr>
          <w:rFonts w:ascii="Times New Roman"/>
          <w:b w:val="false"/>
          <w:i w:val="false"/>
          <w:color w:val="000000"/>
          <w:sz w:val="28"/>
        </w:rPr>
        <w:t>
      Настоящая Концепция ориентирована на формирование целостной государственной инвестиционной политики, синхронизированной с другими политиками, влияющими на развитие инвестиционного потенциала страны, в рамках реализации трех основных направлений:</w:t>
      </w:r>
    </w:p>
    <w:bookmarkEnd w:id="182"/>
    <w:bookmarkStart w:name="z199" w:id="183"/>
    <w:p>
      <w:pPr>
        <w:spacing w:after="0"/>
        <w:ind w:left="0"/>
        <w:jc w:val="both"/>
      </w:pPr>
      <w:r>
        <w:rPr>
          <w:rFonts w:ascii="Times New Roman"/>
          <w:b w:val="false"/>
          <w:i w:val="false"/>
          <w:color w:val="000000"/>
          <w:sz w:val="28"/>
        </w:rPr>
        <w:t>
      1) дальнейшее развитие экосистемы привлечения инвестиций;</w:t>
      </w:r>
    </w:p>
    <w:bookmarkEnd w:id="183"/>
    <w:bookmarkStart w:name="z200" w:id="184"/>
    <w:p>
      <w:pPr>
        <w:spacing w:after="0"/>
        <w:ind w:left="0"/>
        <w:jc w:val="both"/>
      </w:pPr>
      <w:r>
        <w:rPr>
          <w:rFonts w:ascii="Times New Roman"/>
          <w:b w:val="false"/>
          <w:i w:val="false"/>
          <w:color w:val="000000"/>
          <w:sz w:val="28"/>
        </w:rPr>
        <w:t>
      2) содействие развитию институционального каркаса и инфраструктуры;</w:t>
      </w:r>
    </w:p>
    <w:bookmarkEnd w:id="184"/>
    <w:bookmarkStart w:name="z201" w:id="185"/>
    <w:p>
      <w:pPr>
        <w:spacing w:after="0"/>
        <w:ind w:left="0"/>
        <w:jc w:val="both"/>
      </w:pPr>
      <w:r>
        <w:rPr>
          <w:rFonts w:ascii="Times New Roman"/>
          <w:b w:val="false"/>
          <w:i w:val="false"/>
          <w:color w:val="000000"/>
          <w:sz w:val="28"/>
        </w:rPr>
        <w:t>
      3) раскрытие инвестиционного потенциала экономики.</w:t>
      </w:r>
    </w:p>
    <w:bookmarkEnd w:id="185"/>
    <w:p>
      <w:pPr>
        <w:spacing w:after="0"/>
        <w:ind w:left="0"/>
        <w:jc w:val="both"/>
      </w:pPr>
      <w:r>
        <w:rPr>
          <w:rFonts w:ascii="Times New Roman"/>
          <w:b/>
          <w:i w:val="false"/>
          <w:color w:val="000000"/>
          <w:sz w:val="28"/>
        </w:rPr>
        <w:t>Раздел 5. Основные принципы и подходы развития</w:t>
      </w:r>
    </w:p>
    <w:p>
      <w:pPr>
        <w:spacing w:after="0"/>
        <w:ind w:left="0"/>
        <w:jc w:val="both"/>
      </w:pPr>
      <w:r>
        <w:rPr>
          <w:rFonts w:ascii="Times New Roman"/>
          <w:b/>
          <w:i w:val="false"/>
          <w:color w:val="000000"/>
          <w:sz w:val="28"/>
        </w:rPr>
        <w:t>5.1 Основные принципы</w:t>
      </w:r>
    </w:p>
    <w:bookmarkStart w:name="z204" w:id="186"/>
    <w:p>
      <w:pPr>
        <w:spacing w:after="0"/>
        <w:ind w:left="0"/>
        <w:jc w:val="both"/>
      </w:pPr>
      <w:r>
        <w:rPr>
          <w:rFonts w:ascii="Times New Roman"/>
          <w:b w:val="false"/>
          <w:i w:val="false"/>
          <w:color w:val="000000"/>
          <w:sz w:val="28"/>
        </w:rPr>
        <w:t>
      Настоящей Концепцией определены следующие основополагающие принципы развития инвестиционной политики:</w:t>
      </w:r>
    </w:p>
    <w:bookmarkEnd w:id="186"/>
    <w:bookmarkStart w:name="z205" w:id="187"/>
    <w:p>
      <w:pPr>
        <w:spacing w:after="0"/>
        <w:ind w:left="0"/>
        <w:jc w:val="both"/>
      </w:pPr>
      <w:r>
        <w:rPr>
          <w:rFonts w:ascii="Times New Roman"/>
          <w:b w:val="false"/>
          <w:i w:val="false"/>
          <w:color w:val="000000"/>
          <w:sz w:val="28"/>
        </w:rPr>
        <w:t>
      1. Синхронизированность со стратегическими целями: инвестиционная политика тесно связана с долгосрочными стратегическими приоритетами и целями развития страны;</w:t>
      </w:r>
    </w:p>
    <w:bookmarkEnd w:id="187"/>
    <w:bookmarkStart w:name="z206" w:id="188"/>
    <w:p>
      <w:pPr>
        <w:spacing w:after="0"/>
        <w:ind w:left="0"/>
        <w:jc w:val="both"/>
      </w:pPr>
      <w:r>
        <w:rPr>
          <w:rFonts w:ascii="Times New Roman"/>
          <w:b w:val="false"/>
          <w:i w:val="false"/>
          <w:color w:val="000000"/>
          <w:sz w:val="28"/>
        </w:rPr>
        <w:t>
      2. Справедливая конкуренция: сокращение мер государственной поддержки, искажающих рыночные принципы и негативно влияющих на развитие частного сектора;</w:t>
      </w:r>
    </w:p>
    <w:bookmarkEnd w:id="188"/>
    <w:bookmarkStart w:name="z207" w:id="189"/>
    <w:p>
      <w:pPr>
        <w:spacing w:after="0"/>
        <w:ind w:left="0"/>
        <w:jc w:val="both"/>
      </w:pPr>
      <w:r>
        <w:rPr>
          <w:rFonts w:ascii="Times New Roman"/>
          <w:b w:val="false"/>
          <w:i w:val="false"/>
          <w:color w:val="000000"/>
          <w:sz w:val="28"/>
        </w:rPr>
        <w:t>
      3. Преемственность: инвестиционная политика строится на основе предыдущего опыта и достижений, обеспечивая устойчивое и последовательное развитие инвестиционного климата в стране;</w:t>
      </w:r>
    </w:p>
    <w:bookmarkEnd w:id="189"/>
    <w:bookmarkStart w:name="z208" w:id="190"/>
    <w:p>
      <w:pPr>
        <w:spacing w:after="0"/>
        <w:ind w:left="0"/>
        <w:jc w:val="both"/>
      </w:pPr>
      <w:r>
        <w:rPr>
          <w:rFonts w:ascii="Times New Roman"/>
          <w:b w:val="false"/>
          <w:i w:val="false"/>
          <w:color w:val="000000"/>
          <w:sz w:val="28"/>
        </w:rPr>
        <w:t>
      4. Ориентированность на приоритетные отрасли: в приоритете развитие отраслей экономики, имеющих стратегическое значение и конкурентоспособных на международном рынке, способствующих устойчивому экономическому росту;</w:t>
      </w:r>
    </w:p>
    <w:bookmarkEnd w:id="190"/>
    <w:bookmarkStart w:name="z209" w:id="191"/>
    <w:p>
      <w:pPr>
        <w:spacing w:after="0"/>
        <w:ind w:left="0"/>
        <w:jc w:val="both"/>
      </w:pPr>
      <w:r>
        <w:rPr>
          <w:rFonts w:ascii="Times New Roman"/>
          <w:b w:val="false"/>
          <w:i w:val="false"/>
          <w:color w:val="000000"/>
          <w:sz w:val="28"/>
        </w:rPr>
        <w:t>
      5. Интегрированность: создание единой системы поддержки и сопровождения для инвесторов, которая объединяет все необходимые процессы, инструменты и ресурсы;</w:t>
      </w:r>
    </w:p>
    <w:bookmarkEnd w:id="191"/>
    <w:bookmarkStart w:name="z210" w:id="192"/>
    <w:p>
      <w:pPr>
        <w:spacing w:after="0"/>
        <w:ind w:left="0"/>
        <w:jc w:val="both"/>
      </w:pPr>
      <w:r>
        <w:rPr>
          <w:rFonts w:ascii="Times New Roman"/>
          <w:b w:val="false"/>
          <w:i w:val="false"/>
          <w:color w:val="000000"/>
          <w:sz w:val="28"/>
        </w:rPr>
        <w:t>
      6. Непрерывность: постоянное совершенствование инвестиционной политики и процессов путем анализа результатов, обратной связи и учета меняющихся экономических и политических условий.</w:t>
      </w:r>
    </w:p>
    <w:bookmarkEnd w:id="192"/>
    <w:p>
      <w:pPr>
        <w:spacing w:after="0"/>
        <w:ind w:left="0"/>
        <w:jc w:val="both"/>
      </w:pPr>
      <w:r>
        <w:rPr>
          <w:rFonts w:ascii="Times New Roman"/>
          <w:b/>
          <w:i w:val="false"/>
          <w:color w:val="000000"/>
          <w:sz w:val="28"/>
        </w:rPr>
        <w:t>5.2 Подходы к развитию инвестиционной политики</w:t>
      </w:r>
    </w:p>
    <w:bookmarkStart w:name="z212" w:id="193"/>
    <w:p>
      <w:pPr>
        <w:spacing w:after="0"/>
        <w:ind w:left="0"/>
        <w:jc w:val="both"/>
      </w:pPr>
      <w:r>
        <w:rPr>
          <w:rFonts w:ascii="Times New Roman"/>
          <w:b w:val="false"/>
          <w:i w:val="false"/>
          <w:color w:val="000000"/>
          <w:sz w:val="28"/>
        </w:rPr>
        <w:t>
      Исходя из анализа текущего состояния, стратегических приоритетов и задач социально-экономического развития страны, глобальных трендов, а также мировой практики развития инвестиционного климата, настоящей Концепцией определены следующие подходы к развитию инвестиционной политики до 2029 года.</w:t>
      </w:r>
    </w:p>
    <w:bookmarkEnd w:id="193"/>
    <w:p>
      <w:pPr>
        <w:spacing w:after="0"/>
        <w:ind w:left="0"/>
        <w:jc w:val="both"/>
      </w:pPr>
      <w:r>
        <w:rPr>
          <w:rFonts w:ascii="Times New Roman"/>
          <w:b/>
          <w:i w:val="false"/>
          <w:color w:val="000000"/>
          <w:sz w:val="28"/>
        </w:rPr>
        <w:t>Направление 1. Дальнейшее развитие экосистемы привлечения инвестиций</w:t>
      </w:r>
    </w:p>
    <w:bookmarkStart w:name="z214" w:id="194"/>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внешнего уровня привлечения инвестиций</w:t>
      </w:r>
    </w:p>
    <w:bookmarkEnd w:id="194"/>
    <w:bookmarkStart w:name="z215" w:id="195"/>
    <w:p>
      <w:pPr>
        <w:spacing w:after="0"/>
        <w:ind w:left="0"/>
        <w:jc w:val="both"/>
      </w:pPr>
      <w:r>
        <w:rPr>
          <w:rFonts w:ascii="Times New Roman"/>
          <w:b w:val="false"/>
          <w:i w:val="false"/>
          <w:color w:val="000000"/>
          <w:sz w:val="28"/>
        </w:rPr>
        <w:t xml:space="preserve">
      В целях повышения эффективности работы загранучреждений Республики Казахстан по привлечению инвестиций планируется пересмотреть текущие подходы поиска и привлечения потенциальных иностранных инвесторов. </w:t>
      </w:r>
    </w:p>
    <w:bookmarkEnd w:id="195"/>
    <w:bookmarkStart w:name="z216" w:id="196"/>
    <w:p>
      <w:pPr>
        <w:spacing w:after="0"/>
        <w:ind w:left="0"/>
        <w:jc w:val="both"/>
      </w:pPr>
      <w:r>
        <w:rPr>
          <w:rFonts w:ascii="Times New Roman"/>
          <w:b w:val="false"/>
          <w:i w:val="false"/>
          <w:color w:val="000000"/>
          <w:sz w:val="28"/>
        </w:rPr>
        <w:t>
      Основное внимание будет уделено налаживанию взаимодействия между государственными органами и местными исполнительными органами с зарубежными государственными учреждениями для формирования конкретных "заказов" на привлечение инвестиций. В рамках этого процесса будет введено обязательство для центральных и местных исполнительных органов, субъектов квазигосударственного сектора участников регулярно формировать инвестиционные предложения, которые впоследствии будут направлены в уполномоченный орган по инвестициям. Полученные данные будут использоваться загранучреждениями Республики Казахстан для эффективной реализации страновых инвестиционных программ.</w:t>
      </w:r>
    </w:p>
    <w:bookmarkEnd w:id="196"/>
    <w:bookmarkStart w:name="z217" w:id="197"/>
    <w:p>
      <w:pPr>
        <w:spacing w:after="0"/>
        <w:ind w:left="0"/>
        <w:jc w:val="both"/>
      </w:pPr>
      <w:r>
        <w:rPr>
          <w:rFonts w:ascii="Times New Roman"/>
          <w:b w:val="false"/>
          <w:i w:val="false"/>
          <w:color w:val="000000"/>
          <w:sz w:val="28"/>
        </w:rPr>
        <w:t>
      Казахстан также будет придерживаться принципов Соглашения ВТО о содействии инвестициям в целях развития, направленным на установление глобальных стандартов для упрощения инвестиционных процедур. Это создаст платформу для обмена лучшими практиками и международного сотрудничества, улучшая инвестиционный климат и обеспечивая прозрачные и предсказуемые условия для бизнеса, что будет способствовать росту инвестиций и укреплению доверия на рынке.</w:t>
      </w:r>
    </w:p>
    <w:bookmarkEnd w:id="197"/>
    <w:bookmarkStart w:name="z218" w:id="19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центрального уровня привлечения инвестиций</w:t>
      </w:r>
    </w:p>
    <w:bookmarkEnd w:id="198"/>
    <w:bookmarkStart w:name="z219" w:id="199"/>
    <w:p>
      <w:pPr>
        <w:spacing w:after="0"/>
        <w:ind w:left="0"/>
        <w:jc w:val="both"/>
      </w:pPr>
      <w:r>
        <w:rPr>
          <w:rFonts w:ascii="Times New Roman"/>
          <w:b w:val="false"/>
          <w:i w:val="false"/>
          <w:color w:val="000000"/>
          <w:sz w:val="28"/>
        </w:rPr>
        <w:t>
      Для улучшения инвестиционной экосистемы будут четко регламентированы и распределены функции государственных органов и субъектов квазигосударственного сектора на центральном уровне.</w:t>
      </w:r>
    </w:p>
    <w:bookmarkEnd w:id="199"/>
    <w:bookmarkStart w:name="z220" w:id="200"/>
    <w:p>
      <w:pPr>
        <w:spacing w:after="0"/>
        <w:ind w:left="0"/>
        <w:jc w:val="both"/>
      </w:pPr>
      <w:r>
        <w:rPr>
          <w:rFonts w:ascii="Times New Roman"/>
          <w:b w:val="false"/>
          <w:i w:val="false"/>
          <w:color w:val="000000"/>
          <w:sz w:val="28"/>
        </w:rPr>
        <w:t>
      Деятельность уполномоченного органа по инвестициям и национальной компании в области привлечения инвестиций будет осуществляться по принципу "одного окна". Будет обеспечено полное сопровождение инвестиционного цикла: от поиска потенциальных инвесторов и ведения переговоров до его "приземления". В данном процессе также будут оказывать содействие субъекты квазигосударственного сектора. Это позволит централизованно и оперативно решать вопросы по подведению инженерно-коммуникационной инфраструктуры, получению разрешений и преодолению бюрократических барьеров.</w:t>
      </w:r>
    </w:p>
    <w:bookmarkEnd w:id="200"/>
    <w:bookmarkStart w:name="z221" w:id="201"/>
    <w:p>
      <w:pPr>
        <w:spacing w:after="0"/>
        <w:ind w:left="0"/>
        <w:jc w:val="both"/>
      </w:pPr>
      <w:r>
        <w:rPr>
          <w:rFonts w:ascii="Times New Roman"/>
          <w:b w:val="false"/>
          <w:i w:val="false"/>
          <w:color w:val="000000"/>
          <w:sz w:val="28"/>
        </w:rPr>
        <w:t xml:space="preserve">
      За уполномоченным органом по инвестициям и национальной компанией по привлечению инвестиций будет закреплены функции по регулярному мониторингу и проактивному сопровождению хода реализации инвестиционных проектов. </w:t>
      </w:r>
    </w:p>
    <w:bookmarkEnd w:id="201"/>
    <w:bookmarkStart w:name="z222" w:id="202"/>
    <w:p>
      <w:pPr>
        <w:spacing w:after="0"/>
        <w:ind w:left="0"/>
        <w:jc w:val="both"/>
      </w:pPr>
      <w:r>
        <w:rPr>
          <w:rFonts w:ascii="Times New Roman"/>
          <w:b w:val="false"/>
          <w:i w:val="false"/>
          <w:color w:val="000000"/>
          <w:sz w:val="28"/>
        </w:rPr>
        <w:t xml:space="preserve">
      В каждом из государственных органов также будет закреплено должностное лицо на уровне заместителя первого руководителя, которое будет взаимодействовать с проектным менеджером национальной компании по привлечению инвестиций и содействовать в реализации проектов в рамках своих компетенций. Проблемные вопросы инвестиционных проектов, выявленные в ходе мониторинга, будут решаться совместно с государственными органами, институтами развития и инвесторами. Наиболее сложные и системные проблемные вопросы будут выноситься на рассмотрение в Инвестиционный штаб. Регламент системы проектного управления, в том числе сроки и механизмы взаимодействия заинтересованных сторон, будут закреплены нормативно. Все проблемные вопросы будут фиксироваться в "Единый реестр проблемных вопросов и жалоб инвесторов" (далее – реестр) уполномоченным органом по инвестициям для выявления системных барьеров при реализации инвестиционных проектов. </w:t>
      </w:r>
    </w:p>
    <w:bookmarkEnd w:id="202"/>
    <w:bookmarkStart w:name="z223" w:id="203"/>
    <w:p>
      <w:pPr>
        <w:spacing w:after="0"/>
        <w:ind w:left="0"/>
        <w:jc w:val="both"/>
      </w:pPr>
      <w:r>
        <w:rPr>
          <w:rFonts w:ascii="Times New Roman"/>
          <w:b w:val="false"/>
          <w:i w:val="false"/>
          <w:color w:val="000000"/>
          <w:sz w:val="28"/>
        </w:rPr>
        <w:t>
      Реестр будет состоять из двух компонентов: проблемные вопросы реализуемых проектов и прямые обращения (жалобы) инвесторов в национальную компанию по привлечению инвестиций, аппарат Инвестиционного омбудсмена, центральные государственные органы, местные исполнительные органы и субъекты квазигосударственного сектора. Вышеуказанные государственные органы и институты будут обязаны фиксировать поступающие жалобы инвесторов в реестре. На основе реестра будет проводиться системный анализ и формироваться предложения, которые будут отражены в Национальном докладе по инвестициям.</w:t>
      </w:r>
    </w:p>
    <w:bookmarkEnd w:id="203"/>
    <w:bookmarkStart w:name="z224" w:id="204"/>
    <w:p>
      <w:pPr>
        <w:spacing w:after="0"/>
        <w:ind w:left="0"/>
        <w:jc w:val="both"/>
      </w:pPr>
      <w:r>
        <w:rPr>
          <w:rFonts w:ascii="Times New Roman"/>
          <w:b w:val="false"/>
          <w:i w:val="false"/>
          <w:color w:val="000000"/>
          <w:sz w:val="28"/>
        </w:rPr>
        <w:t xml:space="preserve">
      НЦИД будет продолжать выполнять координационную роль в вопросах привлечения инвестиций, совершенствования регуляторной политики, сопровождения и мониторинга реализации инвестиционных проектов. НЦИД усилит межотраслевую координацию с государственными органами и квазигосударственными организациями, а также будет активно участвовать в разработке предложений по совершенствованию бизнес-процессов, направленных на улучшение инвестиционного климата. </w:t>
      </w:r>
    </w:p>
    <w:bookmarkEnd w:id="204"/>
    <w:bookmarkStart w:name="z225" w:id="205"/>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регионального уровня привлечения инвестиций</w:t>
      </w:r>
    </w:p>
    <w:bookmarkEnd w:id="205"/>
    <w:bookmarkStart w:name="z226" w:id="206"/>
    <w:p>
      <w:pPr>
        <w:spacing w:after="0"/>
        <w:ind w:left="0"/>
        <w:jc w:val="both"/>
      </w:pPr>
      <w:r>
        <w:rPr>
          <w:rFonts w:ascii="Times New Roman"/>
          <w:b w:val="false"/>
          <w:i w:val="false"/>
          <w:color w:val="000000"/>
          <w:sz w:val="28"/>
        </w:rPr>
        <w:t xml:space="preserve">
      Для усиления работы регионального уровня привлечения инвестиций будет сформирована Инвестиционная программа регионов (далее – ИПР), в которой будут отражены текущее состояние инвестиционного климата, механизмы развития инвестиционной привлекательности и целевые показатели. Это позволит точечно решать проблемы инвестиционного климата регионов, включая инфраструктурные и кадровые вопросы. </w:t>
      </w:r>
    </w:p>
    <w:bookmarkEnd w:id="206"/>
    <w:bookmarkStart w:name="z227" w:id="207"/>
    <w:p>
      <w:pPr>
        <w:spacing w:after="0"/>
        <w:ind w:left="0"/>
        <w:jc w:val="both"/>
      </w:pPr>
      <w:r>
        <w:rPr>
          <w:rFonts w:ascii="Times New Roman"/>
          <w:b w:val="false"/>
          <w:i w:val="false"/>
          <w:color w:val="000000"/>
          <w:sz w:val="28"/>
        </w:rPr>
        <w:t>
      Местные исполнительные органы регулярно будут формировать перечень инвестиционных проектов, требующих финансирования. Эти проекты станут основой для страновых инвестиционных программ внешнего уровня системы привлечения инвестиций.</w:t>
      </w:r>
    </w:p>
    <w:bookmarkEnd w:id="207"/>
    <w:bookmarkStart w:name="z228" w:id="208"/>
    <w:p>
      <w:pPr>
        <w:spacing w:after="0"/>
        <w:ind w:left="0"/>
        <w:jc w:val="both"/>
      </w:pPr>
      <w:r>
        <w:rPr>
          <w:rFonts w:ascii="Times New Roman"/>
          <w:b w:val="false"/>
          <w:i w:val="false"/>
          <w:color w:val="000000"/>
          <w:sz w:val="28"/>
        </w:rPr>
        <w:t xml:space="preserve">
      В рамках компетенций местных исполнительных органов будет сделан упор на качество проработки проектов, направленных с центрального и внешнего уровня: скорость предоставления земельных участков, подведения инфраструктуры и др. Будет рассмотрена возможность корректировки целевых индикаторов регионов с количественных показателей ИОК и ПИИ на показатели доли успешно "приземленных" проектов и качества сопровождения инвесторов в регионе (на основе анализа и оценки степени удовлетворенности инвесторов). Данный подход отвечает идеологии трехуровневой системы привлечения инвестиций. Внешний и центральный уровни привлечения инвестиций имеют большее влияние на вопрос привлечения инвестиций, а в свою очередь, МИО имеют значительное влияние на обеспечение "приземления" инвестора и сохранения инвестора на рынке. </w:t>
      </w:r>
    </w:p>
    <w:bookmarkEnd w:id="208"/>
    <w:bookmarkStart w:name="z229" w:id="209"/>
    <w:p>
      <w:pPr>
        <w:spacing w:after="0"/>
        <w:ind w:left="0"/>
        <w:jc w:val="both"/>
      </w:pPr>
      <w:r>
        <w:rPr>
          <w:rFonts w:ascii="Times New Roman"/>
          <w:b w:val="false"/>
          <w:i w:val="false"/>
          <w:color w:val="000000"/>
          <w:sz w:val="28"/>
        </w:rPr>
        <w:t xml:space="preserve">
      В дополнение в каждом регионе будут созданы региональные инвестиционные штабы по аналогии с действующим Инвестиционным штабом. Региональный инвестиционный штаб будет функционировать под руководством акима региона. В его состав войдут руководители структурных подразделений местного исполнительного органа, региональный представитель национальной компании по привлечению инвестиций, представитель региональной палаты предпринимателей, представители управляющих компаний СЭЗ и ИЗ, прокуратуры, налоговых органов и социально-предпринимательской корпорации. В компетенцию регионального инвестиционного штаба будет входить вынесение проблемных вопросов инвестиционных проектов региона. </w:t>
      </w:r>
    </w:p>
    <w:bookmarkEnd w:id="209"/>
    <w:bookmarkStart w:name="z230" w:id="210"/>
    <w:p>
      <w:pPr>
        <w:spacing w:after="0"/>
        <w:ind w:left="0"/>
        <w:jc w:val="both"/>
      </w:pPr>
      <w:r>
        <w:rPr>
          <w:rFonts w:ascii="Times New Roman"/>
          <w:b w:val="false"/>
          <w:i w:val="false"/>
          <w:color w:val="000000"/>
          <w:sz w:val="28"/>
        </w:rPr>
        <w:t xml:space="preserve">
      Каждым местным исполнительным органом будут разрабатываться ИПР по аналогии со страновыми инвестиционными программами. ИПР будут включать в себя таргетирование нишевых отраслей региона, план действий по привлечению инвестиций в регион, меры по снижению доли бюджетных ИОК в уязвимых районах области и др. </w:t>
      </w:r>
    </w:p>
    <w:bookmarkEnd w:id="210"/>
    <w:bookmarkStart w:name="z231" w:id="211"/>
    <w:p>
      <w:pPr>
        <w:spacing w:after="0"/>
        <w:ind w:left="0"/>
        <w:jc w:val="both"/>
      </w:pPr>
      <w:r>
        <w:rPr>
          <w:rFonts w:ascii="Times New Roman"/>
          <w:b w:val="false"/>
          <w:i w:val="false"/>
          <w:color w:val="000000"/>
          <w:sz w:val="28"/>
        </w:rPr>
        <w:t>
      Кроме того, будет разработана программа по наращиванию кадрового потенциала сотрудников местных исполнительных органов в области инвестиций. Ежегодно будет проводиться анализ кадрового обеспечения для выявления дефицита квалифицированных специалистов и выработки рекомендаций по его устранению.</w:t>
      </w:r>
    </w:p>
    <w:bookmarkEnd w:id="211"/>
    <w:bookmarkStart w:name="z232" w:id="212"/>
    <w:p>
      <w:pPr>
        <w:spacing w:after="0"/>
        <w:ind w:left="0"/>
        <w:jc w:val="both"/>
      </w:pPr>
      <w:r>
        <w:rPr>
          <w:rFonts w:ascii="Times New Roman"/>
          <w:b w:val="false"/>
          <w:i w:val="false"/>
          <w:color w:val="000000"/>
          <w:sz w:val="28"/>
        </w:rPr>
        <w:t xml:space="preserve">
      Для комплексной оценки работы регионов ежегодно будет формироваться "Рейтинг инвестиционной привлекательности регионов" (далее – рейтинг), который будет учитывать официальные статистические, административные и альтернативные данные. </w:t>
      </w:r>
    </w:p>
    <w:bookmarkEnd w:id="212"/>
    <w:bookmarkStart w:name="z233" w:id="213"/>
    <w:p>
      <w:pPr>
        <w:spacing w:after="0"/>
        <w:ind w:left="0"/>
        <w:jc w:val="both"/>
      </w:pPr>
      <w:r>
        <w:rPr>
          <w:rFonts w:ascii="Times New Roman"/>
          <w:b w:val="false"/>
          <w:i w:val="false"/>
          <w:color w:val="000000"/>
          <w:sz w:val="28"/>
        </w:rPr>
        <w:t xml:space="preserve">
      </w:t>
      </w:r>
      <w:r>
        <w:rPr>
          <w:rFonts w:ascii="Times New Roman"/>
          <w:b/>
          <w:i w:val="false"/>
          <w:color w:val="000000"/>
          <w:sz w:val="28"/>
        </w:rPr>
        <w:t>Отраслевой и региональный подход привлечения инвестиций</w:t>
      </w:r>
    </w:p>
    <w:bookmarkEnd w:id="213"/>
    <w:bookmarkStart w:name="z234" w:id="214"/>
    <w:p>
      <w:pPr>
        <w:spacing w:after="0"/>
        <w:ind w:left="0"/>
        <w:jc w:val="both"/>
      </w:pPr>
      <w:r>
        <w:rPr>
          <w:rFonts w:ascii="Times New Roman"/>
          <w:b w:val="false"/>
          <w:i w:val="false"/>
          <w:color w:val="000000"/>
          <w:sz w:val="28"/>
        </w:rPr>
        <w:t xml:space="preserve">
      Будет внедрен отраслевой и региональный подход в привлечении инвестиций, основанный на определении приоритетных отраслей с конкурентными преимуществами. Это позволит центральным государственным и местным исполнительным органам более эффективно разрабатывать стратегические планы, включая инфраструктурные и кадровые потребности. </w:t>
      </w:r>
    </w:p>
    <w:bookmarkEnd w:id="214"/>
    <w:bookmarkStart w:name="z235" w:id="215"/>
    <w:p>
      <w:pPr>
        <w:spacing w:after="0"/>
        <w:ind w:left="0"/>
        <w:jc w:val="both"/>
      </w:pPr>
      <w:r>
        <w:rPr>
          <w:rFonts w:ascii="Times New Roman"/>
          <w:b w:val="false"/>
          <w:i w:val="false"/>
          <w:color w:val="000000"/>
          <w:sz w:val="28"/>
        </w:rPr>
        <w:t xml:space="preserve">
      Для внедрения данного подхода профильные государственные органы и местные исполнительные органы проведут отраслевой и региональный анализ для определения наиболее конкурентоспособных ниш. На основе этого анализа будут формироваться ИПР и отраслевые инвестиционные предложения. </w:t>
      </w:r>
    </w:p>
    <w:bookmarkEnd w:id="215"/>
    <w:bookmarkStart w:name="z236" w:id="216"/>
    <w:p>
      <w:pPr>
        <w:spacing w:after="0"/>
        <w:ind w:left="0"/>
        <w:jc w:val="both"/>
      </w:pPr>
      <w:r>
        <w:rPr>
          <w:rFonts w:ascii="Times New Roman"/>
          <w:b w:val="false"/>
          <w:i w:val="false"/>
          <w:color w:val="000000"/>
          <w:sz w:val="28"/>
        </w:rPr>
        <w:t xml:space="preserve">
      Также будут консолидированы инвестиционные потребности субъектов квазигосударственного сектора. Результаты этой работы будут использоваться в рамках страновых инвестиционных программ для таргетирования инвесторов и бизнес-партнеров. </w:t>
      </w:r>
    </w:p>
    <w:bookmarkEnd w:id="216"/>
    <w:bookmarkStart w:name="z237" w:id="217"/>
    <w:p>
      <w:pPr>
        <w:spacing w:after="0"/>
        <w:ind w:left="0"/>
        <w:jc w:val="both"/>
      </w:pPr>
      <w:r>
        <w:rPr>
          <w:rFonts w:ascii="Times New Roman"/>
          <w:b w:val="false"/>
          <w:i w:val="false"/>
          <w:color w:val="000000"/>
          <w:sz w:val="28"/>
        </w:rPr>
        <w:t>
      Будет налажено тесное взаимодействие отраслевых государственных органов и местных исполнительных органов с зарубежными государственными учреждениями для формирования "заказов" на привлечение инвестиций.</w:t>
      </w:r>
    </w:p>
    <w:bookmarkEnd w:id="217"/>
    <w:bookmarkStart w:name="z238" w:id="218"/>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Национальная цифровая инвестиционная платформа</w:t>
      </w:r>
    </w:p>
    <w:bookmarkEnd w:id="218"/>
    <w:bookmarkStart w:name="z239" w:id="219"/>
    <w:p>
      <w:pPr>
        <w:spacing w:after="0"/>
        <w:ind w:left="0"/>
        <w:jc w:val="both"/>
      </w:pPr>
      <w:r>
        <w:rPr>
          <w:rFonts w:ascii="Times New Roman"/>
          <w:b w:val="false"/>
          <w:i w:val="false"/>
          <w:color w:val="000000"/>
          <w:sz w:val="28"/>
        </w:rPr>
        <w:t xml:space="preserve">
      Для повышения эффективности системы привлечения инвестиций и реализации инвестиционных проектов будет запущена национальная цифровая инвестиционная платформы (далее – НЦИП), которая обеспечит цифровизацию процесса привлечения инвестиций. </w:t>
      </w:r>
    </w:p>
    <w:bookmarkEnd w:id="219"/>
    <w:bookmarkStart w:name="z240" w:id="220"/>
    <w:p>
      <w:pPr>
        <w:spacing w:after="0"/>
        <w:ind w:left="0"/>
        <w:jc w:val="both"/>
      </w:pPr>
      <w:r>
        <w:rPr>
          <w:rFonts w:ascii="Times New Roman"/>
          <w:b w:val="false"/>
          <w:i w:val="false"/>
          <w:color w:val="000000"/>
          <w:sz w:val="28"/>
        </w:rPr>
        <w:t>
      НЦИП — это цифровой портал, объединяющий базу данных инвестиционных проектов, инвестиционных предложений и всех участников инвестиционного процесса (инвесторы, государственные органы, субъекты квазигосударственного сектора и др.). Оператором платформы выступит национальная компания по привлечению инвестиций. Доступ к информационной системе получат как государственные органы, вовлеченные в процесс привлечения и приземления проектов, так и субъекты квазигосударственного сектора, а также НПП "Атамекен" и инвесторы.</w:t>
      </w:r>
    </w:p>
    <w:bookmarkEnd w:id="220"/>
    <w:bookmarkStart w:name="z241" w:id="221"/>
    <w:p>
      <w:pPr>
        <w:spacing w:after="0"/>
        <w:ind w:left="0"/>
        <w:jc w:val="both"/>
      </w:pPr>
      <w:r>
        <w:rPr>
          <w:rFonts w:ascii="Times New Roman"/>
          <w:b w:val="false"/>
          <w:i w:val="false"/>
          <w:color w:val="000000"/>
          <w:sz w:val="28"/>
        </w:rPr>
        <w:t>
      Платформа вместе с интернет-ресурсом АО "НК "KazakhInvest" будет объединять все бизнес-процессы участников инвестиционной деятельности. Инвесторы смогут получать разрешительные документы через платформу, не взаимодействуя напрямую с государственными органами.</w:t>
      </w:r>
    </w:p>
    <w:bookmarkEnd w:id="221"/>
    <w:bookmarkStart w:name="z242" w:id="222"/>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компоненты НЦИП будут включать</w:t>
      </w:r>
      <w:r>
        <w:rPr>
          <w:rFonts w:ascii="Times New Roman"/>
          <w:b w:val="false"/>
          <w:i w:val="false"/>
          <w:color w:val="000000"/>
          <w:sz w:val="28"/>
        </w:rPr>
        <w:t>:</w:t>
      </w:r>
    </w:p>
    <w:bookmarkEnd w:id="222"/>
    <w:bookmarkStart w:name="z243" w:id="223"/>
    <w:p>
      <w:pPr>
        <w:spacing w:after="0"/>
        <w:ind w:left="0"/>
        <w:jc w:val="both"/>
      </w:pPr>
      <w:r>
        <w:rPr>
          <w:rFonts w:ascii="Times New Roman"/>
          <w:b w:val="false"/>
          <w:i w:val="false"/>
          <w:color w:val="000000"/>
          <w:sz w:val="28"/>
        </w:rPr>
        <w:t>
      систему мониторинга инвестиционных проектов от заключения до полноценного запуска, а также постмониторинг.</w:t>
      </w:r>
    </w:p>
    <w:bookmarkEnd w:id="223"/>
    <w:bookmarkStart w:name="z244" w:id="224"/>
    <w:p>
      <w:pPr>
        <w:spacing w:after="0"/>
        <w:ind w:left="0"/>
        <w:jc w:val="both"/>
      </w:pPr>
      <w:r>
        <w:rPr>
          <w:rFonts w:ascii="Times New Roman"/>
          <w:b w:val="false"/>
          <w:i w:val="false"/>
          <w:color w:val="000000"/>
          <w:sz w:val="28"/>
        </w:rPr>
        <w:t>
      автоматизированную систему получения разрешительных документов "E-licence".</w:t>
      </w:r>
    </w:p>
    <w:bookmarkEnd w:id="224"/>
    <w:bookmarkStart w:name="z245" w:id="225"/>
    <w:p>
      <w:pPr>
        <w:spacing w:after="0"/>
        <w:ind w:left="0"/>
        <w:jc w:val="both"/>
      </w:pPr>
      <w:r>
        <w:rPr>
          <w:rFonts w:ascii="Times New Roman"/>
          <w:b w:val="false"/>
          <w:i w:val="false"/>
          <w:color w:val="000000"/>
          <w:sz w:val="28"/>
        </w:rPr>
        <w:t>
      Интернет-ресурс Invest in Kazakhstan будет включать информацию о:</w:t>
      </w:r>
    </w:p>
    <w:bookmarkEnd w:id="225"/>
    <w:bookmarkStart w:name="z246" w:id="226"/>
    <w:p>
      <w:pPr>
        <w:spacing w:after="0"/>
        <w:ind w:left="0"/>
        <w:jc w:val="both"/>
      </w:pPr>
      <w:r>
        <w:rPr>
          <w:rFonts w:ascii="Times New Roman"/>
          <w:b w:val="false"/>
          <w:i w:val="false"/>
          <w:color w:val="000000"/>
          <w:sz w:val="28"/>
        </w:rPr>
        <w:t>
      доступе к информации о месторождениях, свободных земельных участках, свободных ресурсах, транспортной и коммунальной инфраструктуре, реализуемых инвестиционных проектах и др.;</w:t>
      </w:r>
    </w:p>
    <w:bookmarkEnd w:id="226"/>
    <w:bookmarkStart w:name="z247" w:id="227"/>
    <w:p>
      <w:pPr>
        <w:spacing w:after="0"/>
        <w:ind w:left="0"/>
        <w:jc w:val="both"/>
      </w:pPr>
      <w:r>
        <w:rPr>
          <w:rFonts w:ascii="Times New Roman"/>
          <w:b w:val="false"/>
          <w:i w:val="false"/>
          <w:color w:val="000000"/>
          <w:sz w:val="28"/>
        </w:rPr>
        <w:t>
      региональных и отраслевых инвестиционных предложениях, в том числе от субъектов квазигосударственного сектора;</w:t>
      </w:r>
    </w:p>
    <w:bookmarkEnd w:id="227"/>
    <w:bookmarkStart w:name="z248" w:id="228"/>
    <w:p>
      <w:pPr>
        <w:spacing w:after="0"/>
        <w:ind w:left="0"/>
        <w:jc w:val="both"/>
      </w:pPr>
      <w:r>
        <w:rPr>
          <w:rFonts w:ascii="Times New Roman"/>
          <w:b w:val="false"/>
          <w:i w:val="false"/>
          <w:color w:val="000000"/>
          <w:sz w:val="28"/>
        </w:rPr>
        <w:t>
      финансовых и нефинансовых мер государственной поддержки.</w:t>
      </w:r>
    </w:p>
    <w:bookmarkEnd w:id="228"/>
    <w:bookmarkStart w:name="z249" w:id="229"/>
    <w:p>
      <w:pPr>
        <w:spacing w:after="0"/>
        <w:ind w:left="0"/>
        <w:jc w:val="both"/>
      </w:pPr>
      <w:r>
        <w:rPr>
          <w:rFonts w:ascii="Times New Roman"/>
          <w:b w:val="false"/>
          <w:i w:val="false"/>
          <w:color w:val="000000"/>
          <w:sz w:val="28"/>
        </w:rPr>
        <w:t xml:space="preserve">
      В рамках автоматизации и цифровизации бизнес-процессов инвестиционной политики будут пересмотрены и регламентированы функции и ответственность государственных органов и субъектов квазигосударственного сектора, отвечающих за реализацию инвестиционной политики. </w:t>
      </w:r>
    </w:p>
    <w:bookmarkEnd w:id="229"/>
    <w:bookmarkStart w:name="z250" w:id="230"/>
    <w:p>
      <w:pPr>
        <w:spacing w:after="0"/>
        <w:ind w:left="0"/>
        <w:jc w:val="both"/>
      </w:pPr>
      <w:r>
        <w:rPr>
          <w:rFonts w:ascii="Times New Roman"/>
          <w:b w:val="false"/>
          <w:i w:val="false"/>
          <w:color w:val="000000"/>
          <w:sz w:val="28"/>
        </w:rPr>
        <w:t>
      Для совершенствования политики в области трудовых ресурсов будут:</w:t>
      </w:r>
    </w:p>
    <w:bookmarkEnd w:id="230"/>
    <w:bookmarkStart w:name="z251" w:id="231"/>
    <w:p>
      <w:pPr>
        <w:spacing w:after="0"/>
        <w:ind w:left="0"/>
        <w:jc w:val="both"/>
      </w:pPr>
      <w:r>
        <w:rPr>
          <w:rFonts w:ascii="Times New Roman"/>
          <w:b w:val="false"/>
          <w:i w:val="false"/>
          <w:color w:val="000000"/>
          <w:sz w:val="28"/>
        </w:rPr>
        <w:t>
      интегрированы информационные системы "Интегрированная карта создания рабочих мест" и "Электронная биржа труда" с НЦИП;</w:t>
      </w:r>
    </w:p>
    <w:bookmarkEnd w:id="231"/>
    <w:bookmarkStart w:name="z252" w:id="232"/>
    <w:p>
      <w:pPr>
        <w:spacing w:after="0"/>
        <w:ind w:left="0"/>
        <w:jc w:val="both"/>
      </w:pPr>
      <w:r>
        <w:rPr>
          <w:rFonts w:ascii="Times New Roman"/>
          <w:b w:val="false"/>
          <w:i w:val="false"/>
          <w:color w:val="000000"/>
          <w:sz w:val="28"/>
        </w:rPr>
        <w:t>
      обеспечен единый учет рабочих мест в разрезе областей по создаваемым рабочим местам за счет инвестиционных проектов.</w:t>
      </w:r>
    </w:p>
    <w:bookmarkEnd w:id="232"/>
    <w:bookmarkStart w:name="z253" w:id="233"/>
    <w:p>
      <w:pPr>
        <w:spacing w:after="0"/>
        <w:ind w:left="0"/>
        <w:jc w:val="both"/>
      </w:pPr>
      <w:r>
        <w:rPr>
          <w:rFonts w:ascii="Times New Roman"/>
          <w:b w:val="false"/>
          <w:i w:val="false"/>
          <w:color w:val="000000"/>
          <w:sz w:val="28"/>
        </w:rPr>
        <w:t>
      С целью информирования населения о рабочих местах, создаваемых в рамках реализуемых инвестиционных проектов, в НЦИП будет указываться количество создаваемых рабочих мест (постоянные, временные) для дальнейшего трудоустройства местного населения.</w:t>
      </w:r>
    </w:p>
    <w:bookmarkEnd w:id="233"/>
    <w:bookmarkStart w:name="z254" w:id="234"/>
    <w:p>
      <w:pPr>
        <w:spacing w:after="0"/>
        <w:ind w:left="0"/>
        <w:jc w:val="both"/>
      </w:pPr>
      <w:r>
        <w:rPr>
          <w:rFonts w:ascii="Times New Roman"/>
          <w:b w:val="false"/>
          <w:i w:val="false"/>
          <w:color w:val="000000"/>
          <w:sz w:val="28"/>
        </w:rPr>
        <w:t xml:space="preserve">
      </w:t>
      </w:r>
      <w:r>
        <w:rPr>
          <w:rFonts w:ascii="Times New Roman"/>
          <w:b/>
          <w:i w:val="false"/>
          <w:color w:val="000000"/>
          <w:sz w:val="28"/>
        </w:rPr>
        <w:t>Механизм "зеленого коридора"</w:t>
      </w:r>
    </w:p>
    <w:bookmarkEnd w:id="234"/>
    <w:bookmarkStart w:name="z255" w:id="235"/>
    <w:p>
      <w:pPr>
        <w:spacing w:after="0"/>
        <w:ind w:left="0"/>
        <w:jc w:val="both"/>
      </w:pPr>
      <w:r>
        <w:rPr>
          <w:rFonts w:ascii="Times New Roman"/>
          <w:b w:val="false"/>
          <w:i w:val="false"/>
          <w:color w:val="000000"/>
          <w:sz w:val="28"/>
        </w:rPr>
        <w:t>
      В целях законодательного закрепления механизма "зеленого коридора" для ускорения запуска инвестиционных проектов в приоритетных отраслях экономики будут предприняты следующие меры:</w:t>
      </w:r>
    </w:p>
    <w:bookmarkEnd w:id="235"/>
    <w:bookmarkStart w:name="z256" w:id="236"/>
    <w:p>
      <w:pPr>
        <w:spacing w:after="0"/>
        <w:ind w:left="0"/>
        <w:jc w:val="both"/>
      </w:pPr>
      <w:r>
        <w:rPr>
          <w:rFonts w:ascii="Times New Roman"/>
          <w:b w:val="false"/>
          <w:i w:val="false"/>
          <w:color w:val="000000"/>
          <w:sz w:val="28"/>
        </w:rPr>
        <w:t>
      обеспечение соответствующего правового регулирования "зеленого коридора";</w:t>
      </w:r>
    </w:p>
    <w:bookmarkEnd w:id="236"/>
    <w:bookmarkStart w:name="z257" w:id="237"/>
    <w:p>
      <w:pPr>
        <w:spacing w:after="0"/>
        <w:ind w:left="0"/>
        <w:jc w:val="both"/>
      </w:pPr>
      <w:r>
        <w:rPr>
          <w:rFonts w:ascii="Times New Roman"/>
          <w:b w:val="false"/>
          <w:i w:val="false"/>
          <w:color w:val="000000"/>
          <w:sz w:val="28"/>
        </w:rPr>
        <w:t>
      совершенствование методики включения проектов в "зеленый коридор" с учетом приоритетности отраслей, технологической сложности проекта, объема инвестиций, экспортного потенциала, социальной направленности и др.;</w:t>
      </w:r>
    </w:p>
    <w:bookmarkEnd w:id="237"/>
    <w:bookmarkStart w:name="z258" w:id="238"/>
    <w:p>
      <w:pPr>
        <w:spacing w:after="0"/>
        <w:ind w:left="0"/>
        <w:jc w:val="both"/>
      </w:pPr>
      <w:r>
        <w:rPr>
          <w:rFonts w:ascii="Times New Roman"/>
          <w:b w:val="false"/>
          <w:i w:val="false"/>
          <w:color w:val="000000"/>
          <w:sz w:val="28"/>
        </w:rPr>
        <w:t>
      сохранение права Инвестиционного штаба предоставлять "зеленый коридор" для отдельных стратегически важных проектов.</w:t>
      </w:r>
    </w:p>
    <w:bookmarkEnd w:id="238"/>
    <w:bookmarkStart w:name="z259" w:id="239"/>
    <w:p>
      <w:pPr>
        <w:spacing w:after="0"/>
        <w:ind w:left="0"/>
        <w:jc w:val="both"/>
      </w:pPr>
      <w:r>
        <w:rPr>
          <w:rFonts w:ascii="Times New Roman"/>
          <w:b w:val="false"/>
          <w:i w:val="false"/>
          <w:color w:val="000000"/>
          <w:sz w:val="28"/>
        </w:rPr>
        <w:t xml:space="preserve">
      Механизм "зеленого коридора" будет обеспечивать не только ускоренное получение разрешений, но и предоставлять проектам индивидуальное сопровождение и такие условия, как использование международных строительных стандартов, расширенные возможности на привлечение квалифицированной иностранной рабочей силы. </w:t>
      </w:r>
    </w:p>
    <w:bookmarkEnd w:id="239"/>
    <w:bookmarkStart w:name="z260" w:id="240"/>
    <w:p>
      <w:pPr>
        <w:spacing w:after="0"/>
        <w:ind w:left="0"/>
        <w:jc w:val="both"/>
      </w:pPr>
      <w:r>
        <w:rPr>
          <w:rFonts w:ascii="Times New Roman"/>
          <w:b w:val="false"/>
          <w:i w:val="false"/>
          <w:color w:val="000000"/>
          <w:sz w:val="28"/>
        </w:rPr>
        <w:t xml:space="preserve">
      Планируются регулярная точечная оптимизация сроков разрешительных процедур и упрощение государственного регулирования в целом, включая процедуры получения и продления разрешений на работу и виз. </w:t>
      </w:r>
    </w:p>
    <w:bookmarkEnd w:id="240"/>
    <w:bookmarkStart w:name="z261" w:id="241"/>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работы с бизнес-сообществом</w:t>
      </w:r>
    </w:p>
    <w:bookmarkEnd w:id="241"/>
    <w:bookmarkStart w:name="z262" w:id="242"/>
    <w:p>
      <w:pPr>
        <w:spacing w:after="0"/>
        <w:ind w:left="0"/>
        <w:jc w:val="both"/>
      </w:pPr>
      <w:r>
        <w:rPr>
          <w:rFonts w:ascii="Times New Roman"/>
          <w:b w:val="false"/>
          <w:i w:val="false"/>
          <w:color w:val="000000"/>
          <w:sz w:val="28"/>
        </w:rPr>
        <w:t xml:space="preserve">
      Учитывая успешное проведение акселерационных сессий данный инструмент будет институционализирован. Так, будут функционировать рабочие группы по всем отраслевым направлениям. Заседания рабочих групп будут проводиться не реже 1 раза в квартал. В состав рабочей группы войдут представители объединенных юридических лиц, включая представителей иностранного инвестиционного сообщества, НПП "Атамекен", государственных органов и субъектов квазигосударственного сектора. </w:t>
      </w:r>
    </w:p>
    <w:bookmarkEnd w:id="242"/>
    <w:bookmarkStart w:name="z263" w:id="243"/>
    <w:p>
      <w:pPr>
        <w:spacing w:after="0"/>
        <w:ind w:left="0"/>
        <w:jc w:val="both"/>
      </w:pPr>
      <w:r>
        <w:rPr>
          <w:rFonts w:ascii="Times New Roman"/>
          <w:b w:val="false"/>
          <w:i w:val="false"/>
          <w:color w:val="000000"/>
          <w:sz w:val="28"/>
        </w:rPr>
        <w:t xml:space="preserve">
      Основной задачей данных рабочих групп является обмен опытом и знаниями в формате командной работы для улучшения инвестиционного климата и условий ведения бизнеса в стране. На основе данных обсуждений будут вырабатываться рекомендации по решению системных проблем инвесторов. Данная практика способствует созданию продуктивного диалога и получению постоянной обратной связи с бизнес-сообществом. </w:t>
      </w:r>
    </w:p>
    <w:bookmarkEnd w:id="243"/>
    <w:p>
      <w:pPr>
        <w:spacing w:after="0"/>
        <w:ind w:left="0"/>
        <w:jc w:val="both"/>
      </w:pPr>
      <w:r>
        <w:rPr>
          <w:rFonts w:ascii="Times New Roman"/>
          <w:b/>
          <w:i w:val="false"/>
          <w:color w:val="000000"/>
          <w:sz w:val="28"/>
        </w:rPr>
        <w:t>Направление 2. Содействие развитию институционального каркаса и инфраструктуры</w:t>
      </w:r>
    </w:p>
    <w:bookmarkStart w:name="z265" w:id="244"/>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эффективности предоставляемых мер государственной поддержки</w:t>
      </w:r>
    </w:p>
    <w:bookmarkEnd w:id="244"/>
    <w:bookmarkStart w:name="z266" w:id="245"/>
    <w:p>
      <w:pPr>
        <w:spacing w:after="0"/>
        <w:ind w:left="0"/>
        <w:jc w:val="both"/>
      </w:pPr>
      <w:r>
        <w:rPr>
          <w:rFonts w:ascii="Times New Roman"/>
          <w:b w:val="false"/>
          <w:i w:val="false"/>
          <w:color w:val="000000"/>
          <w:sz w:val="28"/>
        </w:rPr>
        <w:t xml:space="preserve">
      В рамках повышения эффективности предоставляемых мер государственной поддержки будет проведена синхронизация приоритетных видов деятельности инвестиционной политики с приоритетными отраслями экономики. </w:t>
      </w:r>
    </w:p>
    <w:bookmarkEnd w:id="245"/>
    <w:bookmarkStart w:name="z267" w:id="246"/>
    <w:p>
      <w:pPr>
        <w:spacing w:after="0"/>
        <w:ind w:left="0"/>
        <w:jc w:val="both"/>
      </w:pPr>
      <w:r>
        <w:rPr>
          <w:rFonts w:ascii="Times New Roman"/>
          <w:b w:val="false"/>
          <w:i w:val="false"/>
          <w:color w:val="000000"/>
          <w:sz w:val="28"/>
        </w:rPr>
        <w:t>
      Приоритетные виды деятельности будут регулярно пересматриваться на основе анализа текущих экономических условий и мировых трендов. Это позволит оперативно реагировать на изменения и корректировать приоритеты.</w:t>
      </w:r>
    </w:p>
    <w:bookmarkEnd w:id="246"/>
    <w:bookmarkStart w:name="z268" w:id="247"/>
    <w:p>
      <w:pPr>
        <w:spacing w:after="0"/>
        <w:ind w:left="0"/>
        <w:jc w:val="both"/>
      </w:pPr>
      <w:r>
        <w:rPr>
          <w:rFonts w:ascii="Times New Roman"/>
          <w:b w:val="false"/>
          <w:i w:val="false"/>
          <w:color w:val="000000"/>
          <w:sz w:val="28"/>
        </w:rPr>
        <w:t xml:space="preserve">
      При выдаче инвестиционных преференций будет применяться дифференцированный подход с учетом отраслевой и региональной специфики. Во всех видах инвестиционных соглашений, предусматривающих финансовые и нефинансовые преференции, будут предусмотрены встречные обязательства для инвесторов (производительность труда, выход на экспорт и др.). </w:t>
      </w:r>
    </w:p>
    <w:bookmarkEnd w:id="247"/>
    <w:bookmarkStart w:name="z269" w:id="248"/>
    <w:p>
      <w:pPr>
        <w:spacing w:after="0"/>
        <w:ind w:left="0"/>
        <w:jc w:val="both"/>
      </w:pPr>
      <w:r>
        <w:rPr>
          <w:rFonts w:ascii="Times New Roman"/>
          <w:b w:val="false"/>
          <w:i w:val="false"/>
          <w:color w:val="000000"/>
          <w:sz w:val="28"/>
        </w:rPr>
        <w:t xml:space="preserve">
      Так, в рамках введения встречных обязательств для крупных индустриальных проектов уполномоченным органом в сфере торговой политики совместно с инвесторами будут разработаны дорожные карты по выводу их продукции на внешние рынки. Уполномоченным органом в социально-трудовой сфере и уполномоченным органом в сфере среднего и среднего специального образования, а также уполномоченным органом в сфере высшего и послевузовского образования совместно с инвестором будут разработаны дорожные карты по качественному обеспечению трудовой рабочей силой. </w:t>
      </w:r>
    </w:p>
    <w:bookmarkEnd w:id="248"/>
    <w:bookmarkStart w:name="z270" w:id="249"/>
    <w:p>
      <w:pPr>
        <w:spacing w:after="0"/>
        <w:ind w:left="0"/>
        <w:jc w:val="both"/>
      </w:pPr>
      <w:r>
        <w:rPr>
          <w:rFonts w:ascii="Times New Roman"/>
          <w:b w:val="false"/>
          <w:i w:val="false"/>
          <w:color w:val="000000"/>
          <w:sz w:val="28"/>
        </w:rPr>
        <w:t>
      На постоянной основе будет проводиться анализ административных затрат при заключении инвестиционных соглашений, который позволит оптимизировать данный процесс.</w:t>
      </w:r>
    </w:p>
    <w:bookmarkEnd w:id="249"/>
    <w:bookmarkStart w:name="z271" w:id="250"/>
    <w:p>
      <w:pPr>
        <w:spacing w:after="0"/>
        <w:ind w:left="0"/>
        <w:jc w:val="both"/>
      </w:pPr>
      <w:r>
        <w:rPr>
          <w:rFonts w:ascii="Times New Roman"/>
          <w:b w:val="false"/>
          <w:i w:val="false"/>
          <w:color w:val="000000"/>
          <w:sz w:val="28"/>
        </w:rPr>
        <w:t>
      С</w:t>
      </w:r>
      <w:r>
        <w:rPr>
          <w:rFonts w:ascii="Times New Roman"/>
          <w:b/>
          <w:i w:val="false"/>
          <w:color w:val="000000"/>
          <w:sz w:val="28"/>
        </w:rPr>
        <w:t>овершенствование политики в области ГЧП</w:t>
      </w:r>
    </w:p>
    <w:bookmarkEnd w:id="250"/>
    <w:bookmarkStart w:name="z272" w:id="251"/>
    <w:p>
      <w:pPr>
        <w:spacing w:after="0"/>
        <w:ind w:left="0"/>
        <w:jc w:val="both"/>
      </w:pPr>
      <w:r>
        <w:rPr>
          <w:rFonts w:ascii="Times New Roman"/>
          <w:b w:val="false"/>
          <w:i w:val="false"/>
          <w:color w:val="000000"/>
          <w:sz w:val="28"/>
        </w:rPr>
        <w:t>
      Объединение законодательства в области ГЧП и концессий обеспечит единую правоприменительную практику и упорядочение классификации видов договоров ГЧП.</w:t>
      </w:r>
    </w:p>
    <w:bookmarkEnd w:id="251"/>
    <w:bookmarkStart w:name="z273" w:id="252"/>
    <w:p>
      <w:pPr>
        <w:spacing w:after="0"/>
        <w:ind w:left="0"/>
        <w:jc w:val="both"/>
      </w:pPr>
      <w:r>
        <w:rPr>
          <w:rFonts w:ascii="Times New Roman"/>
          <w:b w:val="false"/>
          <w:i w:val="false"/>
          <w:color w:val="000000"/>
          <w:sz w:val="28"/>
        </w:rPr>
        <w:t xml:space="preserve">
      Для повышения интереса к проектам ГЧП будут смягчены квалификационные требования по наличию собственных средств до 10 %, а также исключена необходимость подтверждения наличия капитала на стадии квалификации. </w:t>
      </w:r>
    </w:p>
    <w:bookmarkEnd w:id="252"/>
    <w:bookmarkStart w:name="z274" w:id="253"/>
    <w:p>
      <w:pPr>
        <w:spacing w:after="0"/>
        <w:ind w:left="0"/>
        <w:jc w:val="both"/>
      </w:pPr>
      <w:r>
        <w:rPr>
          <w:rFonts w:ascii="Times New Roman"/>
          <w:b w:val="false"/>
          <w:i w:val="false"/>
          <w:color w:val="000000"/>
          <w:sz w:val="28"/>
        </w:rPr>
        <w:t>
      Для реализации капиталоемких проектов будет проработан вопрос создания фондов подготовки проектов ГЧП с участием международных финансовых организаций и сформирован пул масштабных проектов ГЧП "под ключ" для финансирования.</w:t>
      </w:r>
    </w:p>
    <w:bookmarkEnd w:id="253"/>
    <w:bookmarkStart w:name="z275" w:id="254"/>
    <w:p>
      <w:pPr>
        <w:spacing w:after="0"/>
        <w:ind w:left="0"/>
        <w:jc w:val="both"/>
      </w:pPr>
      <w:r>
        <w:rPr>
          <w:rFonts w:ascii="Times New Roman"/>
          <w:b w:val="false"/>
          <w:i w:val="false"/>
          <w:color w:val="000000"/>
          <w:sz w:val="28"/>
        </w:rPr>
        <w:t>
      Данный Фонд совместно с АО "Казахстанский центр ГЧП" будет осуществлять отбор и качественное структурирование проектов через призму приоритетности выбора механизма ГЧП при реализации крупных инфраструктурных проектов, что активизирует переход от бюджетных инвестиций к проектам ГЧП, повысит эффективность управления государственными активами. АО "Казахстанский центр ГЧП" будет координировать процессы, связанные с взаимодействием международных финансовых организаций с государственными органами, частными инициаторами, консалтинговыми компаниями, обеспечением соблюдения требований национального законодательства в области ГЧП при разработке документации.</w:t>
      </w:r>
    </w:p>
    <w:bookmarkEnd w:id="254"/>
    <w:bookmarkStart w:name="z276" w:id="255"/>
    <w:p>
      <w:pPr>
        <w:spacing w:after="0"/>
        <w:ind w:left="0"/>
        <w:jc w:val="both"/>
      </w:pPr>
      <w:r>
        <w:rPr>
          <w:rFonts w:ascii="Times New Roman"/>
          <w:b w:val="false"/>
          <w:i w:val="false"/>
          <w:color w:val="000000"/>
          <w:sz w:val="28"/>
        </w:rPr>
        <w:t xml:space="preserve">
      В частности, актуальность этих фондов усиливается в связи с разработкой Национального инфраструктурного плана до 2029 года (далее – НИП), направленного на формирование инфраструктурного каркаса страны и создание новых точек экономического роста. </w:t>
      </w:r>
    </w:p>
    <w:bookmarkEnd w:id="255"/>
    <w:bookmarkStart w:name="z277" w:id="256"/>
    <w:p>
      <w:pPr>
        <w:spacing w:after="0"/>
        <w:ind w:left="0"/>
        <w:jc w:val="both"/>
      </w:pPr>
      <w:r>
        <w:rPr>
          <w:rFonts w:ascii="Times New Roman"/>
          <w:b w:val="false"/>
          <w:i w:val="false"/>
          <w:color w:val="000000"/>
          <w:sz w:val="28"/>
        </w:rPr>
        <w:t>
      В рамках НИП планируется реализация крупных капиталоемких проектов, требующих поиска соответствующих инвестиций и альтернативных источников финансирования.</w:t>
      </w:r>
    </w:p>
    <w:bookmarkEnd w:id="256"/>
    <w:bookmarkStart w:name="z278" w:id="257"/>
    <w:p>
      <w:pPr>
        <w:spacing w:after="0"/>
        <w:ind w:left="0"/>
        <w:jc w:val="both"/>
      </w:pPr>
      <w:r>
        <w:rPr>
          <w:rFonts w:ascii="Times New Roman"/>
          <w:b w:val="false"/>
          <w:i w:val="false"/>
          <w:color w:val="000000"/>
          <w:sz w:val="28"/>
        </w:rPr>
        <w:t xml:space="preserve">
      Для развития института ГЧП будет продолжено развитие "Программного ГЧП" для тиражируемых небольших проектов с установленными институциональными и финансовыми решениями путем утверждения отраслевых нормативных правовых актов. </w:t>
      </w:r>
    </w:p>
    <w:bookmarkEnd w:id="257"/>
    <w:bookmarkStart w:name="z279" w:id="258"/>
    <w:p>
      <w:pPr>
        <w:spacing w:after="0"/>
        <w:ind w:left="0"/>
        <w:jc w:val="both"/>
      </w:pPr>
      <w:r>
        <w:rPr>
          <w:rFonts w:ascii="Times New Roman"/>
          <w:b w:val="false"/>
          <w:i w:val="false"/>
          <w:color w:val="000000"/>
          <w:sz w:val="28"/>
        </w:rPr>
        <w:t xml:space="preserve">
      В целях обеспечения проектов ГЧП длинными кредитными средствами будут задействованы инструменты БРК и международных финансовых организаций. </w:t>
      </w:r>
    </w:p>
    <w:bookmarkEnd w:id="258"/>
    <w:bookmarkStart w:name="z280" w:id="259"/>
    <w:p>
      <w:pPr>
        <w:spacing w:after="0"/>
        <w:ind w:left="0"/>
        <w:jc w:val="both"/>
      </w:pPr>
      <w:r>
        <w:rPr>
          <w:rFonts w:ascii="Times New Roman"/>
          <w:b w:val="false"/>
          <w:i w:val="false"/>
          <w:color w:val="000000"/>
          <w:sz w:val="28"/>
        </w:rPr>
        <w:t>
      Для снижения риска неисполнения договорных отношений при реализации проектов ГЧП будут сформирован реестр принятых условных обязательств по проектам ГЧП и обеспечен постоянный мониторинг его текущего состояния.</w:t>
      </w:r>
    </w:p>
    <w:bookmarkEnd w:id="259"/>
    <w:bookmarkStart w:name="z281" w:id="260"/>
    <w:p>
      <w:pPr>
        <w:spacing w:after="0"/>
        <w:ind w:left="0"/>
        <w:jc w:val="both"/>
      </w:pPr>
      <w:r>
        <w:rPr>
          <w:rFonts w:ascii="Times New Roman"/>
          <w:b w:val="false"/>
          <w:i w:val="false"/>
          <w:color w:val="000000"/>
          <w:sz w:val="28"/>
        </w:rPr>
        <w:t>
      В целях качественного отбора проектов ГЧП будет усилена роль Казахстанского центра ГЧП в качестве "одного окна" для инвесторов и госорганов.</w:t>
      </w:r>
    </w:p>
    <w:bookmarkEnd w:id="260"/>
    <w:bookmarkStart w:name="z282" w:id="261"/>
    <w:p>
      <w:pPr>
        <w:spacing w:after="0"/>
        <w:ind w:left="0"/>
        <w:jc w:val="both"/>
      </w:pPr>
      <w:r>
        <w:rPr>
          <w:rFonts w:ascii="Times New Roman"/>
          <w:b w:val="false"/>
          <w:i w:val="false"/>
          <w:color w:val="000000"/>
          <w:sz w:val="28"/>
        </w:rPr>
        <w:t>
      Для повышения эффективности планирования и реализации проектов ГЧП будет разработан комплекс мер по повышению компетенций государственных партнеров и усилению мониторинга проектов ГЧП. Также планируется внедрение института сертификации консультантов и аккредитации организаций.</w:t>
      </w:r>
    </w:p>
    <w:bookmarkEnd w:id="261"/>
    <w:bookmarkStart w:name="z283" w:id="262"/>
    <w:p>
      <w:pPr>
        <w:spacing w:after="0"/>
        <w:ind w:left="0"/>
        <w:jc w:val="both"/>
      </w:pPr>
      <w:r>
        <w:rPr>
          <w:rFonts w:ascii="Times New Roman"/>
          <w:b w:val="false"/>
          <w:i w:val="false"/>
          <w:color w:val="000000"/>
          <w:sz w:val="28"/>
        </w:rPr>
        <w:t>
      Вопросы формирования, реализации и оценки проектов ГЧП будут на регулярной основе вносится на рассмотрение Инвестиционного штаба.</w:t>
      </w:r>
    </w:p>
    <w:bookmarkEnd w:id="262"/>
    <w:bookmarkStart w:name="z284" w:id="263"/>
    <w:p>
      <w:pPr>
        <w:spacing w:after="0"/>
        <w:ind w:left="0"/>
        <w:jc w:val="both"/>
      </w:pPr>
      <w:r>
        <w:rPr>
          <w:rFonts w:ascii="Times New Roman"/>
          <w:b w:val="false"/>
          <w:i w:val="false"/>
          <w:color w:val="000000"/>
          <w:sz w:val="28"/>
        </w:rPr>
        <w:t xml:space="preserve">
      Согласно данным Евразийского банка развития одними из факторов роста рынков ГЧП являются цифровизация, создание единого цифрового пространства ГЧП и цифровых проектных офисов для упрощения межведомственного взаимодействия. Данный фактор соответствует принципу "цифровизация по умолчанию"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263"/>
    <w:bookmarkStart w:name="z285" w:id="264"/>
    <w:p>
      <w:pPr>
        <w:spacing w:after="0"/>
        <w:ind w:left="0"/>
        <w:jc w:val="both"/>
      </w:pPr>
      <w:r>
        <w:rPr>
          <w:rFonts w:ascii="Times New Roman"/>
          <w:b w:val="false"/>
          <w:i w:val="false"/>
          <w:color w:val="000000"/>
          <w:sz w:val="28"/>
        </w:rPr>
        <w:t xml:space="preserve">
      Цифровизация процессов подготовки и сопровождения проектов ГЧП обеспечит прозрачность деятельности государственных органов, что снизит коррупционные риски и ускорит административные процедуры. </w:t>
      </w:r>
    </w:p>
    <w:bookmarkEnd w:id="264"/>
    <w:bookmarkStart w:name="z286" w:id="265"/>
    <w:p>
      <w:pPr>
        <w:spacing w:after="0"/>
        <w:ind w:left="0"/>
        <w:jc w:val="both"/>
      </w:pPr>
      <w:r>
        <w:rPr>
          <w:rFonts w:ascii="Times New Roman"/>
          <w:b w:val="false"/>
          <w:i w:val="false"/>
          <w:color w:val="000000"/>
          <w:sz w:val="28"/>
        </w:rPr>
        <w:t xml:space="preserve">
      На текущий момент в пилотном режиме запущена национальная цифровая инвестиционная платформа, позволяющая отслеживать реализацию сформированного пула инвестиционных проектов в разрезе регионов и отраслей экономики. В рамках цифровизации проектов ГЧП предлагается интегрировать мониторинг проектов ГЧП в данную платформу. </w:t>
      </w:r>
    </w:p>
    <w:bookmarkEnd w:id="265"/>
    <w:bookmarkStart w:name="z287" w:id="266"/>
    <w:p>
      <w:pPr>
        <w:spacing w:after="0"/>
        <w:ind w:left="0"/>
        <w:jc w:val="both"/>
      </w:pPr>
      <w:r>
        <w:rPr>
          <w:rFonts w:ascii="Times New Roman"/>
          <w:b w:val="false"/>
          <w:i w:val="false"/>
          <w:color w:val="000000"/>
          <w:sz w:val="28"/>
        </w:rPr>
        <w:t>
      Также для информирования инвесторов по планируемым и реализуемым проектам ГЧП будут использоваться действующие казахстанские информационные системы, в которых будут осуществляться процедуры планирования проектов ГЧП от стадии инициирования до стадии мониторинга и оценки реализации проектов.</w:t>
      </w:r>
    </w:p>
    <w:bookmarkEnd w:id="266"/>
    <w:bookmarkStart w:name="z288" w:id="267"/>
    <w:p>
      <w:pPr>
        <w:spacing w:after="0"/>
        <w:ind w:left="0"/>
        <w:jc w:val="both"/>
      </w:pPr>
      <w:r>
        <w:rPr>
          <w:rFonts w:ascii="Times New Roman"/>
          <w:b w:val="false"/>
          <w:i w:val="false"/>
          <w:color w:val="000000"/>
          <w:sz w:val="28"/>
        </w:rPr>
        <w:t>
      В рамках цифровизации проектов ГЧП предлагается интегрировать платформы для автоматического обмена данными из различных источников. Это позволит создать единое информационное пространство, где данные будут легко доступны для всестороннего анализа. Такой подход упростит принятие решений и повысит эффективность бизнес-процессов.</w:t>
      </w:r>
    </w:p>
    <w:bookmarkEnd w:id="267"/>
    <w:bookmarkStart w:name="z289" w:id="268"/>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политики в отношении СЭЗ</w:t>
      </w:r>
    </w:p>
    <w:bookmarkEnd w:id="268"/>
    <w:bookmarkStart w:name="z290" w:id="269"/>
    <w:p>
      <w:pPr>
        <w:spacing w:after="0"/>
        <w:ind w:left="0"/>
        <w:jc w:val="both"/>
      </w:pPr>
      <w:r>
        <w:rPr>
          <w:rFonts w:ascii="Times New Roman"/>
          <w:b w:val="false"/>
          <w:i w:val="false"/>
          <w:color w:val="000000"/>
          <w:sz w:val="28"/>
        </w:rPr>
        <w:t xml:space="preserve">
      Для эффективного функционирования СЭЗ будет продолжена работа по улучшению уровня инфраструктурной готовности. В рамках этой задачи планируется провести анализ текущей обеспеченности и заполненности СЭЗ. На основе анализа будет сформирован план мероприятий по доведению 100 % обеспеченности СЭЗ, исполнение которого будет регулярно отслеживаться профильным министерством. Будет рассмотрена возможность реорганизации экономически неэффективных СЭЗ в индустриальные зоны для оптимизации бюджетных расходов. </w:t>
      </w:r>
    </w:p>
    <w:bookmarkEnd w:id="269"/>
    <w:bookmarkStart w:name="z291" w:id="270"/>
    <w:p>
      <w:pPr>
        <w:spacing w:after="0"/>
        <w:ind w:left="0"/>
        <w:jc w:val="both"/>
      </w:pPr>
      <w:r>
        <w:rPr>
          <w:rFonts w:ascii="Times New Roman"/>
          <w:b w:val="false"/>
          <w:i w:val="false"/>
          <w:color w:val="000000"/>
          <w:sz w:val="28"/>
        </w:rPr>
        <w:t>
      Планируются расширение разрешенных видов деятельности и унификация сроков действия СЭЗ. Чтобы предотвратить негативное влияние льготных условий для резидентов СЭЗ на внутреннюю конкуренцию и частный сектор, будут введены встречные обязательства для участников, такие как повышение производительности труда и наращивание экспортно ориентированного производства.</w:t>
      </w:r>
    </w:p>
    <w:bookmarkEnd w:id="270"/>
    <w:bookmarkStart w:name="z292" w:id="271"/>
    <w:p>
      <w:pPr>
        <w:spacing w:after="0"/>
        <w:ind w:left="0"/>
        <w:jc w:val="both"/>
      </w:pPr>
      <w:r>
        <w:rPr>
          <w:rFonts w:ascii="Times New Roman"/>
          <w:b w:val="false"/>
          <w:i w:val="false"/>
          <w:color w:val="000000"/>
          <w:sz w:val="28"/>
        </w:rPr>
        <w:t xml:space="preserve">
      </w:t>
      </w:r>
      <w:r>
        <w:rPr>
          <w:rFonts w:ascii="Times New Roman"/>
          <w:b/>
          <w:i w:val="false"/>
          <w:color w:val="000000"/>
          <w:sz w:val="28"/>
        </w:rPr>
        <w:t>Меры государственного стимулирования на строительство инфраструктуры</w:t>
      </w:r>
    </w:p>
    <w:bookmarkEnd w:id="271"/>
    <w:bookmarkStart w:name="z293" w:id="272"/>
    <w:p>
      <w:pPr>
        <w:spacing w:after="0"/>
        <w:ind w:left="0"/>
        <w:jc w:val="both"/>
      </w:pPr>
      <w:r>
        <w:rPr>
          <w:rFonts w:ascii="Times New Roman"/>
          <w:b w:val="false"/>
          <w:i w:val="false"/>
          <w:color w:val="000000"/>
          <w:sz w:val="28"/>
        </w:rPr>
        <w:t xml:space="preserve">
      Планируется внедрение нового инструмента государственной поддержки в виде льготного кредитования инвесторов под 6 % сроком на 10 лет. В рамках данного инструмента планируется выдача льготных кредитов для подведения необходимой инженерной инфраструктуры для новых промышленных проектов без привязки к объему вложенных инвестиций. </w:t>
      </w:r>
    </w:p>
    <w:bookmarkEnd w:id="272"/>
    <w:bookmarkStart w:name="z294" w:id="273"/>
    <w:p>
      <w:pPr>
        <w:spacing w:after="0"/>
        <w:ind w:left="0"/>
        <w:jc w:val="both"/>
      </w:pPr>
      <w:r>
        <w:rPr>
          <w:rFonts w:ascii="Times New Roman"/>
          <w:b w:val="false"/>
          <w:i w:val="false"/>
          <w:color w:val="000000"/>
          <w:sz w:val="28"/>
        </w:rPr>
        <w:t>
      В соответствии с мировой практикой для решения инфраструктурных проблем будет рассмотрена возможность введения механизма возмещения расходов на подведение обеспечивающей инфраструктуры для инвестиционных проектов посредством налоговых вычетов (КПН, налог на имущество, землю и др.).</w:t>
      </w:r>
    </w:p>
    <w:bookmarkEnd w:id="273"/>
    <w:bookmarkStart w:name="z295" w:id="274"/>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аналитического обеспечения инвестиционной политики</w:t>
      </w:r>
    </w:p>
    <w:bookmarkEnd w:id="274"/>
    <w:bookmarkStart w:name="z296" w:id="275"/>
    <w:p>
      <w:pPr>
        <w:spacing w:after="0"/>
        <w:ind w:left="0"/>
        <w:jc w:val="both"/>
      </w:pPr>
      <w:r>
        <w:rPr>
          <w:rFonts w:ascii="Times New Roman"/>
          <w:b w:val="false"/>
          <w:i w:val="false"/>
          <w:color w:val="000000"/>
          <w:sz w:val="28"/>
        </w:rPr>
        <w:t>
      Формирование эффективной инвестиционной политики требует принятия решений на основе достоверных данных и качественной аналитики. В этой связи будут:</w:t>
      </w:r>
    </w:p>
    <w:bookmarkEnd w:id="275"/>
    <w:bookmarkStart w:name="z297" w:id="276"/>
    <w:p>
      <w:pPr>
        <w:spacing w:after="0"/>
        <w:ind w:left="0"/>
        <w:jc w:val="both"/>
      </w:pPr>
      <w:r>
        <w:rPr>
          <w:rFonts w:ascii="Times New Roman"/>
          <w:b w:val="false"/>
          <w:i w:val="false"/>
          <w:color w:val="000000"/>
          <w:sz w:val="28"/>
        </w:rPr>
        <w:t>
      усилены аналитические и переговорные функции (привлечение специалистов с сертификацией "финансового аналитика" и др.) национальной компании по привлечению инвестиций;</w:t>
      </w:r>
    </w:p>
    <w:bookmarkEnd w:id="276"/>
    <w:bookmarkStart w:name="z298" w:id="277"/>
    <w:p>
      <w:pPr>
        <w:spacing w:after="0"/>
        <w:ind w:left="0"/>
        <w:jc w:val="both"/>
      </w:pPr>
      <w:r>
        <w:rPr>
          <w:rFonts w:ascii="Times New Roman"/>
          <w:b w:val="false"/>
          <w:i w:val="false"/>
          <w:color w:val="000000"/>
          <w:sz w:val="28"/>
        </w:rPr>
        <w:t>
      создана на базе НЦИП единая база данных всех реализованных, реализуемых и перспективных инвестиционных проектов;</w:t>
      </w:r>
    </w:p>
    <w:bookmarkEnd w:id="277"/>
    <w:bookmarkStart w:name="z299" w:id="278"/>
    <w:p>
      <w:pPr>
        <w:spacing w:after="0"/>
        <w:ind w:left="0"/>
        <w:jc w:val="both"/>
      </w:pPr>
      <w:r>
        <w:rPr>
          <w:rFonts w:ascii="Times New Roman"/>
          <w:b w:val="false"/>
          <w:i w:val="false"/>
          <w:color w:val="000000"/>
          <w:sz w:val="28"/>
        </w:rPr>
        <w:t>
      закреплена функция по постмониторингу инвестиционных проектов за отраслевыми государственными органами (анализ социально-экономического эффекта, мониторинг исполнения встречных обязательств и др.);</w:t>
      </w:r>
    </w:p>
    <w:bookmarkEnd w:id="278"/>
    <w:bookmarkStart w:name="z300" w:id="279"/>
    <w:p>
      <w:pPr>
        <w:spacing w:after="0"/>
        <w:ind w:left="0"/>
        <w:jc w:val="both"/>
      </w:pPr>
      <w:r>
        <w:rPr>
          <w:rFonts w:ascii="Times New Roman"/>
          <w:b w:val="false"/>
          <w:i w:val="false"/>
          <w:color w:val="000000"/>
          <w:sz w:val="28"/>
        </w:rPr>
        <w:t>
      формироваться ежегодный национальный доклад по инвестициям для инвесторов и Правительства, рекомендации которого будут использованы для совершенствования инвестиционной политики и информирования о состоянии инвестиционного климата. Национальный доклад для инвесторов будет публиковаться в открытом доступе на казахском, русском, английском, китайском, арабском, турецком, французском и других языках.</w:t>
      </w:r>
    </w:p>
    <w:bookmarkEnd w:id="279"/>
    <w:bookmarkStart w:name="z301" w:id="280"/>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ESG</w:t>
      </w:r>
    </w:p>
    <w:bookmarkEnd w:id="280"/>
    <w:bookmarkStart w:name="z302" w:id="281"/>
    <w:p>
      <w:pPr>
        <w:spacing w:after="0"/>
        <w:ind w:left="0"/>
        <w:jc w:val="both"/>
      </w:pPr>
      <w:r>
        <w:rPr>
          <w:rFonts w:ascii="Times New Roman"/>
          <w:b w:val="false"/>
          <w:i w:val="false"/>
          <w:color w:val="000000"/>
          <w:sz w:val="28"/>
        </w:rPr>
        <w:t xml:space="preserve">
      В рамках внедрения ESG принципов будут разработаны требования к прозрачности методологий, внешней отчетности, формированию правил внутреннего контроля и др. для поставщиков данных ESG и рейтинговых агентств. </w:t>
      </w:r>
    </w:p>
    <w:bookmarkEnd w:id="281"/>
    <w:bookmarkStart w:name="z303" w:id="282"/>
    <w:p>
      <w:pPr>
        <w:spacing w:after="0"/>
        <w:ind w:left="0"/>
        <w:jc w:val="both"/>
      </w:pPr>
      <w:r>
        <w:rPr>
          <w:rFonts w:ascii="Times New Roman"/>
          <w:b w:val="false"/>
          <w:i w:val="false"/>
          <w:color w:val="000000"/>
          <w:sz w:val="28"/>
        </w:rPr>
        <w:t xml:space="preserve">
      В целях повышения прозрачности ведения бизнеса законодательно закрепят обязательное раскрытие информации об изменении климата /социальном участии/корпоративном управлении для крупных компаний. Кроме того, будет рассмотрена возможность разработки единых казахстанских требований к нефинансовой отчетности. </w:t>
      </w:r>
    </w:p>
    <w:bookmarkEnd w:id="282"/>
    <w:bookmarkStart w:name="z304" w:id="283"/>
    <w:p>
      <w:pPr>
        <w:spacing w:after="0"/>
        <w:ind w:left="0"/>
        <w:jc w:val="both"/>
      </w:pPr>
      <w:r>
        <w:rPr>
          <w:rFonts w:ascii="Times New Roman"/>
          <w:b w:val="false"/>
          <w:i w:val="false"/>
          <w:color w:val="000000"/>
          <w:sz w:val="28"/>
        </w:rPr>
        <w:t>
      Для охвата всего бизнеса Казахстана будут разработаны методические рекомендации и руководства по раскрытию информации о степени подверженности рискам ESG, а также процедуре выявления, оценки влияния и управления этими рисками. Это поможет компаниям определять слабые стороны и вырабатывать контрмеры.</w:t>
      </w:r>
    </w:p>
    <w:bookmarkEnd w:id="283"/>
    <w:bookmarkStart w:name="z305" w:id="284"/>
    <w:p>
      <w:pPr>
        <w:spacing w:after="0"/>
        <w:ind w:left="0"/>
        <w:jc w:val="both"/>
      </w:pPr>
      <w:r>
        <w:rPr>
          <w:rFonts w:ascii="Times New Roman"/>
          <w:b w:val="false"/>
          <w:i w:val="false"/>
          <w:color w:val="000000"/>
          <w:sz w:val="28"/>
        </w:rPr>
        <w:t xml:space="preserve">
      </w:t>
      </w:r>
      <w:r>
        <w:rPr>
          <w:rFonts w:ascii="Times New Roman"/>
          <w:b/>
          <w:i w:val="false"/>
          <w:color w:val="000000"/>
          <w:sz w:val="28"/>
        </w:rPr>
        <w:t>Участие государства в предпринимательской деятельности</w:t>
      </w:r>
    </w:p>
    <w:bookmarkEnd w:id="284"/>
    <w:bookmarkStart w:name="z306" w:id="285"/>
    <w:p>
      <w:pPr>
        <w:spacing w:after="0"/>
        <w:ind w:left="0"/>
        <w:jc w:val="both"/>
      </w:pPr>
      <w:r>
        <w:rPr>
          <w:rFonts w:ascii="Times New Roman"/>
          <w:b w:val="false"/>
          <w:i w:val="false"/>
          <w:color w:val="000000"/>
          <w:sz w:val="28"/>
        </w:rPr>
        <w:t>
      Целями государственного участия в предпринимательстве являются развитие экономики страны, повышение ее конкурентоспособности, производительности и занятости населения, обеспечение национальной безопасности и социальных гарантий граждан республики.</w:t>
      </w:r>
    </w:p>
    <w:bookmarkEnd w:id="285"/>
    <w:bookmarkStart w:name="z307" w:id="286"/>
    <w:p>
      <w:pPr>
        <w:spacing w:after="0"/>
        <w:ind w:left="0"/>
        <w:jc w:val="both"/>
      </w:pPr>
      <w:r>
        <w:rPr>
          <w:rFonts w:ascii="Times New Roman"/>
          <w:b w:val="false"/>
          <w:i w:val="false"/>
          <w:color w:val="000000"/>
          <w:sz w:val="28"/>
        </w:rPr>
        <w:t>
      Одним из ключевых принципов взаимодействия государства и субъектов предпринимательства является ограниченное участие государства в предпринимательской деятельности.</w:t>
      </w:r>
    </w:p>
    <w:bookmarkEnd w:id="286"/>
    <w:bookmarkStart w:name="z308" w:id="287"/>
    <w:p>
      <w:pPr>
        <w:spacing w:after="0"/>
        <w:ind w:left="0"/>
        <w:jc w:val="both"/>
      </w:pPr>
      <w:r>
        <w:rPr>
          <w:rFonts w:ascii="Times New Roman"/>
          <w:b w:val="false"/>
          <w:i w:val="false"/>
          <w:color w:val="000000"/>
          <w:sz w:val="28"/>
        </w:rPr>
        <w:t>
      Снижение доли государственного участия в экономике обеспечивается путем сокращения оснований для участия государства в предпринимательской деятельности, реализации Комплексного плана приватизации и оптимизации перечня разрешенных видов деятельности для субъектов квазигосударственного сектора.</w:t>
      </w:r>
    </w:p>
    <w:bookmarkEnd w:id="287"/>
    <w:bookmarkStart w:name="z309" w:id="288"/>
    <w:p>
      <w:pPr>
        <w:spacing w:after="0"/>
        <w:ind w:left="0"/>
        <w:jc w:val="both"/>
      </w:pPr>
      <w:r>
        <w:rPr>
          <w:rFonts w:ascii="Times New Roman"/>
          <w:b w:val="false"/>
          <w:i w:val="false"/>
          <w:color w:val="000000"/>
          <w:sz w:val="28"/>
        </w:rPr>
        <w:t>
      В целях дальнейшего проведения масштабного и ускоренного сокращения доли государственного сектора в экономике Агентством по защите и развитию конкуренции Республики Казахстан создан Национальный офис по приватизации, в состав которого вошли депутаты Парламента, представители общественности, эксперты.</w:t>
      </w:r>
    </w:p>
    <w:bookmarkEnd w:id="288"/>
    <w:bookmarkStart w:name="z310" w:id="289"/>
    <w:p>
      <w:pPr>
        <w:spacing w:after="0"/>
        <w:ind w:left="0"/>
        <w:jc w:val="both"/>
      </w:pPr>
      <w:r>
        <w:rPr>
          <w:rFonts w:ascii="Times New Roman"/>
          <w:b w:val="false"/>
          <w:i w:val="false"/>
          <w:color w:val="000000"/>
          <w:sz w:val="28"/>
        </w:rPr>
        <w:t>
      Принципами государственного участия в предпринимательстве и приватизации будут являться:</w:t>
      </w:r>
    </w:p>
    <w:bookmarkEnd w:id="289"/>
    <w:bookmarkStart w:name="z311" w:id="290"/>
    <w:p>
      <w:pPr>
        <w:spacing w:after="0"/>
        <w:ind w:left="0"/>
        <w:jc w:val="both"/>
      </w:pPr>
      <w:r>
        <w:rPr>
          <w:rFonts w:ascii="Times New Roman"/>
          <w:b w:val="false"/>
          <w:i w:val="false"/>
          <w:color w:val="000000"/>
          <w:sz w:val="28"/>
        </w:rPr>
        <w:t>
      субсидиарная (вспомогательная) роль государства, заключающаяся в создании новой экономической единицы исключительно в случаях наличия неудовлетворенного спроса, отсутствия развитого частного бизнеса и конкуренции;</w:t>
      </w:r>
    </w:p>
    <w:bookmarkEnd w:id="290"/>
    <w:bookmarkStart w:name="z312" w:id="291"/>
    <w:p>
      <w:pPr>
        <w:spacing w:after="0"/>
        <w:ind w:left="0"/>
        <w:jc w:val="both"/>
      </w:pPr>
      <w:r>
        <w:rPr>
          <w:rFonts w:ascii="Times New Roman"/>
          <w:b w:val="false"/>
          <w:i w:val="false"/>
          <w:color w:val="000000"/>
          <w:sz w:val="28"/>
        </w:rPr>
        <w:t>
      временность государственного участия в предпринимательстве, означающая обязательную приватизацию созданных субъектов рынка с государственным участием, за исключением стратегических объектов и отдельных объектов социальной инфраструктуры, не подлежащих приватизации;</w:t>
      </w:r>
    </w:p>
    <w:bookmarkEnd w:id="291"/>
    <w:bookmarkStart w:name="z313" w:id="292"/>
    <w:p>
      <w:pPr>
        <w:spacing w:after="0"/>
        <w:ind w:left="0"/>
        <w:jc w:val="both"/>
      </w:pPr>
      <w:r>
        <w:rPr>
          <w:rFonts w:ascii="Times New Roman"/>
          <w:b w:val="false"/>
          <w:i w:val="false"/>
          <w:color w:val="000000"/>
          <w:sz w:val="28"/>
        </w:rPr>
        <w:t>
      наличие целей и задач создания субъекта рынка с государственным участием, означающее постановку и периодическую оценку их достижения, до приватизации;</w:t>
      </w:r>
    </w:p>
    <w:bookmarkEnd w:id="292"/>
    <w:bookmarkStart w:name="z314" w:id="293"/>
    <w:p>
      <w:pPr>
        <w:spacing w:after="0"/>
        <w:ind w:left="0"/>
        <w:jc w:val="both"/>
      </w:pPr>
      <w:r>
        <w:rPr>
          <w:rFonts w:ascii="Times New Roman"/>
          <w:b w:val="false"/>
          <w:i w:val="false"/>
          <w:color w:val="000000"/>
          <w:sz w:val="28"/>
        </w:rPr>
        <w:t>
      недопустимость создания частной монополии, означающая реализацию активов раздельными лотами при наличии технологической возможности и экономической целесообразности в целях снижения уровня экономической концентрации.</w:t>
      </w:r>
    </w:p>
    <w:bookmarkEnd w:id="293"/>
    <w:bookmarkStart w:name="z315" w:id="294"/>
    <w:p>
      <w:pPr>
        <w:spacing w:after="0"/>
        <w:ind w:left="0"/>
        <w:jc w:val="both"/>
      </w:pPr>
      <w:r>
        <w:rPr>
          <w:rFonts w:ascii="Times New Roman"/>
          <w:b w:val="false"/>
          <w:i w:val="false"/>
          <w:color w:val="000000"/>
          <w:sz w:val="28"/>
        </w:rPr>
        <w:t xml:space="preserve">
      Не подлежат включению в список приватизации стратегические объекты и объекты социальной инфраструктуры, приватизация которых запрещена законодательством Республики Казахстан. </w:t>
      </w:r>
    </w:p>
    <w:bookmarkEnd w:id="294"/>
    <w:bookmarkStart w:name="z316" w:id="295"/>
    <w:p>
      <w:pPr>
        <w:spacing w:after="0"/>
        <w:ind w:left="0"/>
        <w:jc w:val="both"/>
      </w:pPr>
      <w:r>
        <w:rPr>
          <w:rFonts w:ascii="Times New Roman"/>
          <w:b w:val="false"/>
          <w:i w:val="false"/>
          <w:color w:val="000000"/>
          <w:sz w:val="28"/>
        </w:rPr>
        <w:t xml:space="preserve">
      На основании вышеуказанных подходов в рамках работы Национального офиса по приватизации до конца 2024 года будет сформирован перечень активов, предлагаемых к передаче в конкурентную среду. </w:t>
      </w:r>
    </w:p>
    <w:bookmarkEnd w:id="295"/>
    <w:bookmarkStart w:name="z317" w:id="296"/>
    <w:p>
      <w:pPr>
        <w:spacing w:after="0"/>
        <w:ind w:left="0"/>
        <w:jc w:val="both"/>
      </w:pPr>
      <w:r>
        <w:rPr>
          <w:rFonts w:ascii="Times New Roman"/>
          <w:b w:val="false"/>
          <w:i w:val="false"/>
          <w:color w:val="000000"/>
          <w:sz w:val="28"/>
        </w:rPr>
        <w:t>
      Будет изменена текущая роль государства в экономике за счет обеспечения равных условий для участников рынка, оптимизации государственной собственности, а также совершенствования регуляторной политики государства.</w:t>
      </w:r>
    </w:p>
    <w:bookmarkEnd w:id="296"/>
    <w:bookmarkStart w:name="z318" w:id="297"/>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Стандарты ответственного ведения бизнеса</w:t>
      </w:r>
    </w:p>
    <w:bookmarkEnd w:id="297"/>
    <w:bookmarkStart w:name="z319" w:id="298"/>
    <w:p>
      <w:pPr>
        <w:spacing w:after="0"/>
        <w:ind w:left="0"/>
        <w:jc w:val="both"/>
      </w:pPr>
      <w:r>
        <w:rPr>
          <w:rFonts w:ascii="Times New Roman"/>
          <w:b w:val="false"/>
          <w:i w:val="false"/>
          <w:color w:val="000000"/>
          <w:sz w:val="28"/>
        </w:rPr>
        <w:t>
      Будет разработана декларация по ответственному ведению предпринимательской деятельности в Казахстане, предусматривающая соблюдение стандартов ответственного ведения бизнеса (далее – стандарты ОВБ), которая подтвердит намерение инвесторов работать ответственно, вносить позитивный вклад в экономический рост и устойчивое развитие. Ответственное ведение бизнеса подразумевает соблюдение предпринимателями и инвесторами принципов справедливой конкуренции, условий труда, защиты прав человека, охраны окружающей среды и др.</w:t>
      </w:r>
    </w:p>
    <w:bookmarkEnd w:id="298"/>
    <w:p>
      <w:pPr>
        <w:spacing w:after="0"/>
        <w:ind w:left="0"/>
        <w:jc w:val="both"/>
      </w:pPr>
      <w:r>
        <w:rPr>
          <w:rFonts w:ascii="Times New Roman"/>
          <w:b/>
          <w:i w:val="false"/>
          <w:color w:val="000000"/>
          <w:sz w:val="28"/>
        </w:rPr>
        <w:t>Направление 3. Раскрытие инвестиционного потенциала экономики</w:t>
      </w:r>
    </w:p>
    <w:bookmarkStart w:name="z321"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рынка рейтинговых услуг и повышение экспертизы в оценке кредитного риска</w:t>
      </w:r>
    </w:p>
    <w:bookmarkEnd w:id="299"/>
    <w:bookmarkStart w:name="z322" w:id="300"/>
    <w:p>
      <w:pPr>
        <w:spacing w:after="0"/>
        <w:ind w:left="0"/>
        <w:jc w:val="both"/>
      </w:pPr>
      <w:r>
        <w:rPr>
          <w:rFonts w:ascii="Times New Roman"/>
          <w:b w:val="false"/>
          <w:i w:val="false"/>
          <w:color w:val="000000"/>
          <w:sz w:val="28"/>
        </w:rPr>
        <w:t>
      В настоящее время на казахстанском рынке услуг по присвоению рейтинговых оценок доминируют международные рейтинговые агентства. Высокие цены на услуги международных рейтинговых агентств по присвоению рейтинговых оценок повышают стоимость фондирования и негативно сказываются на интересе казахстанских компаний привлекать финансирование через фондовый рынок.</w:t>
      </w:r>
    </w:p>
    <w:bookmarkEnd w:id="300"/>
    <w:bookmarkStart w:name="z323" w:id="301"/>
    <w:p>
      <w:pPr>
        <w:spacing w:after="0"/>
        <w:ind w:left="0"/>
        <w:jc w:val="both"/>
      </w:pPr>
      <w:r>
        <w:rPr>
          <w:rFonts w:ascii="Times New Roman"/>
          <w:b w:val="false"/>
          <w:i w:val="false"/>
          <w:color w:val="000000"/>
          <w:sz w:val="28"/>
        </w:rPr>
        <w:t xml:space="preserve">
      В рамках обеспечения доступности услуг по присвоению рейтинговых оценок Агентством Республики Казахстан по регулированию и развитию финансового рынка будет продолжена работа по созданию условий для деятельности локальных кредитных рейтинговых агентств. Для этих целей планируется принять Закон Республики Казахстан "О кредитных рейтинговых агентствах". </w:t>
      </w:r>
    </w:p>
    <w:bookmarkEnd w:id="301"/>
    <w:bookmarkStart w:name="z324" w:id="302"/>
    <w:p>
      <w:pPr>
        <w:spacing w:after="0"/>
        <w:ind w:left="0"/>
        <w:jc w:val="both"/>
      </w:pPr>
      <w:r>
        <w:rPr>
          <w:rFonts w:ascii="Times New Roman"/>
          <w:b w:val="false"/>
          <w:i w:val="false"/>
          <w:color w:val="000000"/>
          <w:sz w:val="28"/>
        </w:rPr>
        <w:t>
      На законодательном уровне будут введены механизмы регулирования, контроля и надзора деятельности кредитных рейтинговых агентств и признания присвоенных им рейтинговых оценок в регулировании финансовых организаций. Одновременно будут приняты меры по повышению ответственности рейтинговых агентств за предоставленные рейтинговые оценки.</w:t>
      </w:r>
    </w:p>
    <w:bookmarkEnd w:id="302"/>
    <w:bookmarkStart w:name="z325" w:id="303"/>
    <w:p>
      <w:pPr>
        <w:spacing w:after="0"/>
        <w:ind w:left="0"/>
        <w:jc w:val="both"/>
      </w:pPr>
      <w:r>
        <w:rPr>
          <w:rFonts w:ascii="Times New Roman"/>
          <w:b w:val="false"/>
          <w:i w:val="false"/>
          <w:color w:val="000000"/>
          <w:sz w:val="28"/>
        </w:rPr>
        <w:t>
      Кроме того, планируется, что деятельность кредитных рейтинговых агентств будет направлена на оценку рисков и возможностей, которым подвержены организации, финансовые инструменты и продукты.</w:t>
      </w:r>
    </w:p>
    <w:bookmarkEnd w:id="303"/>
    <w:bookmarkStart w:name="z326" w:id="30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 рынка коллективных инвестиций и его приведение в соответствие наилучшей международной практике</w:t>
      </w:r>
    </w:p>
    <w:bookmarkEnd w:id="304"/>
    <w:bookmarkStart w:name="z327" w:id="305"/>
    <w:p>
      <w:pPr>
        <w:spacing w:after="0"/>
        <w:ind w:left="0"/>
        <w:jc w:val="both"/>
      </w:pPr>
      <w:r>
        <w:rPr>
          <w:rFonts w:ascii="Times New Roman"/>
          <w:b w:val="false"/>
          <w:i w:val="false"/>
          <w:color w:val="000000"/>
          <w:sz w:val="28"/>
        </w:rPr>
        <w:t>
      Следуя международной практике и стандартам деятельности на рынке ценных бумаг совместно с участниками финансового рынка и заинтересованными государственными органами планируется разработать новую законодательную базу об инвестиционных и венчурных фондах.</w:t>
      </w:r>
    </w:p>
    <w:bookmarkEnd w:id="305"/>
    <w:bookmarkStart w:name="z328" w:id="306"/>
    <w:p>
      <w:pPr>
        <w:spacing w:after="0"/>
        <w:ind w:left="0"/>
        <w:jc w:val="both"/>
      </w:pPr>
      <w:r>
        <w:rPr>
          <w:rFonts w:ascii="Times New Roman"/>
          <w:b w:val="false"/>
          <w:i w:val="false"/>
          <w:color w:val="000000"/>
          <w:sz w:val="28"/>
        </w:rPr>
        <w:t>
      В периметр регулирования будут введены венчурные фонды и фонды прямого инвестирования, предусмотрена новая классификация фондов, пересмотрены подходы к регулированию, контролю и надзору за инвестиционными и венчурными фондами.</w:t>
      </w:r>
    </w:p>
    <w:bookmarkEnd w:id="306"/>
    <w:bookmarkStart w:name="z329" w:id="307"/>
    <w:p>
      <w:pPr>
        <w:spacing w:after="0"/>
        <w:ind w:left="0"/>
        <w:jc w:val="both"/>
      </w:pPr>
      <w:r>
        <w:rPr>
          <w:rFonts w:ascii="Times New Roman"/>
          <w:b w:val="false"/>
          <w:i w:val="false"/>
          <w:color w:val="000000"/>
          <w:sz w:val="28"/>
        </w:rPr>
        <w:t xml:space="preserve">
      </w:t>
      </w:r>
      <w:r>
        <w:rPr>
          <w:rFonts w:ascii="Times New Roman"/>
          <w:b/>
          <w:i w:val="false"/>
          <w:color w:val="000000"/>
          <w:sz w:val="28"/>
        </w:rPr>
        <w:t>Приведение законодательства Республики Казахстан о рынке ценных бумаг в соответствие со стандартами Европейского управления по надзору за рынком ценных бумаг</w:t>
      </w:r>
    </w:p>
    <w:bookmarkEnd w:id="307"/>
    <w:bookmarkStart w:name="z330" w:id="308"/>
    <w:p>
      <w:pPr>
        <w:spacing w:after="0"/>
        <w:ind w:left="0"/>
        <w:jc w:val="both"/>
      </w:pPr>
      <w:r>
        <w:rPr>
          <w:rFonts w:ascii="Times New Roman"/>
          <w:b w:val="false"/>
          <w:i w:val="false"/>
          <w:color w:val="000000"/>
          <w:sz w:val="28"/>
        </w:rPr>
        <w:t xml:space="preserve">
      В целях получения международного признания, в том числе для целей привлечения иностранного капитала, имеется потребность в приведении действующего законодательства Республики Казахстан о рынке ценных бумаг в соответствие со стандартами Европейского управления по надзору за рынком ценных бумаг. В этой связи планируется разработать пакет законодательных поправок в действующий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рынке ценных бумаг" с учетом требований директив Европейского управления по надзору за рынком ценных бумаг.</w:t>
      </w:r>
    </w:p>
    <w:bookmarkEnd w:id="308"/>
    <w:bookmarkStart w:name="z331" w:id="30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Трансформация АО "Центральный депозитарий ценных бумаг" из локального учетного центра в региональный расчетно-учетный хаб</w:t>
      </w:r>
    </w:p>
    <w:bookmarkEnd w:id="309"/>
    <w:bookmarkStart w:name="z332" w:id="310"/>
    <w:p>
      <w:pPr>
        <w:spacing w:after="0"/>
        <w:ind w:left="0"/>
        <w:jc w:val="both"/>
      </w:pPr>
      <w:r>
        <w:rPr>
          <w:rFonts w:ascii="Times New Roman"/>
          <w:b w:val="false"/>
          <w:i w:val="false"/>
          <w:color w:val="000000"/>
          <w:sz w:val="28"/>
        </w:rPr>
        <w:t>
      Высокая степень интеграции инфраструктуры фондового рынка в экосистему глобальных рынков капитала может стать основным элементом в привлечении инвестиций в страну и дальнейшем развитии фондового рынка.</w:t>
      </w:r>
    </w:p>
    <w:bookmarkEnd w:id="310"/>
    <w:bookmarkStart w:name="z333" w:id="311"/>
    <w:p>
      <w:pPr>
        <w:spacing w:after="0"/>
        <w:ind w:left="0"/>
        <w:jc w:val="both"/>
      </w:pPr>
      <w:r>
        <w:rPr>
          <w:rFonts w:ascii="Times New Roman"/>
          <w:b w:val="false"/>
          <w:i w:val="false"/>
          <w:color w:val="000000"/>
          <w:sz w:val="28"/>
        </w:rPr>
        <w:t>
      Важным направлением институционального развития является трансформация АО "Центральный депозитарий ценных бумаг" (далее – ЦДЦБ) из локального учетного центра в региональный расчетно-учетный хаб, через который глобальные игроки смогут получить удаленный доступ к местным и региональным финансовым инструментам. Необходимо расширить функционал ЦДЦБ путем консолидации всей расчетно-учетной инфраструктуры фондового рынка, оптимизации внутренних процессов, внедрения современной технологической платформы, позволяющей предоставлять сервисы, соответствующие международным стандартам.</w:t>
      </w:r>
    </w:p>
    <w:bookmarkEnd w:id="311"/>
    <w:bookmarkStart w:name="z334" w:id="312"/>
    <w:p>
      <w:pPr>
        <w:spacing w:after="0"/>
        <w:ind w:left="0"/>
        <w:jc w:val="both"/>
      </w:pPr>
      <w:r>
        <w:rPr>
          <w:rFonts w:ascii="Times New Roman"/>
          <w:b w:val="false"/>
          <w:i w:val="false"/>
          <w:color w:val="000000"/>
          <w:sz w:val="28"/>
        </w:rPr>
        <w:t>
      ЦДЦБ будет обеспечен прямой доступ иностранных инвесторов к локальному фондовому и валютному рынкам с минимальными издержками за счет формирования междепозитарных и корреспондентских отношений с иностранными депозитариями и глобальными кастодианами путем открытия прямых счетов в своей системе учета. Для упрощения и удешевления доступа казахстанских инвесторов к иностранным ценным бумагам будет усовершенствована концепция торгов иностранными акциями на KASE.</w:t>
      </w:r>
    </w:p>
    <w:bookmarkEnd w:id="312"/>
    <w:bookmarkStart w:name="z335" w:id="313"/>
    <w:p>
      <w:pPr>
        <w:spacing w:after="0"/>
        <w:ind w:left="0"/>
        <w:jc w:val="both"/>
      </w:pPr>
      <w:r>
        <w:rPr>
          <w:rFonts w:ascii="Times New Roman"/>
          <w:b w:val="false"/>
          <w:i w:val="false"/>
          <w:color w:val="000000"/>
          <w:sz w:val="28"/>
        </w:rPr>
        <w:t xml:space="preserve">
      </w:t>
      </w:r>
      <w:r>
        <w:rPr>
          <w:rFonts w:ascii="Times New Roman"/>
          <w:b/>
          <w:i w:val="false"/>
          <w:color w:val="000000"/>
          <w:sz w:val="28"/>
        </w:rPr>
        <w:t>Реализация мероприятий, направленных на повышение интеграции казахстанского фондового рынка в глобальные рынки капитала</w:t>
      </w:r>
    </w:p>
    <w:bookmarkEnd w:id="313"/>
    <w:bookmarkStart w:name="z336" w:id="314"/>
    <w:p>
      <w:pPr>
        <w:spacing w:after="0"/>
        <w:ind w:left="0"/>
        <w:jc w:val="both"/>
      </w:pPr>
      <w:r>
        <w:rPr>
          <w:rFonts w:ascii="Times New Roman"/>
          <w:b w:val="false"/>
          <w:i w:val="false"/>
          <w:color w:val="000000"/>
          <w:sz w:val="28"/>
        </w:rPr>
        <w:t>
      В рамках дальнейшей интеграции локального рынка с международным рынком капитала будет продолжена работа по расширению междепозитарных и корреспондентских отношений с иностранными депозитариями и глобальными кастодианами.</w:t>
      </w:r>
    </w:p>
    <w:bookmarkEnd w:id="314"/>
    <w:bookmarkStart w:name="z337" w:id="315"/>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совместно с ЦДЦБ и АО "Казахстанский клиринговый центр" проработает вопрос совершенствования текущей расчетной инфраструктуры, будут внедрять и последовательно адаптировать передовые рекомендации европейских директив.</w:t>
      </w:r>
    </w:p>
    <w:bookmarkEnd w:id="315"/>
    <w:bookmarkStart w:name="z338" w:id="316"/>
    <w:p>
      <w:pPr>
        <w:spacing w:after="0"/>
        <w:ind w:left="0"/>
        <w:jc w:val="both"/>
      </w:pPr>
      <w:r>
        <w:rPr>
          <w:rFonts w:ascii="Times New Roman"/>
          <w:b w:val="false"/>
          <w:i w:val="false"/>
          <w:color w:val="000000"/>
          <w:sz w:val="28"/>
        </w:rPr>
        <w:t>
      Важным является расширение взаимодействия с международной расчетно-клиринговой системой Clearstream, с которой уже установлены междепозитарные и корреспондентские отношения.</w:t>
      </w:r>
    </w:p>
    <w:bookmarkEnd w:id="316"/>
    <w:bookmarkStart w:name="z339" w:id="317"/>
    <w:p>
      <w:pPr>
        <w:spacing w:after="0"/>
        <w:ind w:left="0"/>
        <w:jc w:val="both"/>
      </w:pPr>
      <w:r>
        <w:rPr>
          <w:rFonts w:ascii="Times New Roman"/>
          <w:b w:val="false"/>
          <w:i w:val="false"/>
          <w:color w:val="000000"/>
          <w:sz w:val="28"/>
        </w:rPr>
        <w:t>
      На сегодня планируется расширить список казахстанских ценных бумаг, которые могут рассчитываться в системе Clearstream. В первую очередь, это облигации квазигосударственных компаний, в последующем казахстанские акции, входящие в представительский индекс KASE.</w:t>
      </w:r>
    </w:p>
    <w:bookmarkEnd w:id="317"/>
    <w:bookmarkStart w:name="z340" w:id="318"/>
    <w:p>
      <w:pPr>
        <w:spacing w:after="0"/>
        <w:ind w:left="0"/>
        <w:jc w:val="both"/>
      </w:pPr>
      <w:r>
        <w:rPr>
          <w:rFonts w:ascii="Times New Roman"/>
          <w:b w:val="false"/>
          <w:i w:val="false"/>
          <w:color w:val="000000"/>
          <w:sz w:val="28"/>
        </w:rPr>
        <w:t>
      Кроме того, будут выработаны предложения по порядку учета и перехода прав на финансовые инструменты, находящиеся на счетах иностранных учетных организаций в ЦДЦБ, c учетом наилучшего международного опыта, а также созданы необходимые законодательные условия для открытия прямых счетов международных учетных организаций в ЦДЦБ.</w:t>
      </w:r>
    </w:p>
    <w:bookmarkEnd w:id="318"/>
    <w:bookmarkStart w:name="z341" w:id="319"/>
    <w:p>
      <w:pPr>
        <w:spacing w:after="0"/>
        <w:ind w:left="0"/>
        <w:jc w:val="both"/>
      </w:pPr>
      <w:r>
        <w:rPr>
          <w:rFonts w:ascii="Times New Roman"/>
          <w:b w:val="false"/>
          <w:i w:val="false"/>
          <w:color w:val="000000"/>
          <w:sz w:val="28"/>
        </w:rPr>
        <w:t xml:space="preserve">
      </w:t>
      </w:r>
      <w:r>
        <w:rPr>
          <w:rFonts w:ascii="Times New Roman"/>
          <w:b/>
          <w:i w:val="false"/>
          <w:color w:val="000000"/>
          <w:sz w:val="28"/>
        </w:rPr>
        <w:t>Зеленые финансы</w:t>
      </w:r>
    </w:p>
    <w:bookmarkEnd w:id="319"/>
    <w:bookmarkStart w:name="z342" w:id="320"/>
    <w:p>
      <w:pPr>
        <w:spacing w:after="0"/>
        <w:ind w:left="0"/>
        <w:jc w:val="both"/>
      </w:pPr>
      <w:r>
        <w:rPr>
          <w:rFonts w:ascii="Times New Roman"/>
          <w:b w:val="false"/>
          <w:i w:val="false"/>
          <w:color w:val="000000"/>
          <w:sz w:val="28"/>
        </w:rPr>
        <w:t xml:space="preserve">
      Для достижения углеродной нейтральности инвестиционная потребность до 2030 года составляет около 10 млрд долларов США (600 млрд долларов США до 2060 года). В этой связи требуется предусмотреть меры по привлечению "зеленых" финансов, в том числе прямых иностранных инвестиций. </w:t>
      </w:r>
    </w:p>
    <w:bookmarkEnd w:id="320"/>
    <w:bookmarkStart w:name="z343" w:id="321"/>
    <w:p>
      <w:pPr>
        <w:spacing w:after="0"/>
        <w:ind w:left="0"/>
        <w:jc w:val="both"/>
      </w:pPr>
      <w:r>
        <w:rPr>
          <w:rFonts w:ascii="Times New Roman"/>
          <w:b w:val="false"/>
          <w:i w:val="false"/>
          <w:color w:val="000000"/>
          <w:sz w:val="28"/>
        </w:rPr>
        <w:t xml:space="preserve">
      Будут предусмотрены меры для стимулирования "зеленых инвестиций" и поддержки процесса декарбонизации экономики. В частности, будут разработаны рекомендации по оценке углеродного следа кредитных портфелей банков и других финансовых организаций. </w:t>
      </w:r>
    </w:p>
    <w:bookmarkEnd w:id="321"/>
    <w:bookmarkStart w:name="z344" w:id="322"/>
    <w:p>
      <w:pPr>
        <w:spacing w:after="0"/>
        <w:ind w:left="0"/>
        <w:jc w:val="both"/>
      </w:pPr>
      <w:r>
        <w:rPr>
          <w:rFonts w:ascii="Times New Roman"/>
          <w:b w:val="false"/>
          <w:i w:val="false"/>
          <w:color w:val="000000"/>
          <w:sz w:val="28"/>
        </w:rPr>
        <w:t>
      В рамках Стратегии достижения углеродной нейтральности Республики Казахстан до 2060 года предусматривается создание "углеродного" (карбонового) фонда. Миссией фонда будет являться содействие к достижению углеродной нейтральности Республики Казахстан к 2060 году через мобилизацию и эффективное распределение финансовых ресурсов в проекты, направленные на сокращение выбросов парниковых газов и повышение углеродного поглощения, стимулируя инновации и инвестиции в экологически устойчивые технологии.</w:t>
      </w:r>
    </w:p>
    <w:bookmarkEnd w:id="322"/>
    <w:bookmarkStart w:name="z345" w:id="323"/>
    <w:p>
      <w:pPr>
        <w:spacing w:after="0"/>
        <w:ind w:left="0"/>
        <w:jc w:val="both"/>
      </w:pPr>
      <w:r>
        <w:rPr>
          <w:rFonts w:ascii="Times New Roman"/>
          <w:b w:val="false"/>
          <w:i w:val="false"/>
          <w:color w:val="000000"/>
          <w:sz w:val="28"/>
        </w:rPr>
        <w:t>
      В частности, планируется финансирование стратегических проектов по декарбонизации энергетики, промышленности, жилищно-коммунального хозяйства, сельского хозяйства, транспорта и других ключевых секторов экономики.</w:t>
      </w:r>
    </w:p>
    <w:bookmarkEnd w:id="323"/>
    <w:bookmarkStart w:name="z346" w:id="324"/>
    <w:p>
      <w:pPr>
        <w:spacing w:after="0"/>
        <w:ind w:left="0"/>
        <w:jc w:val="both"/>
      </w:pPr>
      <w:r>
        <w:rPr>
          <w:rFonts w:ascii="Times New Roman"/>
          <w:b w:val="false"/>
          <w:i w:val="false"/>
          <w:color w:val="000000"/>
          <w:sz w:val="28"/>
        </w:rPr>
        <w:t xml:space="preserve">
      Предусматривается введение обязательной отчетности по показателям ESG и независимой проверки (верификации) такой отчетности для крупных инвесторов и квазигосударственных организаций. Требования по верификации должны проводиться на регулярной основе с привлечением авторизованных компаний по верификации. </w:t>
      </w:r>
    </w:p>
    <w:bookmarkEnd w:id="324"/>
    <w:bookmarkStart w:name="z347" w:id="325"/>
    <w:p>
      <w:pPr>
        <w:spacing w:after="0"/>
        <w:ind w:left="0"/>
        <w:jc w:val="both"/>
      </w:pPr>
      <w:r>
        <w:rPr>
          <w:rFonts w:ascii="Times New Roman"/>
          <w:b w:val="false"/>
          <w:i w:val="false"/>
          <w:color w:val="000000"/>
          <w:sz w:val="28"/>
        </w:rPr>
        <w:t xml:space="preserve">
      Также будет рассмотрена возможность внедрения кроссплатформенных решений для оценки цепочек поставок. Данное решение позволит улучшить прозрачность и ответственность поставщиков в отношении стандартов устойчивости в контексте государственных закупок. </w:t>
      </w:r>
    </w:p>
    <w:bookmarkEnd w:id="325"/>
    <w:bookmarkStart w:name="z348" w:id="326"/>
    <w:p>
      <w:pPr>
        <w:spacing w:after="0"/>
        <w:ind w:left="0"/>
        <w:jc w:val="both"/>
      </w:pPr>
      <w:r>
        <w:rPr>
          <w:rFonts w:ascii="Times New Roman"/>
          <w:b w:val="false"/>
          <w:i w:val="false"/>
          <w:color w:val="000000"/>
          <w:sz w:val="28"/>
        </w:rPr>
        <w:t>
      Внедрение такого решения также будет способствовать повышению конкурентоспособности казахстанских поставщиков на международных рынках, где требования к устойчивости становятся все более жесткими. Это откроет новые возможности для экспорта и привлечения инвестиций в устойчивые проекты.</w:t>
      </w:r>
    </w:p>
    <w:bookmarkEnd w:id="326"/>
    <w:p>
      <w:pPr>
        <w:spacing w:after="0"/>
        <w:ind w:left="0"/>
        <w:jc w:val="both"/>
      </w:pPr>
      <w:r>
        <w:rPr>
          <w:rFonts w:ascii="Times New Roman"/>
          <w:b/>
          <w:i w:val="false"/>
          <w:color w:val="000000"/>
          <w:sz w:val="28"/>
        </w:rPr>
        <w:t>Раздел 6. Целевые индикаторы и ожидаемые результаты</w:t>
      </w:r>
    </w:p>
    <w:p>
      <w:pPr>
        <w:spacing w:after="0"/>
        <w:ind w:left="0"/>
        <w:jc w:val="both"/>
      </w:pPr>
      <w:r>
        <w:rPr>
          <w:rFonts w:ascii="Times New Roman"/>
          <w:b/>
          <w:i w:val="false"/>
          <w:color w:val="000000"/>
          <w:sz w:val="28"/>
        </w:rPr>
        <w:t>6.1 Целевые индикаторы до 2029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Целевые индикаторы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исполнитель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 от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трлн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ИОК, за исключением инвестиций из государственного бюджета, трлн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внешних инвестиций в общем объеме ИОК,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ПИИ, млрд долларов США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НБ (по согласованию),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приток ПИИ к ВВП,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 НБ (по согласованию), все отраслевые ЦГО, МИО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ИОК по регионам*, млрд тенге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 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ПИИ по регионам, млн долларов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Абай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Акмолинской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Жамбылской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Жетісу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 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области Ұлытау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Астаны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Шымкента</w:t>
            </w:r>
          </w:p>
        </w:tc>
      </w:tr>
    </w:tbl>
    <w:bookmarkStart w:name="z351" w:id="327"/>
    <w:p>
      <w:pPr>
        <w:spacing w:after="0"/>
        <w:ind w:left="0"/>
        <w:jc w:val="both"/>
      </w:pPr>
      <w:r>
        <w:rPr>
          <w:rFonts w:ascii="Times New Roman"/>
          <w:b w:val="false"/>
          <w:i w:val="false"/>
          <w:color w:val="000000"/>
          <w:sz w:val="28"/>
        </w:rPr>
        <w:t xml:space="preserve">
      *Целевые индикаторы в номинальном выражении по регионам могут быть пересмотрены с учетом макроэкономической ситуации в стране </w:t>
      </w:r>
    </w:p>
    <w:bookmarkEnd w:id="327"/>
    <w:p>
      <w:pPr>
        <w:spacing w:after="0"/>
        <w:ind w:left="0"/>
        <w:jc w:val="both"/>
      </w:pPr>
      <w:r>
        <w:rPr>
          <w:rFonts w:ascii="Times New Roman"/>
          <w:b/>
          <w:i w:val="false"/>
          <w:color w:val="000000"/>
          <w:sz w:val="28"/>
        </w:rPr>
        <w:t>6.2 Основные результаты, ожидаемые по итогам 2029 года:</w:t>
      </w:r>
    </w:p>
    <w:bookmarkStart w:name="z353" w:id="328"/>
    <w:p>
      <w:pPr>
        <w:spacing w:after="0"/>
        <w:ind w:left="0"/>
        <w:jc w:val="both"/>
      </w:pPr>
      <w:r>
        <w:rPr>
          <w:rFonts w:ascii="Times New Roman"/>
          <w:b w:val="false"/>
          <w:i w:val="false"/>
          <w:color w:val="000000"/>
          <w:sz w:val="28"/>
        </w:rPr>
        <w:t>
      Привлечение не менее 223,6 трлн тенге инвестиций в основной капитал за 6 лет.</w:t>
      </w:r>
    </w:p>
    <w:bookmarkEnd w:id="328"/>
    <w:bookmarkStart w:name="z354" w:id="329"/>
    <w:p>
      <w:pPr>
        <w:spacing w:after="0"/>
        <w:ind w:left="0"/>
        <w:jc w:val="both"/>
      </w:pPr>
      <w:r>
        <w:rPr>
          <w:rFonts w:ascii="Times New Roman"/>
          <w:b w:val="false"/>
          <w:i w:val="false"/>
          <w:color w:val="000000"/>
          <w:sz w:val="28"/>
        </w:rPr>
        <w:t>
      Привлечение не менее 150 млрд долларов США валового притока прямых иностранных инвестиций за 6 лет.</w:t>
      </w:r>
    </w:p>
    <w:bookmarkEnd w:id="329"/>
    <w:bookmarkStart w:name="z355" w:id="330"/>
    <w:p>
      <w:pPr>
        <w:spacing w:after="0"/>
        <w:ind w:left="0"/>
        <w:jc w:val="both"/>
      </w:pPr>
      <w:r>
        <w:rPr>
          <w:rFonts w:ascii="Times New Roman"/>
          <w:b w:val="false"/>
          <w:i w:val="false"/>
          <w:color w:val="000000"/>
          <w:sz w:val="28"/>
        </w:rPr>
        <w:t>
      Обеспечение чистого притока ПИИ на уровне не менее 2 % к ВВП ежегодно.</w:t>
      </w:r>
    </w:p>
    <w:bookmarkEnd w:id="330"/>
    <w:bookmarkStart w:name="z356" w:id="331"/>
    <w:p>
      <w:pPr>
        <w:spacing w:after="0"/>
        <w:ind w:left="0"/>
        <w:jc w:val="both"/>
      </w:pPr>
      <w:r>
        <w:rPr>
          <w:rFonts w:ascii="Times New Roman"/>
          <w:b w:val="false"/>
          <w:i w:val="false"/>
          <w:color w:val="000000"/>
          <w:sz w:val="28"/>
        </w:rPr>
        <w:t>
      Обеспечение диверсификации инвестиционных потоков с акцентом на несырьевые сектора экономики.</w:t>
      </w:r>
    </w:p>
    <w:bookmarkEnd w:id="331"/>
    <w:bookmarkStart w:name="z357" w:id="332"/>
    <w:p>
      <w:pPr>
        <w:spacing w:after="0"/>
        <w:ind w:left="0"/>
        <w:jc w:val="both"/>
      </w:pPr>
      <w:r>
        <w:rPr>
          <w:rFonts w:ascii="Times New Roman"/>
          <w:b w:val="false"/>
          <w:i w:val="false"/>
          <w:color w:val="000000"/>
          <w:sz w:val="28"/>
        </w:rPr>
        <w:t>
      Высокая степень удовлетворенности инвесторов инвестиционным климатом (ежегодно не ниже 90 % по итогам независимых опросов).</w:t>
      </w:r>
    </w:p>
    <w:bookmarkEnd w:id="332"/>
    <w:bookmarkStart w:name="z358" w:id="333"/>
    <w:p>
      <w:pPr>
        <w:spacing w:after="0"/>
        <w:ind w:left="0"/>
        <w:jc w:val="both"/>
      </w:pPr>
      <w:r>
        <w:rPr>
          <w:rFonts w:ascii="Times New Roman"/>
          <w:b w:val="false"/>
          <w:i w:val="false"/>
          <w:color w:val="000000"/>
          <w:sz w:val="28"/>
        </w:rPr>
        <w:t>
      Полноценный запуск национальной цифровой инвестиционной платформы.</w:t>
      </w:r>
    </w:p>
    <w:bookmarkEnd w:id="333"/>
    <w:bookmarkStart w:name="z359" w:id="334"/>
    <w:p>
      <w:pPr>
        <w:spacing w:after="0"/>
        <w:ind w:left="0"/>
        <w:jc w:val="both"/>
      </w:pPr>
      <w:r>
        <w:rPr>
          <w:rFonts w:ascii="Times New Roman"/>
          <w:b w:val="false"/>
          <w:i w:val="false"/>
          <w:color w:val="000000"/>
          <w:sz w:val="28"/>
        </w:rPr>
        <w:t>
      Ввод в эксплуатацию не менее 220 инвестиционных проектов в рамках общенационального пула ежегодно.</w:t>
      </w:r>
    </w:p>
    <w:bookmarkEnd w:id="334"/>
    <w:bookmarkStart w:name="z360" w:id="335"/>
    <w:p>
      <w:pPr>
        <w:spacing w:after="0"/>
        <w:ind w:left="0"/>
        <w:jc w:val="both"/>
      </w:pPr>
      <w:r>
        <w:rPr>
          <w:rFonts w:ascii="Times New Roman"/>
          <w:b w:val="false"/>
          <w:i w:val="false"/>
          <w:color w:val="000000"/>
          <w:sz w:val="28"/>
        </w:rPr>
        <w:t>
      Создание не менее 120 тысяч рабочих мест в рамках реализации инвестиционных проектов общенационального пула.</w:t>
      </w:r>
    </w:p>
    <w:bookmarkEnd w:id="335"/>
    <w:bookmarkStart w:name="z361" w:id="336"/>
    <w:p>
      <w:pPr>
        <w:spacing w:after="0"/>
        <w:ind w:left="0"/>
        <w:jc w:val="both"/>
      </w:pPr>
      <w:r>
        <w:rPr>
          <w:rFonts w:ascii="Times New Roman"/>
          <w:b w:val="false"/>
          <w:i w:val="false"/>
          <w:color w:val="000000"/>
          <w:sz w:val="28"/>
        </w:rPr>
        <w:t>
      Обеспечение 100 % готовности инфраструктуры эффективных СЭЗ и ИЗ.</w:t>
      </w:r>
    </w:p>
    <w:bookmarkEnd w:id="336"/>
    <w:bookmarkStart w:name="z362" w:id="337"/>
    <w:p>
      <w:pPr>
        <w:spacing w:after="0"/>
        <w:ind w:left="0"/>
        <w:jc w:val="both"/>
      </w:pPr>
      <w:r>
        <w:rPr>
          <w:rFonts w:ascii="Times New Roman"/>
          <w:b w:val="false"/>
          <w:i w:val="false"/>
          <w:color w:val="000000"/>
          <w:sz w:val="28"/>
        </w:rPr>
        <w:t xml:space="preserve">
      Примечание: </w:t>
      </w:r>
    </w:p>
    <w:bookmarkEnd w:id="337"/>
    <w:bookmarkStart w:name="z363" w:id="338"/>
    <w:p>
      <w:pPr>
        <w:spacing w:after="0"/>
        <w:ind w:left="0"/>
        <w:jc w:val="both"/>
      </w:pPr>
      <w:r>
        <w:rPr>
          <w:rFonts w:ascii="Times New Roman"/>
          <w:b w:val="false"/>
          <w:i w:val="false"/>
          <w:color w:val="000000"/>
          <w:sz w:val="28"/>
        </w:rPr>
        <w:t>
      Мероприятия по реализации Концепции будут осуществлены в соответствии с Планом действий по реализации Концепции инвестиционной политики Республики Казахстан до 2029 года согласно приложению к настоящей Концепции.</w:t>
      </w:r>
    </w:p>
    <w:bookmarkEnd w:id="338"/>
    <w:bookmarkStart w:name="z364" w:id="339"/>
    <w:p>
      <w:pPr>
        <w:spacing w:after="0"/>
        <w:ind w:left="0"/>
        <w:jc w:val="both"/>
      </w:pPr>
      <w:r>
        <w:rPr>
          <w:rFonts w:ascii="Times New Roman"/>
          <w:b w:val="false"/>
          <w:i w:val="false"/>
          <w:color w:val="000000"/>
          <w:sz w:val="28"/>
        </w:rPr>
        <w:t>
      _________________________________</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инвестиционной</w:t>
            </w:r>
            <w:r>
              <w:br/>
            </w:r>
            <w:r>
              <w:rPr>
                <w:rFonts w:ascii="Times New Roman"/>
                <w:b w:val="false"/>
                <w:i w:val="false"/>
                <w:color w:val="000000"/>
                <w:sz w:val="20"/>
              </w:rPr>
              <w:t>политики в Республике</w:t>
            </w:r>
            <w:r>
              <w:br/>
            </w:r>
            <w:r>
              <w:rPr>
                <w:rFonts w:ascii="Times New Roman"/>
                <w:b w:val="false"/>
                <w:i w:val="false"/>
                <w:color w:val="000000"/>
                <w:sz w:val="20"/>
              </w:rPr>
              <w:t>Казахстан до 2029 года</w:t>
            </w:r>
          </w:p>
        </w:tc>
      </w:tr>
    </w:tbl>
    <w:bookmarkStart w:name="z366" w:id="340"/>
    <w:p>
      <w:pPr>
        <w:spacing w:after="0"/>
        <w:ind w:left="0"/>
        <w:jc w:val="left"/>
      </w:pPr>
      <w:r>
        <w:rPr>
          <w:rFonts w:ascii="Times New Roman"/>
          <w:b/>
          <w:i w:val="false"/>
          <w:color w:val="000000"/>
        </w:rPr>
        <w:t xml:space="preserve"> План действий по реализации Концепции инвестиционной политики Республики Казахстан до 2029 года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реализации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лица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Дальнейшее развитие экосистемы привлечения инвестиций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обязательства для профильных ЦГО, МИО и субъектов квазигосударственного сектора по регулярному формированию инвестиционных предложений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 инвестиционных предложений и опубликование на интернет-ресурсе www.invest.gov.kz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АО "НУХ "Байтерек" (по согласованию), АО "ФНБ "Самрук-Қазына" (по согласованию), KIDF (по согласованию), МНЭ,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1"/>
          <w:p>
            <w:pPr>
              <w:spacing w:after="20"/>
              <w:ind w:left="20"/>
              <w:jc w:val="both"/>
            </w:pPr>
            <w:r>
              <w:rPr>
                <w:rFonts w:ascii="Times New Roman"/>
                <w:b w:val="false"/>
                <w:i w:val="false"/>
                <w:color w:val="000000"/>
                <w:sz w:val="20"/>
              </w:rPr>
              <w:t>
Внесение изменений в приказ Министра иностранных дел Республики Казахстан от 26 июня 2023 года № 11-1-4/327</w:t>
            </w:r>
          </w:p>
          <w:bookmarkEnd w:id="341"/>
          <w:p>
            <w:pPr>
              <w:spacing w:after="20"/>
              <w:ind w:left="20"/>
              <w:jc w:val="both"/>
            </w:pPr>
            <w:r>
              <w:rPr>
                <w:rFonts w:ascii="Times New Roman"/>
                <w:b w:val="false"/>
                <w:i w:val="false"/>
                <w:color w:val="000000"/>
                <w:sz w:val="20"/>
              </w:rPr>
              <w:t>
"Об утверждении Правил организации "одного окна" для инвесторов, а также порядка взаимодействия при привлечении инвестиций" с учетом переформатирования деятельности Инвестштаба и запуска Национальной инвестиционной платформы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акселераций по улучшению инвестиционного климата и выявлению барьеров, препятствующих реализации инвестиционных проектов в различных отраслях экономики с участием руководителей отраслевых государственных и квазигосударственных органов, а также представителей бизнес-сообщества (не менее 1 раза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"Единого реестра проблемных вопросов и жалоб инвесторов" и проведение анализа для выявления системных барьеров при реализации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проблемных вопросов, утвержденный Председателем Правления, с вынесением на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 ЦГО,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регулярных (не менее 1 раза в месяц) заседаний региональных инвестиционных штабов во всех регионах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отчет в МИД,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постоянной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МИД,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инвестиционных программ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акимов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МИД, АО "НК "KAZAKH INVEST" (по согласованию), МНЭ,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программы по повышению компетенций сотрудников местных исполнительных органов в области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(по согласованию), АГУ (по согласованию), МТСЗН,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ежегодного рейтинга инвестиционной привлекательности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рейтинг 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промышленную эксплуатацию НЦИП и институционализация ее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и утверждение регламента по работе в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АО "НК "KAZAKH INVEST" (по согласованию), АО НИТ (согласованию), МНЭ, ГП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системы E-licence в НЦИП (цифровизация процесса получения разрешительных документов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информации на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МИД, АО "НК "KAZAKH INVEST" (по согласованию), МНЭ, МПС, МСХ, МЭПР, заинтересованные ЦГО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 национальном инвестиционном интернет-ресурсе www.invest.gov.kz к единому государственному кадастру недвижимости (земельные участки, с визуальной картой расположения и фотографиями), базе данных производственных мощностей (в том числе СЭЗ, ИЗ и малых промышленных зон), доступных для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2"/>
          <w:p>
            <w:pPr>
              <w:spacing w:after="20"/>
              <w:ind w:left="20"/>
              <w:jc w:val="both"/>
            </w:pPr>
            <w:r>
              <w:rPr>
                <w:rFonts w:ascii="Times New Roman"/>
                <w:b w:val="false"/>
                <w:i w:val="false"/>
                <w:color w:val="000000"/>
                <w:sz w:val="20"/>
              </w:rPr>
              <w:t>
доступность информации на интернет-ресурсе www.invest.gov.kz</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АО "НК "KAZAKH INVEST" (по согласованию), АО "КЦИЭ "QazIndustry", МПС, МСХ, заинтересованные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информационных систем "Интегрированная карта создания рабочих мест" и "Электронная биржа труда" с НЦИП с целью обеспечения единого учета рабочих мест в рамках реализуемых инвестиционных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информации на НЦИП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МЦРИАП,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правового регулирования механизма "Зеленый коридор" и совершенствование его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НИТ (по согласованию), АО "НК "KAZAKH INVEST" (по согласованию), МНЭ, АО "Институт экономических исследований" (по согласованию), ГП (по согласованию),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действии по стимулированию частных инвестиций в регионах (на областном и районном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План действий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МНЭ, МИД,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количественных целевых показателей в разрезе каждого отраслевого государственного органа по заключению Соглашения об инвестициях, в целях улучшения реализации проектов в обрабатывающей промышленности и других отраслях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государственные органы, АО "НК "KAZAKH INVEST" (по согласованию), МИД,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целевых показателей в рамках усиления привлечения инвесторов (новые инициативы по проектам)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целевых показателей в Плане развития АО "НК "KAZAKH INVEST"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опроса (мониторинга) степени удовлетворенности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июнь,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2. Содействие развитию институционального каркаса и инфраструктуры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доклада по инвестициям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по инвестициям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и эффективности рассмотрения заявок инвестиционных соглашений/контрактов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введения мер государственной поддержки по возмещению расходов на инфраструктуру (в том числе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МФ, МЭ, МВРИ,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продвижению несырьевого экспорта и мер государственной поддержки экспортеров с участием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"ЦРТП "QazTrade" (по согласованию), АО "Kazakh Export"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встречных обязательств для инвесторов при заключении инвестиционных соглашений (контрактов)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 МПС, заинтересованные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Синхронизация приоритетных видов деятельности с приоритетными секторами согласно национальным целям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изменений/дополнений в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МИД, МПС, заинтересованные ЦГО,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"пакетного подхода" при предоставлении инвестиционных преференций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 МПС, МЭ, заинтересованные ЦГО, АО "НУХ "Байтерек"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подготовки проектов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с МФИ, постановление Правительства Республики Казахстан,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подходов к инициированию и отбору проектов ГЧП (компаратор госсектора)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института сертификации консультантов, экспертов и аккредитации организаций, осуществляющих подготовку и экспертизу проектов ГЧП с установлением типовых квалификационных требований к ним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проекта НПА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Конкретизация критериев для вынесения решений по итогам экономической экспертизы проектов ГЧП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"Казахстанский центр государственно-частного партнерства"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эффективности деятельности СЭЗ и выработка предложений по переформатированию деятельности СЭЗ (реорганизация неэффективных СЭЗ в ИЗ, передача управления СЭЗ в частный сектор и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записка в АПр и Инвестиционныйштаб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целевых показателей для мониторинга эффективности деятельности СЭЗ и 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 Инвестиционный штаб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механизма встречных обязательств для участников СЭЗ и 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унификации сроков действия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видов деятельности для работы в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уровня готовности инфраструктуры эффективных СЭЗ с 44 %  до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готовность инфраструктуры эффективных СЭЗ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МНЭ, МИД,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декларации по ответственному осуществлению предпринимательской деятельности в Казахстане в целях распространения стандартов ответственного ведения бизнеса (ОВБ)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разработанная декларация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"Институт экономических исследований"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потребностей экономики в иностранной рабочей силе с учетом реализуемых и перспективных инвестиционных проектов, а также административных барьеров при их найме. Разработка комплекса мер по их устранению.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мер по устранению барьеров при найме ИРС с учетом национальных интересов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март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3. Раскрытие инвестиционного потенциала экономики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рейтинговых услуг и повышение экспертизы в оценке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коллективных инвестиций и его приведение в соответствие наилучшей международной практике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предложений по приведению законодательства Республики Казахстан о рынке ценных бумаг в соответствие со стандартами Европейского управления по надзору за рынком ценных бумаг (ESMA)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АО "Центральный депозитарий ценных бумаг" (ЦДЦБ) из локального учетного центра в региональный расчетно-учетный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ЦДЦБ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направленных на повышение интеграции казахстанского фондового рынка в глобальные рынки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2029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для банков и других финансовых организаций по управлению экологическими и социальными рисками (Guidelines on Environmental and Social Risk Management, ESRM)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МЭПР, МТСЗН, АО "ИЭИ" (по согласованию), АО "НК "KAZAKH INVEST"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рекомендаций по оценке углеродного следа кредитных портфелей банков и других финансовых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(по согласованию), НБ (по согласованию), МНЭ, МЭПР, АО "ИЭИ" (по согласованию),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Карбонового фонда для реализации проектов по сокращению выбросов парниковых газов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приказа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2028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МФЦА (по согласованию), АРРФР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возможности использования устойчивых облигаций и других "зеленых" финансовых инструментов для предоставления гарантий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МЭПР, МФЦА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возможности внедрения кроссплатформенных решений для оценки цепочек поставок в рамках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bl>
    <w:bookmarkStart w:name="z369" w:id="343"/>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r>
        <w:rPr>
          <w:rFonts w:ascii="Times New Roman"/>
          <w:b w:val="false"/>
          <w:i w:val="false"/>
          <w:color w:val="000000"/>
          <w:sz w:val="28"/>
        </w:rPr>
        <w:t>:</w:t>
      </w:r>
    </w:p>
    <w:bookmarkEnd w:id="343"/>
    <w:bookmarkStart w:name="z370" w:id="344"/>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344"/>
    <w:bookmarkStart w:name="z371" w:id="345"/>
    <w:p>
      <w:pPr>
        <w:spacing w:after="0"/>
        <w:ind w:left="0"/>
        <w:jc w:val="both"/>
      </w:pPr>
      <w:r>
        <w:rPr>
          <w:rFonts w:ascii="Times New Roman"/>
          <w:b w:val="false"/>
          <w:i w:val="false"/>
          <w:color w:val="000000"/>
          <w:sz w:val="28"/>
        </w:rPr>
        <w:t>
      МФЦА – Международный финансовый центр "Астана";</w:t>
      </w:r>
    </w:p>
    <w:bookmarkEnd w:id="345"/>
    <w:bookmarkStart w:name="z372" w:id="346"/>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346"/>
    <w:bookmarkStart w:name="z373" w:id="347"/>
    <w:p>
      <w:pPr>
        <w:spacing w:after="0"/>
        <w:ind w:left="0"/>
        <w:jc w:val="both"/>
      </w:pPr>
      <w:r>
        <w:rPr>
          <w:rFonts w:ascii="Times New Roman"/>
          <w:b w:val="false"/>
          <w:i w:val="false"/>
          <w:color w:val="000000"/>
          <w:sz w:val="28"/>
        </w:rPr>
        <w:t>
      СЭЗ – специальные экономические зоны;</w:t>
      </w:r>
    </w:p>
    <w:bookmarkEnd w:id="347"/>
    <w:bookmarkStart w:name="z374" w:id="348"/>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bookmarkEnd w:id="348"/>
    <w:bookmarkStart w:name="z375" w:id="349"/>
    <w:p>
      <w:pPr>
        <w:spacing w:after="0"/>
        <w:ind w:left="0"/>
        <w:jc w:val="both"/>
      </w:pPr>
      <w:r>
        <w:rPr>
          <w:rFonts w:ascii="Times New Roman"/>
          <w:b w:val="false"/>
          <w:i w:val="false"/>
          <w:color w:val="000000"/>
          <w:sz w:val="28"/>
        </w:rPr>
        <w:t>
      ЦДЦБ – Центральный депозитарий ценных бумаг;</w:t>
      </w:r>
    </w:p>
    <w:bookmarkEnd w:id="349"/>
    <w:bookmarkStart w:name="z376" w:id="350"/>
    <w:p>
      <w:pPr>
        <w:spacing w:after="0"/>
        <w:ind w:left="0"/>
        <w:jc w:val="both"/>
      </w:pPr>
      <w:r>
        <w:rPr>
          <w:rFonts w:ascii="Times New Roman"/>
          <w:b w:val="false"/>
          <w:i w:val="false"/>
          <w:color w:val="000000"/>
          <w:sz w:val="28"/>
        </w:rPr>
        <w:t>
      ГП – Генеральная прокуратура Республики Казахстан;</w:t>
      </w:r>
    </w:p>
    <w:bookmarkEnd w:id="350"/>
    <w:bookmarkStart w:name="z377" w:id="351"/>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351"/>
    <w:bookmarkStart w:name="z378" w:id="352"/>
    <w:p>
      <w:pPr>
        <w:spacing w:after="0"/>
        <w:ind w:left="0"/>
        <w:jc w:val="both"/>
      </w:pPr>
      <w:r>
        <w:rPr>
          <w:rFonts w:ascii="Times New Roman"/>
          <w:b w:val="false"/>
          <w:i w:val="false"/>
          <w:color w:val="000000"/>
          <w:sz w:val="28"/>
        </w:rPr>
        <w:t>
      МИО – местные исполнительные органы;</w:t>
      </w:r>
    </w:p>
    <w:bookmarkEnd w:id="352"/>
    <w:bookmarkStart w:name="z379" w:id="353"/>
    <w:p>
      <w:pPr>
        <w:spacing w:after="0"/>
        <w:ind w:left="0"/>
        <w:jc w:val="both"/>
      </w:pPr>
      <w:r>
        <w:rPr>
          <w:rFonts w:ascii="Times New Roman"/>
          <w:b w:val="false"/>
          <w:i w:val="false"/>
          <w:color w:val="000000"/>
          <w:sz w:val="28"/>
        </w:rPr>
        <w:t>
      ИЗ – индустриальные зоны;</w:t>
      </w:r>
    </w:p>
    <w:bookmarkEnd w:id="353"/>
    <w:bookmarkStart w:name="z380" w:id="354"/>
    <w:p>
      <w:pPr>
        <w:spacing w:after="0"/>
        <w:ind w:left="0"/>
        <w:jc w:val="both"/>
      </w:pPr>
      <w:r>
        <w:rPr>
          <w:rFonts w:ascii="Times New Roman"/>
          <w:b w:val="false"/>
          <w:i w:val="false"/>
          <w:color w:val="000000"/>
          <w:sz w:val="28"/>
        </w:rPr>
        <w:t>
      МФ – Министерство финансов Республики Казахстан;</w:t>
      </w:r>
    </w:p>
    <w:bookmarkEnd w:id="354"/>
    <w:bookmarkStart w:name="z381" w:id="355"/>
    <w:p>
      <w:pPr>
        <w:spacing w:after="0"/>
        <w:ind w:left="0"/>
        <w:jc w:val="both"/>
      </w:pPr>
      <w:r>
        <w:rPr>
          <w:rFonts w:ascii="Times New Roman"/>
          <w:b w:val="false"/>
          <w:i w:val="false"/>
          <w:color w:val="000000"/>
          <w:sz w:val="28"/>
        </w:rPr>
        <w:t>
      АО "Казахстанский центр государственно-частного партнерства" – акционерное общество "Казахстанский центр государственно-частного партнерства";</w:t>
      </w:r>
    </w:p>
    <w:bookmarkEnd w:id="355"/>
    <w:bookmarkStart w:name="z382" w:id="356"/>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356"/>
    <w:bookmarkStart w:name="z383" w:id="357"/>
    <w:p>
      <w:pPr>
        <w:spacing w:after="0"/>
        <w:ind w:left="0"/>
        <w:jc w:val="both"/>
      </w:pPr>
      <w:r>
        <w:rPr>
          <w:rFonts w:ascii="Times New Roman"/>
          <w:b w:val="false"/>
          <w:i w:val="false"/>
          <w:color w:val="000000"/>
          <w:sz w:val="28"/>
        </w:rPr>
        <w:t>
      АГУ – Академия государственного управления при Президенте Республики Казахстан;</w:t>
      </w:r>
    </w:p>
    <w:bookmarkEnd w:id="357"/>
    <w:bookmarkStart w:name="z384" w:id="358"/>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358"/>
    <w:bookmarkStart w:name="z385" w:id="359"/>
    <w:p>
      <w:pPr>
        <w:spacing w:after="0"/>
        <w:ind w:left="0"/>
        <w:jc w:val="both"/>
      </w:pPr>
      <w:r>
        <w:rPr>
          <w:rFonts w:ascii="Times New Roman"/>
          <w:b w:val="false"/>
          <w:i w:val="false"/>
          <w:color w:val="000000"/>
          <w:sz w:val="28"/>
        </w:rPr>
        <w:t>
      ЦГО – центральные государственные органы;</w:t>
      </w:r>
    </w:p>
    <w:bookmarkEnd w:id="359"/>
    <w:bookmarkStart w:name="z386" w:id="360"/>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360"/>
    <w:bookmarkStart w:name="z387" w:id="361"/>
    <w:p>
      <w:pPr>
        <w:spacing w:after="0"/>
        <w:ind w:left="0"/>
        <w:jc w:val="both"/>
      </w:pPr>
      <w:r>
        <w:rPr>
          <w:rFonts w:ascii="Times New Roman"/>
          <w:b w:val="false"/>
          <w:i w:val="false"/>
          <w:color w:val="000000"/>
          <w:sz w:val="28"/>
        </w:rPr>
        <w:t>
      АО "ФНБ "Самрук-Қазына" – акционерное общество "Фонд национального благосостояния "Самрук-Қазына";</w:t>
      </w:r>
    </w:p>
    <w:bookmarkEnd w:id="361"/>
    <w:bookmarkStart w:name="z388" w:id="362"/>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362"/>
    <w:bookmarkStart w:name="z389" w:id="363"/>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363"/>
    <w:bookmarkStart w:name="z390" w:id="364"/>
    <w:p>
      <w:pPr>
        <w:spacing w:after="0"/>
        <w:ind w:left="0"/>
        <w:jc w:val="both"/>
      </w:pPr>
      <w:r>
        <w:rPr>
          <w:rFonts w:ascii="Times New Roman"/>
          <w:b w:val="false"/>
          <w:i w:val="false"/>
          <w:color w:val="000000"/>
          <w:sz w:val="28"/>
        </w:rPr>
        <w:t>
      АО "ЦРТП "QazTrade" – акционерное общество "Центр развития торговой политики "QazTrade";</w:t>
      </w:r>
    </w:p>
    <w:bookmarkEnd w:id="364"/>
    <w:bookmarkStart w:name="z391" w:id="365"/>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365"/>
    <w:bookmarkStart w:name="z392" w:id="366"/>
    <w:p>
      <w:pPr>
        <w:spacing w:after="0"/>
        <w:ind w:left="0"/>
        <w:jc w:val="both"/>
      </w:pPr>
      <w:r>
        <w:rPr>
          <w:rFonts w:ascii="Times New Roman"/>
          <w:b w:val="false"/>
          <w:i w:val="false"/>
          <w:color w:val="000000"/>
          <w:sz w:val="28"/>
        </w:rPr>
        <w:t>
      НБ – Национальный Банк Республики Казахстан;</w:t>
      </w:r>
    </w:p>
    <w:bookmarkEnd w:id="366"/>
    <w:bookmarkStart w:name="z393" w:id="367"/>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367"/>
    <w:bookmarkStart w:name="z394" w:id="368"/>
    <w:p>
      <w:pPr>
        <w:spacing w:after="0"/>
        <w:ind w:left="0"/>
        <w:jc w:val="both"/>
      </w:pPr>
      <w:r>
        <w:rPr>
          <w:rFonts w:ascii="Times New Roman"/>
          <w:b w:val="false"/>
          <w:i w:val="false"/>
          <w:color w:val="000000"/>
          <w:sz w:val="28"/>
        </w:rPr>
        <w:t>
      НЦИП – национальная цифровая инвестиционная платформа;</w:t>
      </w:r>
    </w:p>
    <w:bookmarkEnd w:id="368"/>
    <w:bookmarkStart w:name="z395" w:id="369"/>
    <w:p>
      <w:pPr>
        <w:spacing w:after="0"/>
        <w:ind w:left="0"/>
        <w:jc w:val="both"/>
      </w:pPr>
      <w:r>
        <w:rPr>
          <w:rFonts w:ascii="Times New Roman"/>
          <w:b w:val="false"/>
          <w:i w:val="false"/>
          <w:color w:val="000000"/>
          <w:sz w:val="28"/>
        </w:rPr>
        <w:t>
      АПр – Аппарат Правительства Республики Казахстан;</w:t>
      </w:r>
    </w:p>
    <w:bookmarkEnd w:id="369"/>
    <w:bookmarkStart w:name="z396" w:id="370"/>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370"/>
    <w:bookmarkStart w:name="z397" w:id="371"/>
    <w:p>
      <w:pPr>
        <w:spacing w:after="0"/>
        <w:ind w:left="0"/>
        <w:jc w:val="both"/>
      </w:pPr>
      <w:r>
        <w:rPr>
          <w:rFonts w:ascii="Times New Roman"/>
          <w:b w:val="false"/>
          <w:i w:val="false"/>
          <w:color w:val="000000"/>
          <w:sz w:val="28"/>
        </w:rPr>
        <w:t>
      АО "ИЭИ" – акционерное общество "Институт экономических исследований";</w:t>
      </w:r>
    </w:p>
    <w:bookmarkEnd w:id="371"/>
    <w:bookmarkStart w:name="z398" w:id="372"/>
    <w:p>
      <w:pPr>
        <w:spacing w:after="0"/>
        <w:ind w:left="0"/>
        <w:jc w:val="both"/>
      </w:pPr>
      <w:r>
        <w:rPr>
          <w:rFonts w:ascii="Times New Roman"/>
          <w:b w:val="false"/>
          <w:i w:val="false"/>
          <w:color w:val="000000"/>
          <w:sz w:val="28"/>
        </w:rPr>
        <w:t>
      МЭ – Министерство энергетики Республики Казахстан;</w:t>
      </w:r>
    </w:p>
    <w:bookmarkEnd w:id="372"/>
    <w:bookmarkStart w:name="z399" w:id="373"/>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373"/>
    <w:bookmarkStart w:name="z400" w:id="374"/>
    <w:p>
      <w:pPr>
        <w:spacing w:after="0"/>
        <w:ind w:left="0"/>
        <w:jc w:val="both"/>
      </w:pPr>
      <w:r>
        <w:rPr>
          <w:rFonts w:ascii="Times New Roman"/>
          <w:b w:val="false"/>
          <w:i w:val="false"/>
          <w:color w:val="000000"/>
          <w:sz w:val="28"/>
        </w:rPr>
        <w:t>
      АО "Kazakh Export" – акционерное общество "Экспортно-кредитное агентство Казахстана";</w:t>
      </w:r>
    </w:p>
    <w:bookmarkEnd w:id="374"/>
    <w:bookmarkStart w:name="z401" w:id="375"/>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375"/>
    <w:bookmarkStart w:name="z402" w:id="376"/>
    <w:p>
      <w:pPr>
        <w:spacing w:after="0"/>
        <w:ind w:left="0"/>
        <w:jc w:val="both"/>
      </w:pPr>
      <w:r>
        <w:rPr>
          <w:rFonts w:ascii="Times New Roman"/>
          <w:b w:val="false"/>
          <w:i w:val="false"/>
          <w:color w:val="000000"/>
          <w:sz w:val="28"/>
        </w:rPr>
        <w:t>
      АО "KIDF" – акционерное общество "Kazakhstan Investment Development Fund";</w:t>
      </w:r>
    </w:p>
    <w:bookmarkEnd w:id="376"/>
    <w:bookmarkStart w:name="z403" w:id="377"/>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bookmarkEnd w:id="377"/>
    <w:bookmarkStart w:name="z404" w:id="378"/>
    <w:p>
      <w:pPr>
        <w:spacing w:after="0"/>
        <w:ind w:left="0"/>
        <w:jc w:val="both"/>
      </w:pPr>
      <w:r>
        <w:rPr>
          <w:rFonts w:ascii="Times New Roman"/>
          <w:b w:val="false"/>
          <w:i w:val="false"/>
          <w:color w:val="000000"/>
          <w:sz w:val="28"/>
        </w:rPr>
        <w:t>
      _________________________________</w:t>
      </w:r>
    </w:p>
    <w:bookmarkEnd w:id="3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