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edf" w14:textId="49cf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2024 года № 837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правовой политики Республики Казахстан до 2030 года, утвержденном указанным постановлением: строки, порядковые номера 26, 27, 28, 29, 30, 31 и 32,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правовой природы и классификации объектов гражданских прав и уточнение их правового режима, определение места в этой классификации таких объектов, как "право требования" и "право интеллектуальной собственности"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с учетом многообразия гражданских прав, принадлежащих субъектам частного права, в том числе дополнение перечня прав, принадлежащих юридическим лицам и государству, другими вещными и обязательственными правами, а также неимущественными, исключительными правами, правом наследования и иными имущественными правами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 о      владении, приобретательной давности и негаторном иске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института исковой давности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о смарт- контрактах и электронной коммерции (e-commerce)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сфер применения института возмещения нематериального (морального) вреда, условий его возмещения, а также его размера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устранения необоснованного преобладания публично-правовых методов регулирования частных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35, 36, 37 и 38,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Гражданский кодекс изменений в части положения о решениях собраний и коллегиальных органов управления юридических лиц как самостоятельных оснований возникновения, изменения и прекращения гражданских прав и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норм об ответственности корпоративных должностных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гражданского законодательства, регламентирующего реорганизацию юридических лиц и вопросы правопреемства, в том числе в части форм реорганизации коммерческих юридических лиц, а также регулирования условий и порядка осуществления комплексных      форм реорганизации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корпоративного законодательства на основе рекомендаций и стандартов передовой практики корпоративного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