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eea3" w14:textId="e48e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2024 года № 784.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32-1) и 32-2)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определяет порядок предоставления национальным компаниям права на учреждение частных охранных организаций;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устанавливает норматив численности работников частной охранной организации;";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разрабатывает и утверждает правила проведения дактилоскопической и геномной регистрации;";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70-1)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"70-1) определяет порядок прохождения процедуры верификации;".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