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fd32" w14:textId="421f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2024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установление порядка разработки, утверждения, замены и пересмотра единых межотраслевых или межотраслевых типовых, или типовых норм и нормативов по труду для всех сфер деятельности, или типовых норм и нормативов по труду организаций;";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 и 15-2)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разработка и утверждение единых межотраслевых или межотраслевых типовых, или типовых норм и нормативов по труду для всех сфер деятельности по согласованию с государственными органами соответствующих сфер деятельности;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согласование типовых норм и нормативов по труду организаций, утверждаемых уполномоченными государственными органами соответствующих сфер деятельности в установленном ими порядке;";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122-1)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"122-1) разработка и утверждение правил определения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"130-1) утверждение порядка выплаты денежных компенсаций жертвам массовых политических репрессий;";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"190-1) разработка и утверждение порядка назначения внештатных советников министров, акимов районов, городов районного значения, городов областного значения, областей, городов республиканского значения, столицы по вопросам инвалидности;";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229-32), 229-33), 229-34), 229-35), 229-36) и 229-37)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"229-32) выдача субъектам, предоставляющим специальные социальные услуги, лицензии на предоставление специальных социальных услуг;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229-33) осуществление организации и координации работ по ведению медико-социального учета;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229-34) разработка и утверждение правил ведения медико-социального учета;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229-35) разработка и утверждение правил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229-36) разработка и утверждение квалификационных требований и перечня документов, подтверждающих соответствие им, на предоставление специальных социальных услуг;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229-37) разработка и утверждение правил проведения ротации первых руководителей государственных организаций, предоставляющих специальные социальные услуги;".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пятого, седьмого, восьмого и шестнадцатого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