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fd32" w14:textId="421f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установление порядка разработки, утверждения, замены и пересмотра единых межотраслевых или межотраслевых типовых, или типовых норм и нормативов по труду для всех сфер деятельности, или типовых норм и нормативов по труду организаций;";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 и 15-2)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разработка и утверждение единых межотраслевых или межотраслевых типовых, или типовых норм и нормативов по труду для всех сфер деятельности по согласованию с государственными органами соответствующих сфер деятельности;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согласование типовых норм и нормативов по труду организаций, утверждаемых уполномоченными государственными органами соответствующих сфер деятельности в установленном ими порядке;";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122-1)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"122-1) разработка и утверждение правил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"130-1) утверждение порядка выплаты денежных компенсаций жертвам массовых политических репрессий;";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"190-1) разработка и утверждение порядка назначения внештатных советников министров, акимов районов, городов районного значения, городов областного значения, областей, городов республиканского значения, столицы по вопросам инвалидности;";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229-32), 229-33), 229-34), 229-35), 229-36) и 229-37)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"229-32) выдача субъектам, предоставляющим специальные социальные услуги, лицензии на предоставление специальных социальных услуг;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229-33) осуществление организации и координации работ по ведению медико-социального учета;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229-34) разработка и утверждение правил ведения медико-социального учета;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229-35) разработка и утверждение правил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229-36) разработка и утверждение квалификационных требований и перечня документов, подтверждающих соответствие им, на предоставление специальных социальных услуг;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229-37) разработка и утверждение правил проведения ротации первых руководителей государственных организаций, предоставляющих специальные социальные услуги;".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пятого, седьмого, восьмого и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