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fd85" w14:textId="11ef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июля 2024 года № 551.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"186) осуществление государственного контроля в области поддержки субъектов частного предпринимательства на предмет соблюдения требований при оказании государственной поддержки субъектам частного предпринимательства;";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186-2), 186-3) и 186-4)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"186-2) осуществление государственного контроля в области защиты субъектов предпринимательства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85-2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в отношении государственных органов;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186-3) утверждение полугодовых планов проведения периодических проверок в области защиты субъектов предпринимательства;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186-4) разработка и утверждение формы полугодового плана проведения периодических проверок, форм актов о назначении, продлении, приостановлении и возобновлении проверок, формы уведомления о продлении срока проверки, форм заключений о результатах периодической, внеплановой проверки и дистанционного контроля в области защиты субъектов предпринимательства;";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"200) разработка и утверждение правил проведения и использования анализа регуляторного воздействия;";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200-6)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"200-6) организация рассмотрения экспертными советами разрабатываемых центральными государственными, местными представительными и исполнительными органами проектов нормативных правовых актов, проектов международных договоров Республики Казахстан, проектов правовых актов в области системы государственного планирования, а также международных договоров, участницей которых намеревается стать Республика Казахстан, затрагивающих интересы субъектов частного предпринимательства;";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200-13), 200-14), 200-15) и 200-16) следующего содержания: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"200-13) разработка порядка, форм, размеров поддержки и других условий, необходимых для оказания государственной финансовой и имущественной поддержки субъектам частного предпринимательства, предоставляемой в различных отраслях экономики, которые относятся к компетенциям нескольких отраслевых государственных органов;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200-14) разработка порядка, форм поддержки и других условий, необходимых для оказания государственной нефинансовой поддержки субъектам частного предпринимательства, предоставляемой в различных отраслях экономики, которые относятся к компетенциям нескольких отраслевых государственных органов;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200-15) согласование сроков проведения последующего анализа регуляторных актов, определяемых регулирующими государственными органами;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200-16) разработка и утверждение методики автоматического возмещения субъектам предпринимательства с установленной мощностью электрических установок до 200 кВт путем перерасчета и (или) возврата ранее произведенной суммы за использованную электрическую энергию потребителем в случае превышения энергопередающими организациями среднего показателя количества отключений на одного потребителя за один календарный год и среднего показателя продолжительности отключений на одного потребителя за один календарный год;".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