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73ab" w14:textId="f7f7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2024 года № 544.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</w:t>
      </w:r>
      <w:r>
        <w:rPr>
          <w:rFonts w:ascii="Times New Roman"/>
          <w:b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"Фонд национального благосостояния "Самрук-Қазына",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3) стимулирование разработки и внедрения в группе Фонда инновационных процессов и технологий, а также содействие в развитии инновационной деятельности</w:t>
      </w:r>
      <w:r>
        <w:rPr>
          <w:rFonts w:ascii="Times New Roman"/>
          <w:b/>
          <w:i w:val="false"/>
          <w:color w:val="000000"/>
          <w:sz w:val="28"/>
        </w:rPr>
        <w:t>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15-3)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"15-3) принятие решений о предоставлении кредита (займа) и (или) гарантий без обеспечения юридическим лицам, не входящим в группу Фонда, в рамках проектов, реализуемых по поручению Президента Республики Казахстан;".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22 июля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