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2b75" w14:textId="6b2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октября 2016 года № 643 "О Генеральном плане города Актобе Актюбинской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12 июня 2024 года № 461.</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2016 года № 643 "О Генеральном плане города Актобе Актюбинской области (включая основные положения)"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Генеральный план</w:t>
      </w:r>
      <w:r>
        <w:rPr>
          <w:rFonts w:ascii="Times New Roman"/>
          <w:b w:val="false"/>
          <w:i w:val="false"/>
          <w:color w:val="000000"/>
          <w:sz w:val="28"/>
        </w:rPr>
        <w:t xml:space="preserve"> города Актобе Актюбинской области (включая основные положения),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июня 2024 года № 461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643</w:t>
            </w:r>
          </w:p>
        </w:tc>
      </w:tr>
    </w:tbl>
    <w:bookmarkStart w:name="z11" w:id="3"/>
    <w:p>
      <w:pPr>
        <w:spacing w:after="0"/>
        <w:ind w:left="0"/>
        <w:jc w:val="left"/>
      </w:pPr>
      <w:r>
        <w:rPr>
          <w:rFonts w:ascii="Times New Roman"/>
          <w:b/>
          <w:i w:val="false"/>
          <w:color w:val="000000"/>
        </w:rPr>
        <w:t xml:space="preserve"> Генеральный план города Актобе Актюбинской области (включая основные положения)</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Генеральный план города Актобе Актюбинской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и комплексной схемой градостроительного планирования области.</w:t>
      </w:r>
    </w:p>
    <w:bookmarkEnd w:id="5"/>
    <w:bookmarkStart w:name="z14" w:id="6"/>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 кодексов</w:t>
      </w:r>
      <w:r>
        <w:rPr>
          <w:rFonts w:ascii="Times New Roman"/>
          <w:b w:val="false"/>
          <w:i w:val="false"/>
          <w:color w:val="000000"/>
          <w:sz w:val="28"/>
        </w:rPr>
        <w:t xml:space="preserve">,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других законодательных актов и нормативных документов Республики Казахстан, относящихся к сфере градостроительного проектирования.</w:t>
      </w:r>
    </w:p>
    <w:bookmarkEnd w:id="6"/>
    <w:bookmarkStart w:name="z15" w:id="7"/>
    <w:p>
      <w:pPr>
        <w:spacing w:after="0"/>
        <w:ind w:left="0"/>
        <w:jc w:val="both"/>
      </w:pPr>
      <w:r>
        <w:rPr>
          <w:rFonts w:ascii="Times New Roman"/>
          <w:b w:val="false"/>
          <w:i w:val="false"/>
          <w:color w:val="000000"/>
          <w:sz w:val="28"/>
        </w:rPr>
        <w:t>
      Генеральный план (основной чертеж) выполнен в границах перспективного территориального развития согласно приложению к настоящему Генеральному плану.</w:t>
      </w:r>
    </w:p>
    <w:bookmarkEnd w:id="7"/>
    <w:bookmarkStart w:name="z16" w:id="8"/>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8"/>
    <w:bookmarkStart w:name="z17" w:id="9"/>
    <w:p>
      <w:pPr>
        <w:spacing w:after="0"/>
        <w:ind w:left="0"/>
        <w:jc w:val="both"/>
      </w:pPr>
      <w:r>
        <w:rPr>
          <w:rFonts w:ascii="Times New Roman"/>
          <w:b w:val="false"/>
          <w:i w:val="false"/>
          <w:color w:val="000000"/>
          <w:sz w:val="28"/>
        </w:rPr>
        <w:t>
      исходный год – 1 января 2022 года;</w:t>
      </w:r>
    </w:p>
    <w:bookmarkEnd w:id="9"/>
    <w:bookmarkStart w:name="z18" w:id="10"/>
    <w:p>
      <w:pPr>
        <w:spacing w:after="0"/>
        <w:ind w:left="0"/>
        <w:jc w:val="both"/>
      </w:pPr>
      <w:r>
        <w:rPr>
          <w:rFonts w:ascii="Times New Roman"/>
          <w:b w:val="false"/>
          <w:i w:val="false"/>
          <w:color w:val="000000"/>
          <w:sz w:val="28"/>
        </w:rPr>
        <w:t>
      первая очередь – 2030 год;</w:t>
      </w:r>
    </w:p>
    <w:bookmarkEnd w:id="10"/>
    <w:bookmarkStart w:name="z19" w:id="11"/>
    <w:p>
      <w:pPr>
        <w:spacing w:after="0"/>
        <w:ind w:left="0"/>
        <w:jc w:val="both"/>
      </w:pPr>
      <w:r>
        <w:rPr>
          <w:rFonts w:ascii="Times New Roman"/>
          <w:b w:val="false"/>
          <w:i w:val="false"/>
          <w:color w:val="000000"/>
          <w:sz w:val="28"/>
        </w:rPr>
        <w:t>
      расчетный срок – 2050 год.</w:t>
      </w:r>
    </w:p>
    <w:bookmarkEnd w:id="11"/>
    <w:bookmarkStart w:name="z20" w:id="12"/>
    <w:p>
      <w:pPr>
        <w:spacing w:after="0"/>
        <w:ind w:left="0"/>
        <w:jc w:val="left"/>
      </w:pPr>
      <w:r>
        <w:rPr>
          <w:rFonts w:ascii="Times New Roman"/>
          <w:b/>
          <w:i w:val="false"/>
          <w:color w:val="000000"/>
        </w:rPr>
        <w:t xml:space="preserve"> Глава 2. Назначение Генерального плана</w:t>
      </w:r>
    </w:p>
    <w:bookmarkEnd w:id="12"/>
    <w:bookmarkStart w:name="z21" w:id="13"/>
    <w:p>
      <w:pPr>
        <w:spacing w:after="0"/>
        <w:ind w:left="0"/>
        <w:jc w:val="both"/>
      </w:pPr>
      <w:r>
        <w:rPr>
          <w:rFonts w:ascii="Times New Roman"/>
          <w:b w:val="false"/>
          <w:i w:val="false"/>
          <w:color w:val="000000"/>
          <w:sz w:val="28"/>
        </w:rPr>
        <w:t>
      Генеральный план определяет принципы устойчивого развития города Актобе и является основным градостроительным документом, основанным на социально-экологических критериях, всесторонне учитывающих потребности человека.</w:t>
      </w:r>
    </w:p>
    <w:bookmarkEnd w:id="13"/>
    <w:bookmarkStart w:name="z22" w:id="14"/>
    <w:p>
      <w:pPr>
        <w:spacing w:after="0"/>
        <w:ind w:left="0"/>
        <w:jc w:val="both"/>
      </w:pPr>
      <w:r>
        <w:rPr>
          <w:rFonts w:ascii="Times New Roman"/>
          <w:b w:val="false"/>
          <w:i w:val="false"/>
          <w:color w:val="000000"/>
          <w:sz w:val="28"/>
        </w:rPr>
        <w:t>
      Генеральный план города Актобе разработан с учетом изменений в административно-территориальном устройстве города Актобе: изменения границ города, образования двух административных районов: района № 1 – "Астана", района № 2 – "Алматы"; преобразования сел в пределах городской черты в жилые массивы.</w:t>
      </w:r>
    </w:p>
    <w:bookmarkEnd w:id="14"/>
    <w:bookmarkStart w:name="z23" w:id="15"/>
    <w:p>
      <w:pPr>
        <w:spacing w:after="0"/>
        <w:ind w:left="0"/>
        <w:jc w:val="both"/>
      </w:pPr>
      <w:r>
        <w:rPr>
          <w:rFonts w:ascii="Times New Roman"/>
          <w:b w:val="false"/>
          <w:i w:val="false"/>
          <w:color w:val="000000"/>
          <w:sz w:val="28"/>
        </w:rPr>
        <w:t>
      Генеральный план определяет:</w:t>
      </w:r>
    </w:p>
    <w:bookmarkEnd w:id="15"/>
    <w:bookmarkStart w:name="z24" w:id="16"/>
    <w:p>
      <w:pPr>
        <w:spacing w:after="0"/>
        <w:ind w:left="0"/>
        <w:jc w:val="both"/>
      </w:pPr>
      <w:r>
        <w:rPr>
          <w:rFonts w:ascii="Times New Roman"/>
          <w:b w:val="false"/>
          <w:i w:val="false"/>
          <w:color w:val="000000"/>
          <w:sz w:val="28"/>
        </w:rPr>
        <w:t>
      1) демографический прогноз численности населения по проектным периодам;</w:t>
      </w:r>
    </w:p>
    <w:bookmarkEnd w:id="16"/>
    <w:bookmarkStart w:name="z25" w:id="17"/>
    <w:p>
      <w:pPr>
        <w:spacing w:after="0"/>
        <w:ind w:left="0"/>
        <w:jc w:val="both"/>
      </w:pPr>
      <w:r>
        <w:rPr>
          <w:rFonts w:ascii="Times New Roman"/>
          <w:b w:val="false"/>
          <w:i w:val="false"/>
          <w:color w:val="000000"/>
          <w:sz w:val="28"/>
        </w:rPr>
        <w:t>
      2) основные направления развития территории города Актобе,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параметров;</w:t>
      </w:r>
    </w:p>
    <w:bookmarkEnd w:id="17"/>
    <w:bookmarkStart w:name="z26" w:id="18"/>
    <w:p>
      <w:pPr>
        <w:spacing w:after="0"/>
        <w:ind w:left="0"/>
        <w:jc w:val="both"/>
      </w:pPr>
      <w:r>
        <w:rPr>
          <w:rFonts w:ascii="Times New Roman"/>
          <w:b w:val="false"/>
          <w:i w:val="false"/>
          <w:color w:val="000000"/>
          <w:sz w:val="28"/>
        </w:rPr>
        <w:t>
      3) функциональное зонирование и ограничения на использование территорий этих зон;</w:t>
      </w:r>
    </w:p>
    <w:bookmarkEnd w:id="18"/>
    <w:bookmarkStart w:name="z27" w:id="19"/>
    <w:p>
      <w:pPr>
        <w:spacing w:after="0"/>
        <w:ind w:left="0"/>
        <w:jc w:val="both"/>
      </w:pPr>
      <w:r>
        <w:rPr>
          <w:rFonts w:ascii="Times New Roman"/>
          <w:b w:val="false"/>
          <w:i w:val="false"/>
          <w:color w:val="000000"/>
          <w:sz w:val="28"/>
        </w:rPr>
        <w:t>
      4) соотношение застроенной и незастроенной территорий населенного пункта;</w:t>
      </w:r>
    </w:p>
    <w:bookmarkEnd w:id="19"/>
    <w:bookmarkStart w:name="z28" w:id="20"/>
    <w:p>
      <w:pPr>
        <w:spacing w:after="0"/>
        <w:ind w:left="0"/>
        <w:jc w:val="both"/>
      </w:pPr>
      <w:r>
        <w:rPr>
          <w:rFonts w:ascii="Times New Roman"/>
          <w:b w:val="false"/>
          <w:i w:val="false"/>
          <w:color w:val="000000"/>
          <w:sz w:val="28"/>
        </w:rPr>
        <w:t>
      5) зоны преимущественного отчуждения и приобретения земель, резервные территории;</w:t>
      </w:r>
    </w:p>
    <w:bookmarkEnd w:id="20"/>
    <w:bookmarkStart w:name="z29" w:id="21"/>
    <w:p>
      <w:pPr>
        <w:spacing w:after="0"/>
        <w:ind w:left="0"/>
        <w:jc w:val="both"/>
      </w:pPr>
      <w:r>
        <w:rPr>
          <w:rFonts w:ascii="Times New Roman"/>
          <w:b w:val="false"/>
          <w:i w:val="false"/>
          <w:color w:val="000000"/>
          <w:sz w:val="28"/>
        </w:rPr>
        <w:t>
      6)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21"/>
    <w:bookmarkStart w:name="z30" w:id="22"/>
    <w:p>
      <w:pPr>
        <w:spacing w:after="0"/>
        <w:ind w:left="0"/>
        <w:jc w:val="both"/>
      </w:pPr>
      <w:r>
        <w:rPr>
          <w:rFonts w:ascii="Times New Roman"/>
          <w:b w:val="false"/>
          <w:i w:val="false"/>
          <w:color w:val="000000"/>
          <w:sz w:val="28"/>
        </w:rPr>
        <w:t>
      7) основные направления по развитию городского и внешнего транспорта, схему и основные параметры развития улично-дорожной сети города, схему организации дорожного движения;</w:t>
      </w:r>
    </w:p>
    <w:bookmarkEnd w:id="22"/>
    <w:bookmarkStart w:name="z31" w:id="23"/>
    <w:p>
      <w:pPr>
        <w:spacing w:after="0"/>
        <w:ind w:left="0"/>
        <w:jc w:val="both"/>
      </w:pPr>
      <w:r>
        <w:rPr>
          <w:rFonts w:ascii="Times New Roman"/>
          <w:b w:val="false"/>
          <w:i w:val="false"/>
          <w:color w:val="000000"/>
          <w:sz w:val="28"/>
        </w:rPr>
        <w:t>
      8) иные меры по обеспечению устойчивого развития города Актобе.</w:t>
      </w:r>
    </w:p>
    <w:bookmarkEnd w:id="23"/>
    <w:bookmarkStart w:name="z32" w:id="24"/>
    <w:p>
      <w:pPr>
        <w:spacing w:after="0"/>
        <w:ind w:left="0"/>
        <w:jc w:val="both"/>
      </w:pPr>
      <w:r>
        <w:rPr>
          <w:rFonts w:ascii="Times New Roman"/>
          <w:b w:val="false"/>
          <w:i w:val="false"/>
          <w:color w:val="000000"/>
          <w:sz w:val="28"/>
        </w:rPr>
        <w:t>
      Генеральный план является основой для разработки и реализации краткосрочных и долгосрочных программ социально-экономического развития города, отраслевых схем развития систем жизнеобеспечения – инженерной и транспортной инфраструктуры, инженерной подготовки территорий; реконструкции, реновации и развития жилых, производственных и рекреационных зон; дальнейшего развития общественных, деловых, этнокультурных центров, объектов туризма и отдыха, разработки и реализации градостроительных планов, проектов детальной планировки территорий административных районов и других территориальных единиц города Актобе, проектов планировки и застройки градостроительных узлов города.</w:t>
      </w:r>
    </w:p>
    <w:bookmarkEnd w:id="24"/>
    <w:bookmarkStart w:name="z33" w:id="25"/>
    <w:p>
      <w:pPr>
        <w:spacing w:after="0"/>
        <w:ind w:left="0"/>
        <w:jc w:val="both"/>
      </w:pPr>
      <w:r>
        <w:rPr>
          <w:rFonts w:ascii="Times New Roman"/>
          <w:b w:val="false"/>
          <w:i w:val="false"/>
          <w:color w:val="000000"/>
          <w:sz w:val="28"/>
        </w:rPr>
        <w:t>
      Основной целью Генерального плана является создание комфортной и безопасной среды жизнедеятельности с взаимоувязанным развитием всех элементов планировочной структуры, рациональным функциональным зонированием и размещением промышленно-коммунальных и рекреационных зон.</w:t>
      </w:r>
    </w:p>
    <w:bookmarkEnd w:id="25"/>
    <w:bookmarkStart w:name="z34" w:id="26"/>
    <w:p>
      <w:pPr>
        <w:spacing w:after="0"/>
        <w:ind w:left="0"/>
        <w:jc w:val="both"/>
      </w:pPr>
      <w:r>
        <w:rPr>
          <w:rFonts w:ascii="Times New Roman"/>
          <w:b w:val="false"/>
          <w:i w:val="false"/>
          <w:color w:val="000000"/>
          <w:sz w:val="28"/>
        </w:rPr>
        <w:t>
      Основными задачами, решения по которым представлены в Генеральном плане, являются:</w:t>
      </w:r>
    </w:p>
    <w:bookmarkEnd w:id="26"/>
    <w:bookmarkStart w:name="z35" w:id="27"/>
    <w:p>
      <w:pPr>
        <w:spacing w:after="0"/>
        <w:ind w:left="0"/>
        <w:jc w:val="both"/>
      </w:pPr>
      <w:r>
        <w:rPr>
          <w:rFonts w:ascii="Times New Roman"/>
          <w:b w:val="false"/>
          <w:i w:val="false"/>
          <w:color w:val="000000"/>
          <w:sz w:val="28"/>
        </w:rPr>
        <w:t>
      1) взаимоувязка решений утвержденных проектов развития города на пятилетку, генеральных планов населенных пунктов и проектов детальной планировки жилых массивов, входящих в границу города Актобе, с фактически сложившейся застройкой;</w:t>
      </w:r>
    </w:p>
    <w:bookmarkEnd w:id="27"/>
    <w:bookmarkStart w:name="z36" w:id="28"/>
    <w:p>
      <w:pPr>
        <w:spacing w:after="0"/>
        <w:ind w:left="0"/>
        <w:jc w:val="both"/>
      </w:pPr>
      <w:r>
        <w:rPr>
          <w:rFonts w:ascii="Times New Roman"/>
          <w:b w:val="false"/>
          <w:i w:val="false"/>
          <w:color w:val="000000"/>
          <w:sz w:val="28"/>
        </w:rPr>
        <w:t>
      2) разработка новых проектных предложений по проекту ТЭО выноса аэропорта за пределы города Актобе на вариантной основе;</w:t>
      </w:r>
    </w:p>
    <w:bookmarkEnd w:id="28"/>
    <w:bookmarkStart w:name="z37" w:id="29"/>
    <w:p>
      <w:pPr>
        <w:spacing w:after="0"/>
        <w:ind w:left="0"/>
        <w:jc w:val="both"/>
      </w:pPr>
      <w:r>
        <w:rPr>
          <w:rFonts w:ascii="Times New Roman"/>
          <w:b w:val="false"/>
          <w:i w:val="false"/>
          <w:color w:val="000000"/>
          <w:sz w:val="28"/>
        </w:rPr>
        <w:t>
      3) оптимальная архитектурно-планировочная и пространственная организация проектируемой территории, обеспечивающей благоприятную достойную среду проживания, технические решения инженерной и транспортной инфраструктуры по всем основным направлениям развития;</w:t>
      </w:r>
    </w:p>
    <w:bookmarkEnd w:id="29"/>
    <w:bookmarkStart w:name="z38" w:id="30"/>
    <w:p>
      <w:pPr>
        <w:spacing w:after="0"/>
        <w:ind w:left="0"/>
        <w:jc w:val="both"/>
      </w:pPr>
      <w:r>
        <w:rPr>
          <w:rFonts w:ascii="Times New Roman"/>
          <w:b w:val="false"/>
          <w:i w:val="false"/>
          <w:color w:val="000000"/>
          <w:sz w:val="28"/>
        </w:rPr>
        <w:t>
      4) улучшение жизнедеятельности и среды обитания населения города Актобе;</w:t>
      </w:r>
    </w:p>
    <w:bookmarkEnd w:id="30"/>
    <w:bookmarkStart w:name="z39" w:id="31"/>
    <w:p>
      <w:pPr>
        <w:spacing w:after="0"/>
        <w:ind w:left="0"/>
        <w:jc w:val="both"/>
      </w:pPr>
      <w:r>
        <w:rPr>
          <w:rFonts w:ascii="Times New Roman"/>
          <w:b w:val="false"/>
          <w:i w:val="false"/>
          <w:color w:val="000000"/>
          <w:sz w:val="28"/>
        </w:rPr>
        <w:t>
      5) рациональное функциональное зонирование с градостроительными регламентами, направленными на осуществление комплексной застройки территории жилыми домами, объектами обслуживания и другими объектами малого бизнеса;</w:t>
      </w:r>
    </w:p>
    <w:bookmarkEnd w:id="31"/>
    <w:bookmarkStart w:name="z40" w:id="32"/>
    <w:p>
      <w:pPr>
        <w:spacing w:after="0"/>
        <w:ind w:left="0"/>
        <w:jc w:val="both"/>
      </w:pPr>
      <w:r>
        <w:rPr>
          <w:rFonts w:ascii="Times New Roman"/>
          <w:b w:val="false"/>
          <w:i w:val="false"/>
          <w:color w:val="000000"/>
          <w:sz w:val="28"/>
        </w:rPr>
        <w:t>
      6) продолжение развития городской системы общественных центров с развитием всех видов культурно-бытового обслуживания населения;</w:t>
      </w:r>
    </w:p>
    <w:bookmarkEnd w:id="32"/>
    <w:bookmarkStart w:name="z41" w:id="33"/>
    <w:p>
      <w:pPr>
        <w:spacing w:after="0"/>
        <w:ind w:left="0"/>
        <w:jc w:val="both"/>
      </w:pPr>
      <w:r>
        <w:rPr>
          <w:rFonts w:ascii="Times New Roman"/>
          <w:b w:val="false"/>
          <w:i w:val="false"/>
          <w:color w:val="000000"/>
          <w:sz w:val="28"/>
        </w:rPr>
        <w:t>
      7) создание единой системы озеленения: рекреационных зон, парков, бульваров, скверов, санитарно-защитных зеленых зон;</w:t>
      </w:r>
    </w:p>
    <w:bookmarkEnd w:id="33"/>
    <w:bookmarkStart w:name="z42" w:id="34"/>
    <w:p>
      <w:pPr>
        <w:spacing w:after="0"/>
        <w:ind w:left="0"/>
        <w:jc w:val="both"/>
      </w:pPr>
      <w:r>
        <w:rPr>
          <w:rFonts w:ascii="Times New Roman"/>
          <w:b w:val="false"/>
          <w:i w:val="false"/>
          <w:color w:val="000000"/>
          <w:sz w:val="28"/>
        </w:rPr>
        <w:t>
      8) создание и развитие современного смарт-сити, совершенствование и модернизация инженерной инфраструктуры города Актобе;</w:t>
      </w:r>
    </w:p>
    <w:bookmarkEnd w:id="34"/>
    <w:bookmarkStart w:name="z43" w:id="35"/>
    <w:p>
      <w:pPr>
        <w:spacing w:after="0"/>
        <w:ind w:left="0"/>
        <w:jc w:val="both"/>
      </w:pPr>
      <w:r>
        <w:rPr>
          <w:rFonts w:ascii="Times New Roman"/>
          <w:b w:val="false"/>
          <w:i w:val="false"/>
          <w:color w:val="000000"/>
          <w:sz w:val="28"/>
        </w:rPr>
        <w:t>
      9) проведение мероприятий по охране окружающей среды с созданием базы мониторинга за источниками загрязнения, соблюдением инженерно-технических и организационных мер по улучшению окружающей среды;</w:t>
      </w:r>
    </w:p>
    <w:bookmarkEnd w:id="35"/>
    <w:bookmarkStart w:name="z44" w:id="36"/>
    <w:p>
      <w:pPr>
        <w:spacing w:after="0"/>
        <w:ind w:left="0"/>
        <w:jc w:val="both"/>
      </w:pPr>
      <w:r>
        <w:rPr>
          <w:rFonts w:ascii="Times New Roman"/>
          <w:b w:val="false"/>
          <w:i w:val="false"/>
          <w:color w:val="000000"/>
          <w:sz w:val="28"/>
        </w:rPr>
        <w:t>
      10) охрана памятников истории, культуры и архитектуры;</w:t>
      </w:r>
    </w:p>
    <w:bookmarkEnd w:id="36"/>
    <w:bookmarkStart w:name="z45" w:id="37"/>
    <w:p>
      <w:pPr>
        <w:spacing w:after="0"/>
        <w:ind w:left="0"/>
        <w:jc w:val="both"/>
      </w:pPr>
      <w:r>
        <w:rPr>
          <w:rFonts w:ascii="Times New Roman"/>
          <w:b w:val="false"/>
          <w:i w:val="false"/>
          <w:color w:val="000000"/>
          <w:sz w:val="28"/>
        </w:rPr>
        <w:t>
      11) рациональное использование природных ресурсов, сохранение растительного и животного мира.</w:t>
      </w:r>
    </w:p>
    <w:bookmarkEnd w:id="37"/>
    <w:bookmarkStart w:name="z46" w:id="38"/>
    <w:p>
      <w:pPr>
        <w:spacing w:after="0"/>
        <w:ind w:left="0"/>
        <w:jc w:val="left"/>
      </w:pPr>
      <w:r>
        <w:rPr>
          <w:rFonts w:ascii="Times New Roman"/>
          <w:b/>
          <w:i w:val="false"/>
          <w:color w:val="000000"/>
        </w:rPr>
        <w:t xml:space="preserve"> Глава 3. Сведения о городе Актобе</w:t>
      </w:r>
    </w:p>
    <w:bookmarkEnd w:id="38"/>
    <w:bookmarkStart w:name="z47" w:id="39"/>
    <w:p>
      <w:pPr>
        <w:spacing w:after="0"/>
        <w:ind w:left="0"/>
        <w:jc w:val="both"/>
      </w:pPr>
      <w:r>
        <w:rPr>
          <w:rFonts w:ascii="Times New Roman"/>
          <w:b w:val="false"/>
          <w:i w:val="false"/>
          <w:color w:val="000000"/>
          <w:sz w:val="28"/>
        </w:rPr>
        <w:t>
      Город Актобе расположен в северной части Актюбинской области на расстоянии 1678 км от города Астаны. Площадь территории города Актобе составляет 2,3 тысячи км2. В черте города протекают река Илек и несколько ее притоков, вблизи находятся Актюбинское и Саздинское водохранилища.</w:t>
      </w:r>
    </w:p>
    <w:bookmarkEnd w:id="39"/>
    <w:bookmarkStart w:name="z48" w:id="40"/>
    <w:p>
      <w:pPr>
        <w:spacing w:after="0"/>
        <w:ind w:left="0"/>
        <w:jc w:val="both"/>
      </w:pPr>
      <w:r>
        <w:rPr>
          <w:rFonts w:ascii="Times New Roman"/>
          <w:b w:val="false"/>
          <w:i w:val="false"/>
          <w:color w:val="000000"/>
          <w:sz w:val="28"/>
        </w:rPr>
        <w:t>
      Город расположен на автомобильных и железнодорожных транспортных магистралях республиканского значения, связывающих Центральную Азию и Юго-Восточную часть Казахстана с регионами Западного Казахстана, Уралом, Европейской частью России и европейскими странами.</w:t>
      </w:r>
    </w:p>
    <w:bookmarkEnd w:id="40"/>
    <w:bookmarkStart w:name="z49" w:id="41"/>
    <w:p>
      <w:pPr>
        <w:spacing w:after="0"/>
        <w:ind w:left="0"/>
        <w:jc w:val="both"/>
      </w:pPr>
      <w:r>
        <w:rPr>
          <w:rFonts w:ascii="Times New Roman"/>
          <w:b w:val="false"/>
          <w:i w:val="false"/>
          <w:color w:val="000000"/>
          <w:sz w:val="28"/>
        </w:rPr>
        <w:t>
      Через территорию города Актобе и Актюбинской агломерации проходит международный транзитный коридор "Западная Европа – Западный Китай", который обеспечивает возрождение древней трассы Великого Шелкового пути с выходом региона и города к мировым рынкам, комфортный уровень услуг, а также положительно будет влиять на экономическое развитие региона и страны в целом.</w:t>
      </w:r>
    </w:p>
    <w:bookmarkEnd w:id="41"/>
    <w:bookmarkStart w:name="z50" w:id="42"/>
    <w:p>
      <w:pPr>
        <w:spacing w:after="0"/>
        <w:ind w:left="0"/>
        <w:jc w:val="left"/>
      </w:pPr>
      <w:r>
        <w:rPr>
          <w:rFonts w:ascii="Times New Roman"/>
          <w:b/>
          <w:i w:val="false"/>
          <w:color w:val="000000"/>
        </w:rPr>
        <w:t xml:space="preserve"> Глава 4. Природно-климатические условия</w:t>
      </w:r>
    </w:p>
    <w:bookmarkEnd w:id="42"/>
    <w:bookmarkStart w:name="z51" w:id="43"/>
    <w:p>
      <w:pPr>
        <w:spacing w:after="0"/>
        <w:ind w:left="0"/>
        <w:jc w:val="both"/>
      </w:pPr>
      <w:r>
        <w:rPr>
          <w:rFonts w:ascii="Times New Roman"/>
          <w:b w:val="false"/>
          <w:i w:val="false"/>
          <w:color w:val="000000"/>
          <w:sz w:val="28"/>
        </w:rPr>
        <w:t>
      Климат в целом характеризуется жарким сухим летом и холодной малоснежной зимой. Характерными особенностями климата города Актобе являются быстрый переход от зимы к лету с очень коротким весенним периодом, неустойчивость и дефицит атмосферных осадков, большая сухость воздуха, интенсивность процессов испарения и обилие прямого солнечного освещения в течение всего весенне-летнего сезона. В летнее время часты суховеи, зимой – бураны.</w:t>
      </w:r>
    </w:p>
    <w:bookmarkEnd w:id="43"/>
    <w:bookmarkStart w:name="z52" w:id="44"/>
    <w:p>
      <w:pPr>
        <w:spacing w:after="0"/>
        <w:ind w:left="0"/>
        <w:jc w:val="both"/>
      </w:pPr>
      <w:r>
        <w:rPr>
          <w:rFonts w:ascii="Times New Roman"/>
          <w:b w:val="false"/>
          <w:i w:val="false"/>
          <w:color w:val="000000"/>
          <w:sz w:val="28"/>
        </w:rPr>
        <w:t>
      Лето жаркое, длится в среднем 5 месяцев – с начала мая до конца сентября. Наиболее жарким месяцем является июль, средняя температура которого 22,3 ºС. В дневные часы она достигает 29,2 ºС, ночью понижается до 15,3 ºС. В отдельные годы абсолютный максимум температуры может достигать 43 ºС.</w:t>
      </w:r>
    </w:p>
    <w:bookmarkEnd w:id="44"/>
    <w:bookmarkStart w:name="z53" w:id="45"/>
    <w:p>
      <w:pPr>
        <w:spacing w:after="0"/>
        <w:ind w:left="0"/>
        <w:jc w:val="both"/>
      </w:pPr>
      <w:r>
        <w:rPr>
          <w:rFonts w:ascii="Times New Roman"/>
          <w:b w:val="false"/>
          <w:i w:val="false"/>
          <w:color w:val="000000"/>
          <w:sz w:val="28"/>
        </w:rPr>
        <w:t>
      Зима довольно продолжительная – около 5 месяцев, с ноября до начала апреля, с устойчивой морозной погодой, небольшим числом солнечных дней, частыми сильными ветрами. Наиболее низкими температурами выделяется январь, со средними месячными значениями – 15,4 ºС. Ночью температура воздуха опускается до – 20,0 ºС, абсолютный минимум достигает – 48 ºС.</w:t>
      </w:r>
    </w:p>
    <w:bookmarkEnd w:id="45"/>
    <w:bookmarkStart w:name="z54" w:id="46"/>
    <w:p>
      <w:pPr>
        <w:spacing w:after="0"/>
        <w:ind w:left="0"/>
        <w:jc w:val="both"/>
      </w:pPr>
      <w:r>
        <w:rPr>
          <w:rFonts w:ascii="Times New Roman"/>
          <w:b w:val="false"/>
          <w:i w:val="false"/>
          <w:color w:val="000000"/>
          <w:sz w:val="28"/>
        </w:rPr>
        <w:t>
      Одна из характерных особенностей климата – активный ветровой режим в течение всего года. Средняя годовая скорость ветра колеблется от 3,3 м/сек на северо-востоке и до 5,6 м/сек на остальной территории.</w:t>
      </w:r>
    </w:p>
    <w:bookmarkEnd w:id="46"/>
    <w:bookmarkStart w:name="z55" w:id="47"/>
    <w:p>
      <w:pPr>
        <w:spacing w:after="0"/>
        <w:ind w:left="0"/>
        <w:jc w:val="both"/>
      </w:pPr>
      <w:r>
        <w:rPr>
          <w:rFonts w:ascii="Times New Roman"/>
          <w:b w:val="false"/>
          <w:i w:val="false"/>
          <w:color w:val="000000"/>
          <w:sz w:val="28"/>
        </w:rPr>
        <w:t>
      Город Актобе расположен в равнинной части поймы реки Илек и ее притоков. На большей части территории города Актобе преобладает плоский рельеф, наклоненный в сторону пойм русел рек Илек, Сазды, Тамды, Каргалы, Жинишке, что обуславливает наличие таких процессов, как затопление территории в пойменных частях рек во время ливней и интенсивного таяния снега.</w:t>
      </w:r>
    </w:p>
    <w:bookmarkEnd w:id="47"/>
    <w:bookmarkStart w:name="z56" w:id="48"/>
    <w:p>
      <w:pPr>
        <w:spacing w:after="0"/>
        <w:ind w:left="0"/>
        <w:jc w:val="left"/>
      </w:pPr>
      <w:r>
        <w:rPr>
          <w:rFonts w:ascii="Times New Roman"/>
          <w:b/>
          <w:i w:val="false"/>
          <w:color w:val="000000"/>
        </w:rPr>
        <w:t xml:space="preserve"> Глава 5. Концепция стратегического развития города</w:t>
      </w:r>
    </w:p>
    <w:bookmarkEnd w:id="48"/>
    <w:bookmarkStart w:name="z57" w:id="49"/>
    <w:p>
      <w:pPr>
        <w:spacing w:after="0"/>
        <w:ind w:left="0"/>
        <w:jc w:val="both"/>
      </w:pPr>
      <w:r>
        <w:rPr>
          <w:rFonts w:ascii="Times New Roman"/>
          <w:b w:val="false"/>
          <w:i w:val="false"/>
          <w:color w:val="000000"/>
          <w:sz w:val="28"/>
        </w:rPr>
        <w:t>
      Стратегия социально-экономического развития города Актобе на долгосрочный период должна базироваться на развитии тех нескольких стратегических направлений, которые позволят рациональным и инновационным способом использовать его главные ресурсы, способные дать мультипликативное развитие всей экономики города, дать качественное и количественное развитие его текущим и перспективным производительным силам, обеспечить полную и эффективную занятость экономически активного населения, увеличить доходы семей и общее благосостояние жизни населения.</w:t>
      </w:r>
    </w:p>
    <w:bookmarkEnd w:id="49"/>
    <w:bookmarkStart w:name="z58" w:id="50"/>
    <w:p>
      <w:pPr>
        <w:spacing w:after="0"/>
        <w:ind w:left="0"/>
        <w:jc w:val="both"/>
      </w:pPr>
      <w:r>
        <w:rPr>
          <w:rFonts w:ascii="Times New Roman"/>
          <w:b w:val="false"/>
          <w:i w:val="false"/>
          <w:color w:val="000000"/>
          <w:sz w:val="28"/>
        </w:rPr>
        <w:t>
      Стратегией установлены цели – видения того, каким город должен стать в будущем, в чем будут его уникальность и привлекательность, какое место он должен занять в конкурентной борьбе с другими городами страны и региона.</w:t>
      </w:r>
    </w:p>
    <w:bookmarkEnd w:id="50"/>
    <w:bookmarkStart w:name="z59" w:id="51"/>
    <w:p>
      <w:pPr>
        <w:spacing w:after="0"/>
        <w:ind w:left="0"/>
        <w:jc w:val="both"/>
      </w:pPr>
      <w:r>
        <w:rPr>
          <w:rFonts w:ascii="Times New Roman"/>
          <w:b w:val="false"/>
          <w:i w:val="false"/>
          <w:color w:val="000000"/>
          <w:sz w:val="28"/>
        </w:rPr>
        <w:t>
      Видение 1: город Актобе – высокотехнологичный промышленный центр глубокой переработки природных ресурсов области – углеводородов, металлов, минерального сырья и сельскохозяйственной продукции, с выпуском продукции высокого передела, приоритетом развития "зеленой" экономики, основанной на принципах устойчивого, рационального развития.</w:t>
      </w:r>
    </w:p>
    <w:bookmarkEnd w:id="51"/>
    <w:bookmarkStart w:name="z60" w:id="52"/>
    <w:p>
      <w:pPr>
        <w:spacing w:after="0"/>
        <w:ind w:left="0"/>
        <w:jc w:val="both"/>
      </w:pPr>
      <w:r>
        <w:rPr>
          <w:rFonts w:ascii="Times New Roman"/>
          <w:b w:val="false"/>
          <w:i w:val="false"/>
          <w:color w:val="000000"/>
          <w:sz w:val="28"/>
        </w:rPr>
        <w:t>
      Видение 2: город Актобе и Актюбинская область – западные ворота Казахстана на Великом Шелковом пути. Международный и региональный транспортно-логистический мультимодальный хаб в центре Евразийского континента.</w:t>
      </w:r>
    </w:p>
    <w:bookmarkEnd w:id="52"/>
    <w:bookmarkStart w:name="z61" w:id="53"/>
    <w:p>
      <w:pPr>
        <w:spacing w:after="0"/>
        <w:ind w:left="0"/>
        <w:jc w:val="both"/>
      </w:pPr>
      <w:r>
        <w:rPr>
          <w:rFonts w:ascii="Times New Roman"/>
          <w:b w:val="false"/>
          <w:i w:val="false"/>
          <w:color w:val="000000"/>
          <w:sz w:val="28"/>
        </w:rPr>
        <w:t>
      Видение 3: город Актобе – ведущий в Западном Казахстане научно-образовательный центр, город студентов.</w:t>
      </w:r>
    </w:p>
    <w:bookmarkEnd w:id="53"/>
    <w:bookmarkStart w:name="z62" w:id="54"/>
    <w:p>
      <w:pPr>
        <w:spacing w:after="0"/>
        <w:ind w:left="0"/>
        <w:jc w:val="both"/>
      </w:pPr>
      <w:r>
        <w:rPr>
          <w:rFonts w:ascii="Times New Roman"/>
          <w:b w:val="false"/>
          <w:i w:val="false"/>
          <w:color w:val="000000"/>
          <w:sz w:val="28"/>
        </w:rPr>
        <w:t>
      Видение 4: город Актобе – город с современной и адекватной сферой услуг, основанной на принципах креативной экономики, развития и поощрения всех форм молодежного предпринимательства в сфере стартапов во всех отраслях сферы услуг. Драйверами могут стать: кластер туризма и медицинский кластер с развитием медицинского туризма.</w:t>
      </w:r>
    </w:p>
    <w:bookmarkEnd w:id="54"/>
    <w:bookmarkStart w:name="z63" w:id="55"/>
    <w:p>
      <w:pPr>
        <w:spacing w:after="0"/>
        <w:ind w:left="0"/>
        <w:jc w:val="left"/>
      </w:pPr>
      <w:r>
        <w:rPr>
          <w:rFonts w:ascii="Times New Roman"/>
          <w:b/>
          <w:i w:val="false"/>
          <w:color w:val="000000"/>
        </w:rPr>
        <w:t xml:space="preserve"> Глава 6. Социально-экономическое развитие</w:t>
      </w:r>
    </w:p>
    <w:bookmarkEnd w:id="55"/>
    <w:bookmarkStart w:name="z64" w:id="56"/>
    <w:p>
      <w:pPr>
        <w:spacing w:after="0"/>
        <w:ind w:left="0"/>
        <w:jc w:val="left"/>
      </w:pPr>
      <w:r>
        <w:rPr>
          <w:rFonts w:ascii="Times New Roman"/>
          <w:b/>
          <w:i w:val="false"/>
          <w:color w:val="000000"/>
        </w:rPr>
        <w:t xml:space="preserve"> Параграф 1. Демография</w:t>
      </w:r>
    </w:p>
    <w:bookmarkEnd w:id="56"/>
    <w:bookmarkStart w:name="z65" w:id="57"/>
    <w:p>
      <w:pPr>
        <w:spacing w:after="0"/>
        <w:ind w:left="0"/>
        <w:jc w:val="both"/>
      </w:pPr>
      <w:r>
        <w:rPr>
          <w:rFonts w:ascii="Times New Roman"/>
          <w:b w:val="false"/>
          <w:i w:val="false"/>
          <w:color w:val="000000"/>
          <w:sz w:val="28"/>
        </w:rPr>
        <w:t>
      Демографический прогноз будущего развития города Актобе основывается на анализе многолетних трендов показателей и факторов, влияющих на движение населения: естественный прирост – рождаемость, смертность и факторы, влияющие на них: этнический состав, половозрастная структура, показатели семейности и др.; миграционный прирост – многолетняя динамика, география миграции, факторы, влияющие на принятие миграционных решений населением, социально-экономическая конкурентоспособность города как центра привлечения/оттока трудовых ресурсов и др.</w:t>
      </w:r>
    </w:p>
    <w:bookmarkEnd w:id="57"/>
    <w:bookmarkStart w:name="z66" w:id="58"/>
    <w:p>
      <w:pPr>
        <w:spacing w:after="0"/>
        <w:ind w:left="0"/>
        <w:jc w:val="both"/>
      </w:pPr>
      <w:r>
        <w:rPr>
          <w:rFonts w:ascii="Times New Roman"/>
          <w:b w:val="false"/>
          <w:i w:val="false"/>
          <w:color w:val="000000"/>
          <w:sz w:val="28"/>
        </w:rPr>
        <w:t>
      Выявленные тенденции и закономерности, а также стратегические видения социально-экономического развития города Актобе на среднесрочную и долгосрочную перспективу определили план, по которому был рассчитан демографический прогноз на расчетный срок.</w:t>
      </w:r>
    </w:p>
    <w:bookmarkEnd w:id="58"/>
    <w:bookmarkStart w:name="z67" w:id="59"/>
    <w:p>
      <w:pPr>
        <w:spacing w:after="0"/>
        <w:ind w:left="0"/>
        <w:jc w:val="both"/>
      </w:pPr>
      <w:r>
        <w:rPr>
          <w:rFonts w:ascii="Times New Roman"/>
          <w:b w:val="false"/>
          <w:i w:val="false"/>
          <w:color w:val="000000"/>
          <w:sz w:val="28"/>
        </w:rPr>
        <w:t>
      Численность населения города Актобе на 1 января 2022 года составила 523,7 тысячи человек, на первую очередь (2030 год) составит 636,9 тысячи человек, на расчетный срок – 950,0 тысячи человек.</w:t>
      </w:r>
    </w:p>
    <w:bookmarkEnd w:id="59"/>
    <w:bookmarkStart w:name="z68" w:id="60"/>
    <w:p>
      <w:pPr>
        <w:spacing w:after="0"/>
        <w:ind w:left="0"/>
        <w:jc w:val="left"/>
      </w:pPr>
      <w:r>
        <w:rPr>
          <w:rFonts w:ascii="Times New Roman"/>
          <w:b/>
          <w:i w:val="false"/>
          <w:color w:val="000000"/>
        </w:rPr>
        <w:t xml:space="preserve"> Параграф 2. Занятость</w:t>
      </w:r>
    </w:p>
    <w:bookmarkEnd w:id="60"/>
    <w:bookmarkStart w:name="z69" w:id="61"/>
    <w:p>
      <w:pPr>
        <w:spacing w:after="0"/>
        <w:ind w:left="0"/>
        <w:jc w:val="both"/>
      </w:pPr>
      <w:r>
        <w:rPr>
          <w:rFonts w:ascii="Times New Roman"/>
          <w:b w:val="false"/>
          <w:i w:val="false"/>
          <w:color w:val="000000"/>
          <w:sz w:val="28"/>
        </w:rPr>
        <w:t>
      По состоянию на 1 января 2022 года население трудоспособного возраста города Актобе составило 361,3 тысячи человек или 69 % от общей численности населения, при этом экономически активное население (рабочая сила) составило 246,6 тысячи человек с уровнем экономической активности 68,2 %. В составе рабочей силы занятое население составило 234,8 тысячи человек, официально зарегистрированное безработное население – 11,8 тысячи человек, уровень безработицы – 4,8 %.</w:t>
      </w:r>
    </w:p>
    <w:bookmarkEnd w:id="61"/>
    <w:bookmarkStart w:name="z70" w:id="62"/>
    <w:p>
      <w:pPr>
        <w:spacing w:after="0"/>
        <w:ind w:left="0"/>
        <w:jc w:val="both"/>
      </w:pPr>
      <w:r>
        <w:rPr>
          <w:rFonts w:ascii="Times New Roman"/>
          <w:b w:val="false"/>
          <w:i w:val="false"/>
          <w:color w:val="000000"/>
          <w:sz w:val="28"/>
        </w:rPr>
        <w:t>
      Увеличение численности населения города Актобе к 2030 году до 636,9 тысячи человек и к 2050 году до 950,0 тысячи человек ставит перед городскими властями важнейший вопрос – обеспечение занятости прирастающего населения. На первый план выходят вопросы создания рабочих мест в стратегических отраслях промышленности, сельского хозяйства и агропромышленного комплекса, а также в сфере услуг.</w:t>
      </w:r>
    </w:p>
    <w:bookmarkEnd w:id="62"/>
    <w:bookmarkStart w:name="z71" w:id="63"/>
    <w:p>
      <w:pPr>
        <w:spacing w:after="0"/>
        <w:ind w:left="0"/>
        <w:jc w:val="both"/>
      </w:pPr>
      <w:r>
        <w:rPr>
          <w:rFonts w:ascii="Times New Roman"/>
          <w:b w:val="false"/>
          <w:i w:val="false"/>
          <w:color w:val="000000"/>
          <w:sz w:val="28"/>
        </w:rPr>
        <w:t>
      Целевым индикатором в настоящей работе принято снижение к расчетному сроку уровня самозанятых до 6 %, уровня безработицы до 4 %, уровня молодежной безработицы до 3,5 % для возрастной группы 15-24 лет и до 1,5 % для возрастной группы 15-28 лет.</w:t>
      </w:r>
    </w:p>
    <w:bookmarkEnd w:id="63"/>
    <w:bookmarkStart w:name="z72" w:id="64"/>
    <w:p>
      <w:pPr>
        <w:spacing w:after="0"/>
        <w:ind w:left="0"/>
        <w:jc w:val="left"/>
      </w:pPr>
      <w:r>
        <w:rPr>
          <w:rFonts w:ascii="Times New Roman"/>
          <w:b/>
          <w:i w:val="false"/>
          <w:color w:val="000000"/>
        </w:rPr>
        <w:t xml:space="preserve"> Параграф 3. Жилищно-гражданское строительство</w:t>
      </w:r>
    </w:p>
    <w:bookmarkEnd w:id="64"/>
    <w:bookmarkStart w:name="z73" w:id="65"/>
    <w:p>
      <w:pPr>
        <w:spacing w:after="0"/>
        <w:ind w:left="0"/>
        <w:jc w:val="both"/>
      </w:pPr>
      <w:r>
        <w:rPr>
          <w:rFonts w:ascii="Times New Roman"/>
          <w:b w:val="false"/>
          <w:i w:val="false"/>
          <w:color w:val="000000"/>
          <w:sz w:val="28"/>
        </w:rPr>
        <w:t>
      В проекте Генерального плана предусмотрены решения по размещению объектов социальной сферы и жилья с учетом проведенного анализа потребности города Актобе на первую очередь и расчетный срок.</w:t>
      </w:r>
    </w:p>
    <w:bookmarkEnd w:id="65"/>
    <w:bookmarkStart w:name="z74" w:id="66"/>
    <w:p>
      <w:pPr>
        <w:spacing w:after="0"/>
        <w:ind w:left="0"/>
        <w:jc w:val="both"/>
      </w:pPr>
      <w:r>
        <w:rPr>
          <w:rFonts w:ascii="Times New Roman"/>
          <w:b w:val="false"/>
          <w:i w:val="false"/>
          <w:color w:val="000000"/>
          <w:sz w:val="28"/>
        </w:rPr>
        <w:t>
      В Генеральном плане проектные инициативы по развитию социальной инфраструктуры ориентированы на новые социально-экономические и градостроительные условия и направлены на удовлетворение разнообразных запросов и потребностей населения.</w:t>
      </w:r>
    </w:p>
    <w:bookmarkEnd w:id="66"/>
    <w:bookmarkStart w:name="z75" w:id="67"/>
    <w:p>
      <w:pPr>
        <w:spacing w:after="0"/>
        <w:ind w:left="0"/>
        <w:jc w:val="both"/>
      </w:pPr>
      <w:r>
        <w:rPr>
          <w:rFonts w:ascii="Times New Roman"/>
          <w:b w:val="false"/>
          <w:i w:val="false"/>
          <w:color w:val="000000"/>
          <w:sz w:val="28"/>
        </w:rPr>
        <w:t>
      Основным направлением в социальной сфере является создание оптимальных условий жизни для каждого человека, его здоровья, образования, трудовой деятельности и социальной справедливости для всех слоев населения.</w:t>
      </w:r>
    </w:p>
    <w:bookmarkEnd w:id="67"/>
    <w:bookmarkStart w:name="z76" w:id="68"/>
    <w:p>
      <w:pPr>
        <w:spacing w:after="0"/>
        <w:ind w:left="0"/>
        <w:jc w:val="both"/>
      </w:pPr>
      <w:r>
        <w:rPr>
          <w:rFonts w:ascii="Times New Roman"/>
          <w:b w:val="false"/>
          <w:i w:val="false"/>
          <w:color w:val="000000"/>
          <w:sz w:val="28"/>
        </w:rPr>
        <w:t>
      Перспективные направления развития жилищного строительства в городе Актобе основаны на обеспечении комплексного развития территорий и повышении комфортности жизни жителей города. Архитектурный облик города Актобе должен соответствовать его статусу – индустриальному городу.</w:t>
      </w:r>
    </w:p>
    <w:bookmarkEnd w:id="68"/>
    <w:bookmarkStart w:name="z77" w:id="69"/>
    <w:p>
      <w:pPr>
        <w:spacing w:after="0"/>
        <w:ind w:left="0"/>
        <w:jc w:val="both"/>
      </w:pPr>
      <w:r>
        <w:rPr>
          <w:rFonts w:ascii="Times New Roman"/>
          <w:b w:val="false"/>
          <w:i w:val="false"/>
          <w:color w:val="000000"/>
          <w:sz w:val="28"/>
        </w:rPr>
        <w:t>
      Проектом предлагается осуществлять жилищное строительство в соответствии с принятым в Генеральном плане строительным зонированием.</w:t>
      </w:r>
    </w:p>
    <w:bookmarkEnd w:id="69"/>
    <w:bookmarkStart w:name="z78" w:id="70"/>
    <w:p>
      <w:pPr>
        <w:spacing w:after="0"/>
        <w:ind w:left="0"/>
        <w:jc w:val="both"/>
      </w:pPr>
      <w:r>
        <w:rPr>
          <w:rFonts w:ascii="Times New Roman"/>
          <w:b w:val="false"/>
          <w:i w:val="false"/>
          <w:color w:val="000000"/>
          <w:sz w:val="28"/>
        </w:rPr>
        <w:t>
      Территория города, ограниченная малой кольцевой автомобильной дорогой, имеет среднеэтажную и многоэтажную застройку и частично существующую застройку домами малой этажности. Территория города Актобе, ограниченная Большой Актюбинской кольцевой автомобильной дорогой (далее - БАКАД), предлагается со среднеэтажной и малоэтажной застройкой.</w:t>
      </w:r>
    </w:p>
    <w:bookmarkEnd w:id="70"/>
    <w:bookmarkStart w:name="z79" w:id="71"/>
    <w:p>
      <w:pPr>
        <w:spacing w:after="0"/>
        <w:ind w:left="0"/>
        <w:jc w:val="both"/>
      </w:pPr>
      <w:r>
        <w:rPr>
          <w:rFonts w:ascii="Times New Roman"/>
          <w:b w:val="false"/>
          <w:i w:val="false"/>
          <w:color w:val="000000"/>
          <w:sz w:val="28"/>
        </w:rPr>
        <w:t>
      Территория, ограниченная БАКАДом и административной границей города Актобе, планируется малоэтажной усадебной и блокированной застройкой.</w:t>
      </w:r>
    </w:p>
    <w:bookmarkEnd w:id="71"/>
    <w:bookmarkStart w:name="z80" w:id="72"/>
    <w:p>
      <w:pPr>
        <w:spacing w:after="0"/>
        <w:ind w:left="0"/>
        <w:jc w:val="both"/>
      </w:pPr>
      <w:r>
        <w:rPr>
          <w:rFonts w:ascii="Times New Roman"/>
          <w:b w:val="false"/>
          <w:i w:val="false"/>
          <w:color w:val="000000"/>
          <w:sz w:val="28"/>
        </w:rPr>
        <w:t>
      Общая площадь жилищного фонда города Актобе по состоянию на 1 января 2022 года составила 11592,9 тысячи м2, в том числе: многоквартирные дома – 7251,4 тысячи м2, индивидуальные дома – 4341,5 тысячи м2. Средняя обеспеченность жильем на одного проживающего в городе Актобе на начало 2022 года составила 22,14 м2.</w:t>
      </w:r>
    </w:p>
    <w:bookmarkEnd w:id="72"/>
    <w:bookmarkStart w:name="z81" w:id="73"/>
    <w:p>
      <w:pPr>
        <w:spacing w:after="0"/>
        <w:ind w:left="0"/>
        <w:jc w:val="both"/>
      </w:pPr>
      <w:r>
        <w:rPr>
          <w:rFonts w:ascii="Times New Roman"/>
          <w:b w:val="false"/>
          <w:i w:val="false"/>
          <w:color w:val="000000"/>
          <w:sz w:val="28"/>
        </w:rPr>
        <w:t>
      На первую очередь реализации проекта предусматривается новое строительство общей площадью 3176,5 тысячи м². На расчетный срок реализации проекта предусматривается новое строительство общей площадью 9388,8 тысяч м². Убыль существующего жилищного фонда составит 248 тысяч м².</w:t>
      </w:r>
    </w:p>
    <w:bookmarkEnd w:id="73"/>
    <w:bookmarkStart w:name="z82" w:id="74"/>
    <w:p>
      <w:pPr>
        <w:spacing w:after="0"/>
        <w:ind w:left="0"/>
        <w:jc w:val="both"/>
      </w:pPr>
      <w:r>
        <w:rPr>
          <w:rFonts w:ascii="Times New Roman"/>
          <w:b w:val="false"/>
          <w:i w:val="false"/>
          <w:color w:val="000000"/>
          <w:sz w:val="28"/>
        </w:rPr>
        <w:t>
      Жилищный фонд города Актобе запланирован в следующих параметрах:</w:t>
      </w:r>
    </w:p>
    <w:bookmarkEnd w:id="74"/>
    <w:bookmarkStart w:name="z83" w:id="75"/>
    <w:p>
      <w:pPr>
        <w:spacing w:after="0"/>
        <w:ind w:left="0"/>
        <w:jc w:val="both"/>
      </w:pPr>
      <w:r>
        <w:rPr>
          <w:rFonts w:ascii="Times New Roman"/>
          <w:b w:val="false"/>
          <w:i w:val="false"/>
          <w:color w:val="000000"/>
          <w:sz w:val="28"/>
        </w:rPr>
        <w:t>
      исходный год: 11592,9 тыс. м²;</w:t>
      </w:r>
    </w:p>
    <w:bookmarkEnd w:id="75"/>
    <w:bookmarkStart w:name="z84" w:id="76"/>
    <w:p>
      <w:pPr>
        <w:spacing w:after="0"/>
        <w:ind w:left="0"/>
        <w:jc w:val="both"/>
      </w:pPr>
      <w:r>
        <w:rPr>
          <w:rFonts w:ascii="Times New Roman"/>
          <w:b w:val="false"/>
          <w:i w:val="false"/>
          <w:color w:val="000000"/>
          <w:sz w:val="28"/>
        </w:rPr>
        <w:t>
      первая очередь: 14521,5 тыс. м²;</w:t>
      </w:r>
    </w:p>
    <w:bookmarkEnd w:id="76"/>
    <w:bookmarkStart w:name="z85" w:id="77"/>
    <w:p>
      <w:pPr>
        <w:spacing w:after="0"/>
        <w:ind w:left="0"/>
        <w:jc w:val="both"/>
      </w:pPr>
      <w:r>
        <w:rPr>
          <w:rFonts w:ascii="Times New Roman"/>
          <w:b w:val="false"/>
          <w:i w:val="false"/>
          <w:color w:val="000000"/>
          <w:sz w:val="28"/>
        </w:rPr>
        <w:t>
      расчетный срок: 23910,3 тыс. м².</w:t>
      </w:r>
    </w:p>
    <w:bookmarkEnd w:id="77"/>
    <w:bookmarkStart w:name="z86" w:id="78"/>
    <w:p>
      <w:pPr>
        <w:spacing w:after="0"/>
        <w:ind w:left="0"/>
        <w:jc w:val="left"/>
      </w:pPr>
      <w:r>
        <w:rPr>
          <w:rFonts w:ascii="Times New Roman"/>
          <w:b/>
          <w:i w:val="false"/>
          <w:color w:val="000000"/>
        </w:rPr>
        <w:t xml:space="preserve"> Параграф 4. Образование</w:t>
      </w:r>
    </w:p>
    <w:bookmarkEnd w:id="78"/>
    <w:bookmarkStart w:name="z87" w:id="79"/>
    <w:p>
      <w:pPr>
        <w:spacing w:after="0"/>
        <w:ind w:left="0"/>
        <w:jc w:val="both"/>
      </w:pPr>
      <w:r>
        <w:rPr>
          <w:rFonts w:ascii="Times New Roman"/>
          <w:b w:val="false"/>
          <w:i w:val="false"/>
          <w:color w:val="000000"/>
          <w:sz w:val="28"/>
        </w:rPr>
        <w:t>
      Количество мест объектов дошкольных и общеобразовательных учреждений в городе Актобе по проектным периодам составит:</w:t>
      </w:r>
    </w:p>
    <w:bookmarkEnd w:id="79"/>
    <w:bookmarkStart w:name="z88" w:id="80"/>
    <w:p>
      <w:pPr>
        <w:spacing w:after="0"/>
        <w:ind w:left="0"/>
        <w:jc w:val="both"/>
      </w:pPr>
      <w:r>
        <w:rPr>
          <w:rFonts w:ascii="Times New Roman"/>
          <w:b w:val="false"/>
          <w:i w:val="false"/>
          <w:color w:val="000000"/>
          <w:sz w:val="28"/>
        </w:rPr>
        <w:t>
      для детских дошкольных учреждений: исходный год – 22957 мест, первая очередь – 59497 мест, расчетный срок – 93237 мест;</w:t>
      </w:r>
    </w:p>
    <w:bookmarkEnd w:id="80"/>
    <w:bookmarkStart w:name="z89" w:id="81"/>
    <w:p>
      <w:pPr>
        <w:spacing w:after="0"/>
        <w:ind w:left="0"/>
        <w:jc w:val="both"/>
      </w:pPr>
      <w:r>
        <w:rPr>
          <w:rFonts w:ascii="Times New Roman"/>
          <w:b w:val="false"/>
          <w:i w:val="false"/>
          <w:color w:val="000000"/>
          <w:sz w:val="28"/>
        </w:rPr>
        <w:t>
      для общеобразовательных школ: исходный год – 63562 места, первая очередь – 132262 места, расчетный срок – 197062 места.</w:t>
      </w:r>
    </w:p>
    <w:bookmarkEnd w:id="81"/>
    <w:bookmarkStart w:name="z90" w:id="82"/>
    <w:p>
      <w:pPr>
        <w:spacing w:after="0"/>
        <w:ind w:left="0"/>
        <w:jc w:val="both"/>
      </w:pPr>
      <w:r>
        <w:rPr>
          <w:rFonts w:ascii="Times New Roman"/>
          <w:b w:val="false"/>
          <w:i w:val="false"/>
          <w:color w:val="000000"/>
          <w:sz w:val="28"/>
        </w:rPr>
        <w:t>
      Количество мест в объектах внешкольного дополнительного образования в городе Актобе составит: исходный год – 4076 мест, первая очередь – 6886 мест, расчетный срок – 13386 мест.</w:t>
      </w:r>
    </w:p>
    <w:bookmarkEnd w:id="82"/>
    <w:bookmarkStart w:name="z91" w:id="83"/>
    <w:p>
      <w:pPr>
        <w:spacing w:after="0"/>
        <w:ind w:left="0"/>
        <w:jc w:val="both"/>
      </w:pPr>
      <w:r>
        <w:rPr>
          <w:rFonts w:ascii="Times New Roman"/>
          <w:b w:val="false"/>
          <w:i w:val="false"/>
          <w:color w:val="000000"/>
          <w:sz w:val="28"/>
        </w:rPr>
        <w:t>
      Количество мест в учебно-производственных комбинатах для школьников в городе Актобе составит 14000 мест, в том числе новое строительство: первая очередь – 9000 мест, расчетный срок – 5000 мест.</w:t>
      </w:r>
    </w:p>
    <w:bookmarkEnd w:id="83"/>
    <w:bookmarkStart w:name="z92" w:id="84"/>
    <w:p>
      <w:pPr>
        <w:spacing w:after="0"/>
        <w:ind w:left="0"/>
        <w:jc w:val="left"/>
      </w:pPr>
      <w:r>
        <w:rPr>
          <w:rFonts w:ascii="Times New Roman"/>
          <w:b/>
          <w:i w:val="false"/>
          <w:color w:val="000000"/>
        </w:rPr>
        <w:t xml:space="preserve"> Параграф 5. Здравоохранение</w:t>
      </w:r>
    </w:p>
    <w:bookmarkEnd w:id="84"/>
    <w:bookmarkStart w:name="z93" w:id="85"/>
    <w:p>
      <w:pPr>
        <w:spacing w:after="0"/>
        <w:ind w:left="0"/>
        <w:jc w:val="both"/>
      </w:pPr>
      <w:r>
        <w:rPr>
          <w:rFonts w:ascii="Times New Roman"/>
          <w:b w:val="false"/>
          <w:i w:val="false"/>
          <w:color w:val="000000"/>
          <w:sz w:val="28"/>
        </w:rPr>
        <w:t>
      Количество койко-мест в круглосуточных стационарах составит: исходный год – 3242 койко-места, первая очередь – 3992 койко-места, расчетный срок – 5992 койко-места.</w:t>
      </w:r>
    </w:p>
    <w:bookmarkEnd w:id="85"/>
    <w:bookmarkStart w:name="z94" w:id="86"/>
    <w:p>
      <w:pPr>
        <w:spacing w:after="0"/>
        <w:ind w:left="0"/>
        <w:jc w:val="both"/>
      </w:pPr>
      <w:r>
        <w:rPr>
          <w:rFonts w:ascii="Times New Roman"/>
          <w:b w:val="false"/>
          <w:i w:val="false"/>
          <w:color w:val="000000"/>
          <w:sz w:val="28"/>
        </w:rPr>
        <w:t>
      Проектная мощность объектов, оказывающих амбулаторно-поликлиническую помощь, составит: исходный год – 5655 посещений в смену, первая очередь – 6955 посещений в смену, расчетный срок – 10955 посещений в смену.</w:t>
      </w:r>
    </w:p>
    <w:bookmarkEnd w:id="86"/>
    <w:bookmarkStart w:name="z95" w:id="87"/>
    <w:p>
      <w:pPr>
        <w:spacing w:after="0"/>
        <w:ind w:left="0"/>
        <w:jc w:val="left"/>
      </w:pPr>
      <w:r>
        <w:rPr>
          <w:rFonts w:ascii="Times New Roman"/>
          <w:b/>
          <w:i w:val="false"/>
          <w:color w:val="000000"/>
        </w:rPr>
        <w:t xml:space="preserve"> Параграф 6. Экономическая деятельность</w:t>
      </w:r>
    </w:p>
    <w:bookmarkEnd w:id="87"/>
    <w:bookmarkStart w:name="z96" w:id="88"/>
    <w:p>
      <w:pPr>
        <w:spacing w:after="0"/>
        <w:ind w:left="0"/>
        <w:jc w:val="both"/>
      </w:pPr>
      <w:r>
        <w:rPr>
          <w:rFonts w:ascii="Times New Roman"/>
          <w:b w:val="false"/>
          <w:i w:val="false"/>
          <w:color w:val="000000"/>
          <w:sz w:val="28"/>
        </w:rPr>
        <w:t>
      Город Актобе является традиционно сложившимся ведущим промышленным, финансовым, научно-образовательным медицинским центром Западно-Казахстанского региона, имеет выгодное экономико-географическое положение на карте Казахстана и Евразии на пересечении трансевразийских транспортно-пассажирских коридоров, ставящее его в ряд стратегических мультимодальных транспортно-логистических центров Казахстана первого уровня.</w:t>
      </w:r>
    </w:p>
    <w:bookmarkEnd w:id="88"/>
    <w:bookmarkStart w:name="z97" w:id="89"/>
    <w:p>
      <w:pPr>
        <w:spacing w:after="0"/>
        <w:ind w:left="0"/>
        <w:jc w:val="both"/>
      </w:pPr>
      <w:r>
        <w:rPr>
          <w:rFonts w:ascii="Times New Roman"/>
          <w:b w:val="false"/>
          <w:i w:val="false"/>
          <w:color w:val="000000"/>
          <w:sz w:val="28"/>
        </w:rPr>
        <w:t>
      Актюбинская область с центром обрабатывающей промышленности в городе Актобе обеспечена стратегическими запасами минерального сырья – нефти, газа, металлических руд, строительных материалов, а также богатыми сельскохозяйственными угодьями для развития растениеводства и животноводства.</w:t>
      </w:r>
    </w:p>
    <w:bookmarkEnd w:id="89"/>
    <w:bookmarkStart w:name="z98" w:id="90"/>
    <w:p>
      <w:pPr>
        <w:spacing w:after="0"/>
        <w:ind w:left="0"/>
        <w:jc w:val="both"/>
      </w:pPr>
      <w:r>
        <w:rPr>
          <w:rFonts w:ascii="Times New Roman"/>
          <w:b w:val="false"/>
          <w:i w:val="false"/>
          <w:color w:val="000000"/>
          <w:sz w:val="28"/>
        </w:rPr>
        <w:t>
      Город в достаточной степени обеспечен потенциальными трудовыми ресурсами, так как его демография характеризуется высокими темпами естественного прироста, характерного для всего Западного Казахстана, а также город традиционно является центром притяжения трудовых ресурсов для этого региона.</w:t>
      </w:r>
    </w:p>
    <w:bookmarkEnd w:id="90"/>
    <w:bookmarkStart w:name="z99" w:id="91"/>
    <w:p>
      <w:pPr>
        <w:spacing w:after="0"/>
        <w:ind w:left="0"/>
        <w:jc w:val="both"/>
      </w:pPr>
      <w:r>
        <w:rPr>
          <w:rFonts w:ascii="Times New Roman"/>
          <w:b w:val="false"/>
          <w:i w:val="false"/>
          <w:color w:val="000000"/>
          <w:sz w:val="28"/>
        </w:rPr>
        <w:t>
      Все эти и другие факторы создают стабильные условия для индустриального и постиндустриального развития города Актобе, с видением города в потенциале как главного инновационно-индустриального центра Западного Казахстана, с глубокой переработкой первичного минерального и сельскохозяйственного сырья и производством готовой продукции с максимальной степенью передела и повышением добавленной стоимости.</w:t>
      </w:r>
    </w:p>
    <w:bookmarkEnd w:id="91"/>
    <w:bookmarkStart w:name="z100" w:id="92"/>
    <w:p>
      <w:pPr>
        <w:spacing w:after="0"/>
        <w:ind w:left="0"/>
        <w:jc w:val="both"/>
      </w:pPr>
      <w:r>
        <w:rPr>
          <w:rFonts w:ascii="Times New Roman"/>
          <w:b w:val="false"/>
          <w:i w:val="false"/>
          <w:color w:val="000000"/>
          <w:sz w:val="28"/>
        </w:rPr>
        <w:t>
      Приоритетными направлениями должны стать:</w:t>
      </w:r>
    </w:p>
    <w:bookmarkEnd w:id="92"/>
    <w:bookmarkStart w:name="z101" w:id="93"/>
    <w:p>
      <w:pPr>
        <w:spacing w:after="0"/>
        <w:ind w:left="0"/>
        <w:jc w:val="both"/>
      </w:pPr>
      <w:r>
        <w:rPr>
          <w:rFonts w:ascii="Times New Roman"/>
          <w:b w:val="false"/>
          <w:i w:val="false"/>
          <w:color w:val="000000"/>
          <w:sz w:val="28"/>
        </w:rPr>
        <w:t>
      импортозамещение в обеспечении комплектующими, запасными частями, расходными материалами, инструментом и оборудованием основных отраслей промышленности города, области и республики, с максимальным вовлечением в промышленное производство малого и среднего предпринимательства за счет развития таких высокорентабельных направлений промышленного производства, как малотоннажные производства в металлургии, химии и нефтехимии, производства строительных материалов, производства продуктов питания, фармацевтика, машиностроение, станкостроение и приборостроение, автомобилестроение и др.;</w:t>
      </w:r>
    </w:p>
    <w:bookmarkEnd w:id="93"/>
    <w:bookmarkStart w:name="z102" w:id="94"/>
    <w:p>
      <w:pPr>
        <w:spacing w:after="0"/>
        <w:ind w:left="0"/>
        <w:jc w:val="both"/>
      </w:pPr>
      <w:r>
        <w:rPr>
          <w:rFonts w:ascii="Times New Roman"/>
          <w:b w:val="false"/>
          <w:i w:val="false"/>
          <w:color w:val="000000"/>
          <w:sz w:val="28"/>
        </w:rPr>
        <w:t>
      реализация экспортного потенциала экономики города и области за счет выпуска уникальной продукции высокого передела в промышленности и агропромышленном комплексе, имеющей устойчивый спрос на международных рынках, в том числе, учитывая последствия современных военно-политических конфликтов на территории Евразии, когда крупнейшие экспортеры промышленной продукции и продовольствия нескольких стран в результате военных действий и санкций были вынуждены искать новые локации для своих производств;</w:t>
      </w:r>
    </w:p>
    <w:bookmarkEnd w:id="94"/>
    <w:bookmarkStart w:name="z103" w:id="95"/>
    <w:p>
      <w:pPr>
        <w:spacing w:after="0"/>
        <w:ind w:left="0"/>
        <w:jc w:val="both"/>
      </w:pPr>
      <w:r>
        <w:rPr>
          <w:rFonts w:ascii="Times New Roman"/>
          <w:b w:val="false"/>
          <w:i w:val="false"/>
          <w:color w:val="000000"/>
          <w:sz w:val="28"/>
        </w:rPr>
        <w:t>
      максимальная интеграция экономики города и области в международные производственные и технологические цепочки по производству промышленной и бытовой продукции и услуг;</w:t>
      </w:r>
    </w:p>
    <w:bookmarkEnd w:id="95"/>
    <w:bookmarkStart w:name="z104" w:id="96"/>
    <w:p>
      <w:pPr>
        <w:spacing w:after="0"/>
        <w:ind w:left="0"/>
        <w:jc w:val="both"/>
      </w:pPr>
      <w:r>
        <w:rPr>
          <w:rFonts w:ascii="Times New Roman"/>
          <w:b w:val="false"/>
          <w:i w:val="false"/>
          <w:color w:val="000000"/>
          <w:sz w:val="28"/>
        </w:rPr>
        <w:t>
      реализация стратегии продовольственной безопасности Республики Казахстан.</w:t>
      </w:r>
    </w:p>
    <w:bookmarkEnd w:id="96"/>
    <w:bookmarkStart w:name="z105" w:id="97"/>
    <w:p>
      <w:pPr>
        <w:spacing w:after="0"/>
        <w:ind w:left="0"/>
        <w:jc w:val="both"/>
      </w:pPr>
      <w:r>
        <w:rPr>
          <w:rFonts w:ascii="Times New Roman"/>
          <w:b w:val="false"/>
          <w:i w:val="false"/>
          <w:color w:val="000000"/>
          <w:sz w:val="28"/>
        </w:rPr>
        <w:t>
      Стратегически важным для реализации этого потенциала является дальнейшее инновационное развитие базовых отраслей промышленного производства города и области, базирующихся на переработке минерального и сельскохозяйственного сырья и продукции. Это такие отрасли, как металлургия, химия и нефтехимия, агропромышленное производство, производство строительных материалов, фармацевтика, машиностроение, включая точное машиностроение и приборостроение. Для реализации намеченных направлений индустриального развития города в настоящей работе предлагается создание системы специализированных индустриальных парков, объединенных по кластерно-отраслевому принципу.</w:t>
      </w:r>
    </w:p>
    <w:bookmarkEnd w:id="97"/>
    <w:bookmarkStart w:name="z106" w:id="98"/>
    <w:p>
      <w:pPr>
        <w:spacing w:after="0"/>
        <w:ind w:left="0"/>
        <w:jc w:val="both"/>
      </w:pPr>
      <w:r>
        <w:rPr>
          <w:rFonts w:ascii="Times New Roman"/>
          <w:b w:val="false"/>
          <w:i w:val="false"/>
          <w:color w:val="000000"/>
          <w:sz w:val="28"/>
        </w:rPr>
        <w:t>
      С целью обеспечения логистики в снабжении индустриальных парков сырьем, материалами и комплектующими, а также экспорта готовой продукции на внутренние и международные рынки в узловых транспортных точках города, обеспечивающих мультимодальное транспортное сообщение, включая автомобильный, железнодорожный и авиационный транспорт в северной и южной индустриальной зонах, предлагается разместить мультимодальные транспортно-логистические центры.</w:t>
      </w:r>
    </w:p>
    <w:bookmarkEnd w:id="98"/>
    <w:bookmarkStart w:name="z107" w:id="99"/>
    <w:p>
      <w:pPr>
        <w:spacing w:after="0"/>
        <w:ind w:left="0"/>
        <w:jc w:val="both"/>
      </w:pPr>
      <w:r>
        <w:rPr>
          <w:rFonts w:ascii="Times New Roman"/>
          <w:b w:val="false"/>
          <w:i w:val="false"/>
          <w:color w:val="000000"/>
          <w:sz w:val="28"/>
        </w:rPr>
        <w:t>
      Учитывая тот факт, что Актюбинская область граничит с Российской Федерацией, а также через ее территорию проходит международный транзитный коридор "Западная Европа – Западный Китай", такая трансформация эффективности производственного потенциала Актюбинской области позволит увеличить экспорт готовой продукции в другие страны.</w:t>
      </w:r>
    </w:p>
    <w:bookmarkEnd w:id="99"/>
    <w:bookmarkStart w:name="z108" w:id="100"/>
    <w:p>
      <w:pPr>
        <w:spacing w:after="0"/>
        <w:ind w:left="0"/>
        <w:jc w:val="left"/>
      </w:pPr>
      <w:r>
        <w:rPr>
          <w:rFonts w:ascii="Times New Roman"/>
          <w:b/>
          <w:i w:val="false"/>
          <w:color w:val="000000"/>
        </w:rPr>
        <w:t xml:space="preserve"> Глава 7. Функциональная организация и использование территорий</w:t>
      </w:r>
    </w:p>
    <w:bookmarkEnd w:id="100"/>
    <w:bookmarkStart w:name="z109" w:id="101"/>
    <w:p>
      <w:pPr>
        <w:spacing w:after="0"/>
        <w:ind w:left="0"/>
        <w:jc w:val="left"/>
      </w:pPr>
      <w:r>
        <w:rPr>
          <w:rFonts w:ascii="Times New Roman"/>
          <w:b/>
          <w:i w:val="false"/>
          <w:color w:val="000000"/>
        </w:rPr>
        <w:t xml:space="preserve"> Параграф 1. Основные положения</w:t>
      </w:r>
    </w:p>
    <w:bookmarkEnd w:id="101"/>
    <w:bookmarkStart w:name="z110" w:id="102"/>
    <w:p>
      <w:pPr>
        <w:spacing w:after="0"/>
        <w:ind w:left="0"/>
        <w:jc w:val="both"/>
      </w:pPr>
      <w:r>
        <w:rPr>
          <w:rFonts w:ascii="Times New Roman"/>
          <w:b w:val="false"/>
          <w:i w:val="false"/>
          <w:color w:val="000000"/>
          <w:sz w:val="28"/>
        </w:rPr>
        <w:t>
      Перспективное функционально-градостроительное зонирование территории города Актобе выполнено исходя из расчетных параметров развития города, сохранения существующей застройки, реновации неблагоустроенных ветхих малоэтажных кварталов, развития нового жилищного и промышленно-коммунального строительства, культурно-общественных, социальных объектов, объектов бытового обслуживания, перспективной транспортно-планировочной структуры, организации транспортно-пешеходных связей и полного инженерного обеспечения.</w:t>
      </w:r>
    </w:p>
    <w:bookmarkEnd w:id="102"/>
    <w:bookmarkStart w:name="z111" w:id="103"/>
    <w:p>
      <w:pPr>
        <w:spacing w:after="0"/>
        <w:ind w:left="0"/>
        <w:jc w:val="both"/>
      </w:pPr>
      <w:r>
        <w:rPr>
          <w:rFonts w:ascii="Times New Roman"/>
          <w:b w:val="false"/>
          <w:i w:val="false"/>
          <w:color w:val="000000"/>
          <w:sz w:val="28"/>
        </w:rPr>
        <w:t>
      Генеральным планом заложен принцип упорядоченности в использовании территорий: каждая функциональная зона может быть использована строго в рамках принятого проектом целевого назначения и в границах функциональной зоны.</w:t>
      </w:r>
    </w:p>
    <w:bookmarkEnd w:id="103"/>
    <w:bookmarkStart w:name="z112" w:id="104"/>
    <w:p>
      <w:pPr>
        <w:spacing w:after="0"/>
        <w:ind w:left="0"/>
        <w:jc w:val="both"/>
      </w:pPr>
      <w:r>
        <w:rPr>
          <w:rFonts w:ascii="Times New Roman"/>
          <w:b w:val="false"/>
          <w:i w:val="false"/>
          <w:color w:val="000000"/>
          <w:sz w:val="28"/>
        </w:rPr>
        <w:t>
      Генеральным планом выполнено функциональное зонирование территории и определены следующие функциональные зоны и территории:</w:t>
      </w:r>
    </w:p>
    <w:bookmarkEnd w:id="104"/>
    <w:bookmarkStart w:name="z113" w:id="105"/>
    <w:p>
      <w:pPr>
        <w:spacing w:after="0"/>
        <w:ind w:left="0"/>
        <w:jc w:val="both"/>
      </w:pPr>
      <w:r>
        <w:rPr>
          <w:rFonts w:ascii="Times New Roman"/>
          <w:b w:val="false"/>
          <w:i w:val="false"/>
          <w:color w:val="000000"/>
          <w:sz w:val="28"/>
        </w:rPr>
        <w:t>
      зона одно-трехэтажной усадебной жилой застройки;</w:t>
      </w:r>
    </w:p>
    <w:bookmarkEnd w:id="105"/>
    <w:bookmarkStart w:name="z114" w:id="106"/>
    <w:p>
      <w:pPr>
        <w:spacing w:after="0"/>
        <w:ind w:left="0"/>
        <w:jc w:val="both"/>
      </w:pPr>
      <w:r>
        <w:rPr>
          <w:rFonts w:ascii="Times New Roman"/>
          <w:b w:val="false"/>
          <w:i w:val="false"/>
          <w:color w:val="000000"/>
          <w:sz w:val="28"/>
        </w:rPr>
        <w:t>
      зона блокированной одно-трехэтажной жилой застройки с участками;</w:t>
      </w:r>
    </w:p>
    <w:bookmarkEnd w:id="106"/>
    <w:bookmarkStart w:name="z115" w:id="107"/>
    <w:p>
      <w:pPr>
        <w:spacing w:after="0"/>
        <w:ind w:left="0"/>
        <w:jc w:val="both"/>
      </w:pPr>
      <w:r>
        <w:rPr>
          <w:rFonts w:ascii="Times New Roman"/>
          <w:b w:val="false"/>
          <w:i w:val="false"/>
          <w:color w:val="000000"/>
          <w:sz w:val="28"/>
        </w:rPr>
        <w:t>
      зона блокированной одно-трехэтажной жилой застройки без участка;</w:t>
      </w:r>
    </w:p>
    <w:bookmarkEnd w:id="107"/>
    <w:bookmarkStart w:name="z116" w:id="108"/>
    <w:p>
      <w:pPr>
        <w:spacing w:after="0"/>
        <w:ind w:left="0"/>
        <w:jc w:val="both"/>
      </w:pPr>
      <w:r>
        <w:rPr>
          <w:rFonts w:ascii="Times New Roman"/>
          <w:b w:val="false"/>
          <w:i w:val="false"/>
          <w:color w:val="000000"/>
          <w:sz w:val="28"/>
        </w:rPr>
        <w:t>
      зона многоэтажной (4-8 этажный) жилой застройки;</w:t>
      </w:r>
    </w:p>
    <w:bookmarkEnd w:id="108"/>
    <w:bookmarkStart w:name="z117" w:id="109"/>
    <w:p>
      <w:pPr>
        <w:spacing w:after="0"/>
        <w:ind w:left="0"/>
        <w:jc w:val="both"/>
      </w:pPr>
      <w:r>
        <w:rPr>
          <w:rFonts w:ascii="Times New Roman"/>
          <w:b w:val="false"/>
          <w:i w:val="false"/>
          <w:color w:val="000000"/>
          <w:sz w:val="28"/>
        </w:rPr>
        <w:t>
      зона многоэтажной высотной (9-16 этажный) жилой застройки;</w:t>
      </w:r>
    </w:p>
    <w:bookmarkEnd w:id="109"/>
    <w:bookmarkStart w:name="z118" w:id="110"/>
    <w:p>
      <w:pPr>
        <w:spacing w:after="0"/>
        <w:ind w:left="0"/>
        <w:jc w:val="both"/>
      </w:pPr>
      <w:r>
        <w:rPr>
          <w:rFonts w:ascii="Times New Roman"/>
          <w:b w:val="false"/>
          <w:i w:val="false"/>
          <w:color w:val="000000"/>
          <w:sz w:val="28"/>
        </w:rPr>
        <w:t>
      общественно-деловая зона;</w:t>
      </w:r>
    </w:p>
    <w:bookmarkEnd w:id="110"/>
    <w:bookmarkStart w:name="z119" w:id="111"/>
    <w:p>
      <w:pPr>
        <w:spacing w:after="0"/>
        <w:ind w:left="0"/>
        <w:jc w:val="both"/>
      </w:pPr>
      <w:r>
        <w:rPr>
          <w:rFonts w:ascii="Times New Roman"/>
          <w:b w:val="false"/>
          <w:i w:val="false"/>
          <w:color w:val="000000"/>
          <w:sz w:val="28"/>
        </w:rPr>
        <w:t>
      зеленые насаждения общего пользования;</w:t>
      </w:r>
    </w:p>
    <w:bookmarkEnd w:id="111"/>
    <w:bookmarkStart w:name="z120" w:id="112"/>
    <w:p>
      <w:pPr>
        <w:spacing w:after="0"/>
        <w:ind w:left="0"/>
        <w:jc w:val="both"/>
      </w:pPr>
      <w:r>
        <w:rPr>
          <w:rFonts w:ascii="Times New Roman"/>
          <w:b w:val="false"/>
          <w:i w:val="false"/>
          <w:color w:val="000000"/>
          <w:sz w:val="28"/>
        </w:rPr>
        <w:t>
      зона инженерно-транспортных коридоров;</w:t>
      </w:r>
    </w:p>
    <w:bookmarkEnd w:id="112"/>
    <w:bookmarkStart w:name="z121" w:id="113"/>
    <w:p>
      <w:pPr>
        <w:spacing w:after="0"/>
        <w:ind w:left="0"/>
        <w:jc w:val="both"/>
      </w:pPr>
      <w:r>
        <w:rPr>
          <w:rFonts w:ascii="Times New Roman"/>
          <w:b w:val="false"/>
          <w:i w:val="false"/>
          <w:color w:val="000000"/>
          <w:sz w:val="28"/>
        </w:rPr>
        <w:t>
      производственная и коммунальная зона;</w:t>
      </w:r>
    </w:p>
    <w:bookmarkEnd w:id="113"/>
    <w:bookmarkStart w:name="z122" w:id="114"/>
    <w:p>
      <w:pPr>
        <w:spacing w:after="0"/>
        <w:ind w:left="0"/>
        <w:jc w:val="both"/>
      </w:pPr>
      <w:r>
        <w:rPr>
          <w:rFonts w:ascii="Times New Roman"/>
          <w:b w:val="false"/>
          <w:i w:val="false"/>
          <w:color w:val="000000"/>
          <w:sz w:val="28"/>
        </w:rPr>
        <w:t>
      водоохранная зона и полоса;</w:t>
      </w:r>
    </w:p>
    <w:bookmarkEnd w:id="114"/>
    <w:bookmarkStart w:name="z123" w:id="115"/>
    <w:p>
      <w:pPr>
        <w:spacing w:after="0"/>
        <w:ind w:left="0"/>
        <w:jc w:val="both"/>
      </w:pPr>
      <w:r>
        <w:rPr>
          <w:rFonts w:ascii="Times New Roman"/>
          <w:b w:val="false"/>
          <w:i w:val="false"/>
          <w:color w:val="000000"/>
          <w:sz w:val="28"/>
        </w:rPr>
        <w:t>
      санитарно-защитные зоны;</w:t>
      </w:r>
    </w:p>
    <w:bookmarkEnd w:id="115"/>
    <w:bookmarkStart w:name="z124" w:id="116"/>
    <w:p>
      <w:pPr>
        <w:spacing w:after="0"/>
        <w:ind w:left="0"/>
        <w:jc w:val="both"/>
      </w:pPr>
      <w:r>
        <w:rPr>
          <w:rFonts w:ascii="Times New Roman"/>
          <w:b w:val="false"/>
          <w:i w:val="false"/>
          <w:color w:val="000000"/>
          <w:sz w:val="28"/>
        </w:rPr>
        <w:t>
      рекреационные зоны;</w:t>
      </w:r>
    </w:p>
    <w:bookmarkEnd w:id="116"/>
    <w:bookmarkStart w:name="z125" w:id="117"/>
    <w:p>
      <w:pPr>
        <w:spacing w:after="0"/>
        <w:ind w:left="0"/>
        <w:jc w:val="both"/>
      </w:pPr>
      <w:r>
        <w:rPr>
          <w:rFonts w:ascii="Times New Roman"/>
          <w:b w:val="false"/>
          <w:i w:val="false"/>
          <w:color w:val="000000"/>
          <w:sz w:val="28"/>
        </w:rPr>
        <w:t>
      зоны планировочных ограничений и санитарно-защитные зоны.</w:t>
      </w:r>
    </w:p>
    <w:bookmarkEnd w:id="117"/>
    <w:bookmarkStart w:name="z126" w:id="118"/>
    <w:p>
      <w:pPr>
        <w:spacing w:after="0"/>
        <w:ind w:left="0"/>
        <w:jc w:val="both"/>
      </w:pPr>
      <w:r>
        <w:rPr>
          <w:rFonts w:ascii="Times New Roman"/>
          <w:b w:val="false"/>
          <w:i w:val="false"/>
          <w:color w:val="000000"/>
          <w:sz w:val="28"/>
        </w:rPr>
        <w:t>
      Границы функциональных зон должны отвечать требованиям принадлежности каждого земельного участка только к одной территориальной зоне. Градостроительные регламенты функциональных зон и регламенты использования территории с особыми условиями включают в себя: функциональное назначение, основания и порядок установления границ регламентируемых территорий, правовой статус территорий, запрещенные и разрешенные виды деятельности.</w:t>
      </w:r>
    </w:p>
    <w:bookmarkEnd w:id="118"/>
    <w:bookmarkStart w:name="z127" w:id="119"/>
    <w:p>
      <w:pPr>
        <w:spacing w:after="0"/>
        <w:ind w:left="0"/>
        <w:jc w:val="both"/>
      </w:pPr>
      <w:r>
        <w:rPr>
          <w:rFonts w:ascii="Times New Roman"/>
          <w:b w:val="false"/>
          <w:i w:val="false"/>
          <w:color w:val="000000"/>
          <w:sz w:val="28"/>
        </w:rPr>
        <w:t>
      Объекты, не соответствующие функции зоны, не предусматриваются к размещению, независимо от форм собственности.</w:t>
      </w:r>
    </w:p>
    <w:bookmarkEnd w:id="119"/>
    <w:bookmarkStart w:name="z128" w:id="120"/>
    <w:p>
      <w:pPr>
        <w:spacing w:after="0"/>
        <w:ind w:left="0"/>
        <w:jc w:val="both"/>
      </w:pPr>
      <w:r>
        <w:rPr>
          <w:rFonts w:ascii="Times New Roman"/>
          <w:b w:val="false"/>
          <w:i w:val="false"/>
          <w:color w:val="000000"/>
          <w:sz w:val="28"/>
        </w:rPr>
        <w:t>
      Жилая зона предназначена для размещения жилищного фонда, объектов социальной сферы, общественных зданий и сооружений,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путей внутригородского сообщения, улиц, площадей, парков, садов, бульваров, зеленых насаждений и других мест общего пользования. В ней запрещено строительство промышленных, транспортных и иных предприятий, загрязняющих окружающую среду.</w:t>
      </w:r>
    </w:p>
    <w:bookmarkEnd w:id="120"/>
    <w:bookmarkStart w:name="z129" w:id="121"/>
    <w:p>
      <w:pPr>
        <w:spacing w:after="0"/>
        <w:ind w:left="0"/>
        <w:jc w:val="both"/>
      </w:pPr>
      <w:r>
        <w:rPr>
          <w:rFonts w:ascii="Times New Roman"/>
          <w:b w:val="false"/>
          <w:i w:val="false"/>
          <w:color w:val="000000"/>
          <w:sz w:val="28"/>
        </w:rPr>
        <w:t>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и среднего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bookmarkEnd w:id="121"/>
    <w:bookmarkStart w:name="z130" w:id="122"/>
    <w:p>
      <w:pPr>
        <w:spacing w:after="0"/>
        <w:ind w:left="0"/>
        <w:jc w:val="both"/>
      </w:pPr>
      <w:r>
        <w:rPr>
          <w:rFonts w:ascii="Times New Roman"/>
          <w:b w:val="false"/>
          <w:i w:val="false"/>
          <w:color w:val="000000"/>
          <w:sz w:val="28"/>
        </w:rPr>
        <w:t>
      Жилая зона города Актобе предназначается для застройки среднеэтажными жилыми домами, многоэтажными жилыми домами, а также для строительства жилых комплексов переменной этажности. В городе сохраняются 1-3-х этажная индивидуальная жилая застройка с приусадебными участками, малоэтажная блокированная жилая застройка городского типа.</w:t>
      </w:r>
    </w:p>
    <w:bookmarkEnd w:id="122"/>
    <w:bookmarkStart w:name="z131" w:id="123"/>
    <w:p>
      <w:pPr>
        <w:spacing w:after="0"/>
        <w:ind w:left="0"/>
        <w:jc w:val="both"/>
      </w:pPr>
      <w:r>
        <w:rPr>
          <w:rFonts w:ascii="Times New Roman"/>
          <w:b w:val="false"/>
          <w:i w:val="false"/>
          <w:color w:val="000000"/>
          <w:sz w:val="28"/>
        </w:rPr>
        <w:t>
      Система сложившегося общественного центра города Актобе является важнейшим структурообразующим элементом города, состоящим из объектов общественного назначения, социального и культурно-бытового обслуживания, объединенных между собой в единую систему общегородских и районных центров озелененными бульварами и скверами. Общественные зоны, предлагаемые Генеральным планом, в которых сосредоточены объекты культуры, искусства, управления, торговли, общественного питания, культурно-бытового обслуживания, отдыха и развлечений, культовые объекты, являются не только фокусами социальной активности населения, но и узнаваемыми якорными "узлами" планировочной структуры города.</w:t>
      </w:r>
    </w:p>
    <w:bookmarkEnd w:id="123"/>
    <w:bookmarkStart w:name="z132" w:id="124"/>
    <w:p>
      <w:pPr>
        <w:spacing w:after="0"/>
        <w:ind w:left="0"/>
        <w:jc w:val="both"/>
      </w:pPr>
      <w:r>
        <w:rPr>
          <w:rFonts w:ascii="Times New Roman"/>
          <w:b w:val="false"/>
          <w:i w:val="false"/>
          <w:color w:val="000000"/>
          <w:sz w:val="28"/>
        </w:rPr>
        <w:t>
      Данная зона предназначается для обеспечения условий формирования территории города Актобе объектами общественного назначения. В общественно-деловой зоне размещаются общественные здания и сооружения областного и городского значения, зеленые насаждения общего пользования, открытые стоянки транспорта при указанных объектах.</w:t>
      </w:r>
    </w:p>
    <w:bookmarkEnd w:id="124"/>
    <w:bookmarkStart w:name="z133" w:id="125"/>
    <w:p>
      <w:pPr>
        <w:spacing w:after="0"/>
        <w:ind w:left="0"/>
        <w:jc w:val="both"/>
      </w:pPr>
      <w:r>
        <w:rPr>
          <w:rFonts w:ascii="Times New Roman"/>
          <w:b w:val="false"/>
          <w:i w:val="false"/>
          <w:color w:val="000000"/>
          <w:sz w:val="28"/>
        </w:rPr>
        <w:t>
      Две промышленные зоны – северная и южная включают существующие промышленные объекты, имеют возможности дальнейшего территориального и экономического развития. Производственная, логистическая и коммунальная зоны предназначены для размещения коммунальных и складских объектов, производственных предприятий и связанных с ними объектов, комплексов научных учреждений с их опытными производствами, коммунально-складских объектов, сооружений инженерной инфраструктуры, обеспечивающих функционирование производственных зон города, сооружений транспортной инфраструктуры и транспортных связей городского и внешнего сообщений.</w:t>
      </w:r>
    </w:p>
    <w:bookmarkEnd w:id="125"/>
    <w:bookmarkStart w:name="z134" w:id="126"/>
    <w:p>
      <w:pPr>
        <w:spacing w:after="0"/>
        <w:ind w:left="0"/>
        <w:jc w:val="both"/>
      </w:pPr>
      <w:r>
        <w:rPr>
          <w:rFonts w:ascii="Times New Roman"/>
          <w:b w:val="false"/>
          <w:i w:val="false"/>
          <w:color w:val="000000"/>
          <w:sz w:val="28"/>
        </w:rPr>
        <w:t>
      Производственно-коммунальные зоны увязаны единой системой улично-дорожной сети со всеми функциональными зонами. Сохраняемые производственные предприятия подлежат реконструкции и модернизации, организации санитарно-защитных зон. Предусматриваются дальнейшее развитие промышленных территорий и создание санитарно-защитных зон.</w:t>
      </w:r>
    </w:p>
    <w:bookmarkEnd w:id="126"/>
    <w:bookmarkStart w:name="z135" w:id="127"/>
    <w:p>
      <w:pPr>
        <w:spacing w:after="0"/>
        <w:ind w:left="0"/>
        <w:jc w:val="both"/>
      </w:pPr>
      <w:r>
        <w:rPr>
          <w:rFonts w:ascii="Times New Roman"/>
          <w:b w:val="false"/>
          <w:i w:val="false"/>
          <w:color w:val="000000"/>
          <w:sz w:val="28"/>
        </w:rPr>
        <w:t>
      На территории города Актобе предусматриваются создание полноценных современных рекреационных зон вдоль озелененных пойм рек с благоустройством и организацией объектов обслуживания, также формирование градостроительных пространств с объектами физкультурно-оздоровительного назначения и создание системы различных тематических парков.</w:t>
      </w:r>
    </w:p>
    <w:bookmarkEnd w:id="127"/>
    <w:bookmarkStart w:name="z136" w:id="128"/>
    <w:p>
      <w:pPr>
        <w:spacing w:after="0"/>
        <w:ind w:left="0"/>
        <w:jc w:val="both"/>
      </w:pPr>
      <w:r>
        <w:rPr>
          <w:rFonts w:ascii="Times New Roman"/>
          <w:b w:val="false"/>
          <w:i w:val="false"/>
          <w:color w:val="000000"/>
          <w:sz w:val="28"/>
        </w:rPr>
        <w:t>
      Архитектурно-планировочная структура с системой застройки, системой зеленых насаждений, сетью прогулочных пешеходных дорог и проездов основывается на принятом функциональном зонировании территории города.</w:t>
      </w:r>
    </w:p>
    <w:bookmarkEnd w:id="128"/>
    <w:bookmarkStart w:name="z137" w:id="129"/>
    <w:p>
      <w:pPr>
        <w:spacing w:after="0"/>
        <w:ind w:left="0"/>
        <w:jc w:val="both"/>
      </w:pPr>
      <w:r>
        <w:rPr>
          <w:rFonts w:ascii="Times New Roman"/>
          <w:b w:val="false"/>
          <w:i w:val="false"/>
          <w:color w:val="000000"/>
          <w:sz w:val="28"/>
        </w:rPr>
        <w:t>
      Генеральным планом предусмотрены санитарно-защитные зоны – территории, отделяющие промышленные предприятия, производственные, коммунальные и складские объекты, а также объекты специального назначения (кладбища, очаги особо опасных заболеваний)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29"/>
    <w:bookmarkStart w:name="z138" w:id="130"/>
    <w:p>
      <w:pPr>
        <w:spacing w:after="0"/>
        <w:ind w:left="0"/>
        <w:jc w:val="both"/>
      </w:pPr>
      <w:r>
        <w:rPr>
          <w:rFonts w:ascii="Times New Roman"/>
          <w:b w:val="false"/>
          <w:i w:val="false"/>
          <w:color w:val="000000"/>
          <w:sz w:val="28"/>
        </w:rPr>
        <w:t>
      Это специальные территории с особым режимом использования, которые устанавливаются вокруг объектов коммунального и производственного назначения, являющихся источниками воздействия на среду обитания и здоровье человека. Размер санитарно-защитной зоны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bookmarkEnd w:id="130"/>
    <w:bookmarkStart w:name="z139" w:id="131"/>
    <w:p>
      <w:pPr>
        <w:spacing w:after="0"/>
        <w:ind w:left="0"/>
        <w:jc w:val="both"/>
      </w:pPr>
      <w:r>
        <w:rPr>
          <w:rFonts w:ascii="Times New Roman"/>
          <w:b w:val="false"/>
          <w:i w:val="false"/>
          <w:color w:val="000000"/>
          <w:sz w:val="28"/>
        </w:rPr>
        <w:t>
      Санитарно-защитная зона предназначается для обеспечения условий формирования экологически благоприятной среды жизнедеятельности населения. В пределах санитарно-защитной зоны ограничиваются или запрещаются те виды деятельности, которые не совместимы с целями установления зон.</w:t>
      </w:r>
    </w:p>
    <w:bookmarkEnd w:id="131"/>
    <w:bookmarkStart w:name="z140" w:id="132"/>
    <w:p>
      <w:pPr>
        <w:spacing w:after="0"/>
        <w:ind w:left="0"/>
        <w:jc w:val="both"/>
      </w:pPr>
      <w:r>
        <w:rPr>
          <w:rFonts w:ascii="Times New Roman"/>
          <w:b w:val="false"/>
          <w:i w:val="false"/>
          <w:color w:val="000000"/>
          <w:sz w:val="28"/>
        </w:rPr>
        <w:t>
      Размер санитарно-защитной зоны обеспечивает взаимную безопасность существования объекта и окружающей среды.</w:t>
      </w:r>
    </w:p>
    <w:bookmarkEnd w:id="132"/>
    <w:bookmarkStart w:name="z141" w:id="133"/>
    <w:p>
      <w:pPr>
        <w:spacing w:after="0"/>
        <w:ind w:left="0"/>
        <w:jc w:val="left"/>
      </w:pPr>
      <w:r>
        <w:rPr>
          <w:rFonts w:ascii="Times New Roman"/>
          <w:b/>
          <w:i w:val="false"/>
          <w:color w:val="000000"/>
        </w:rPr>
        <w:t xml:space="preserve"> Параграф 2. Развитие пригородных зон</w:t>
      </w:r>
    </w:p>
    <w:bookmarkEnd w:id="133"/>
    <w:bookmarkStart w:name="z142" w:id="134"/>
    <w:p>
      <w:pPr>
        <w:spacing w:after="0"/>
        <w:ind w:left="0"/>
        <w:jc w:val="both"/>
      </w:pPr>
      <w:r>
        <w:rPr>
          <w:rFonts w:ascii="Times New Roman"/>
          <w:b w:val="false"/>
          <w:i w:val="false"/>
          <w:color w:val="000000"/>
          <w:sz w:val="28"/>
        </w:rPr>
        <w:t>
      В пределы городской черты были включены землепользования граждан и предприятий, ведущих сельское хозяйство (сельскохозяйственные товаропроизводители, крестьянские и фермерские хозяйства, кооперативы и др.). Предполагается их дальнейшее участие в производстве сельскохозяйственной продукции. Включение земельных участков в черту города Актобе не влечет прекращения права пользования ими прежних землепользователей и землевладельцев. Несмотря на обоснованное включение их в пределы городской черты, до тех пор пока не будут застроены или переведены в разряд земель общего пользования, они подлежат использованию в сельскохозяйственных целях.</w:t>
      </w:r>
    </w:p>
    <w:bookmarkEnd w:id="134"/>
    <w:bookmarkStart w:name="z143" w:id="135"/>
    <w:p>
      <w:pPr>
        <w:spacing w:after="0"/>
        <w:ind w:left="0"/>
        <w:jc w:val="both"/>
      </w:pPr>
      <w:r>
        <w:rPr>
          <w:rFonts w:ascii="Times New Roman"/>
          <w:b w:val="false"/>
          <w:i w:val="false"/>
          <w:color w:val="000000"/>
          <w:sz w:val="28"/>
        </w:rPr>
        <w:t>
      Генеральным планом предлагается сохранить внешние границы города, внутреннее деление города на районы, предлагаемое Генеральным планом зонирование территории с выделением селитебной, внеселитебных зон, границ территорий существующих сельских населенных пунктов, различной застройки, целевых зон, общего пользования, озеленения, с перспективой их развития, оставшиеся территории максимально использовать для развития основных отраслей сельского хозяйства как растениеводства, так и животноводства, специализируя их основную деятельность на производстве продуктов питания.</w:t>
      </w:r>
    </w:p>
    <w:bookmarkEnd w:id="135"/>
    <w:bookmarkStart w:name="z144" w:id="136"/>
    <w:p>
      <w:pPr>
        <w:spacing w:after="0"/>
        <w:ind w:left="0"/>
        <w:jc w:val="both"/>
      </w:pPr>
      <w:r>
        <w:rPr>
          <w:rFonts w:ascii="Times New Roman"/>
          <w:b w:val="false"/>
          <w:i w:val="false"/>
          <w:color w:val="000000"/>
          <w:sz w:val="28"/>
        </w:rPr>
        <w:t>
      Для этого Генеральным планом предусмотрено разделение территории города Актобе на зоны по пространственно-функциональному признаку:</w:t>
      </w:r>
    </w:p>
    <w:bookmarkEnd w:id="136"/>
    <w:bookmarkStart w:name="z145" w:id="137"/>
    <w:p>
      <w:pPr>
        <w:spacing w:after="0"/>
        <w:ind w:left="0"/>
        <w:jc w:val="both"/>
      </w:pPr>
      <w:r>
        <w:rPr>
          <w:rFonts w:ascii="Times New Roman"/>
          <w:b w:val="false"/>
          <w:i w:val="false"/>
          <w:color w:val="000000"/>
          <w:sz w:val="28"/>
        </w:rPr>
        <w:t>
      1. Центральная часть, включающая исторический центр города Актобе и территории, ограниченные малой автомобильной кольцевой дорогой, является зоной с многоэтажной и среднеэтажной застройкой.</w:t>
      </w:r>
    </w:p>
    <w:bookmarkEnd w:id="137"/>
    <w:bookmarkStart w:name="z146" w:id="138"/>
    <w:p>
      <w:pPr>
        <w:spacing w:after="0"/>
        <w:ind w:left="0"/>
        <w:jc w:val="both"/>
      </w:pPr>
      <w:r>
        <w:rPr>
          <w:rFonts w:ascii="Times New Roman"/>
          <w:b w:val="false"/>
          <w:i w:val="false"/>
          <w:color w:val="000000"/>
          <w:sz w:val="28"/>
        </w:rPr>
        <w:t>
      2. Вторая зона, ограниченная Большой кольцевой автомобильной дорогой, является зоной среднеэтажной застройки, а также в ней расположены промышленные предприятия, рекреация.</w:t>
      </w:r>
    </w:p>
    <w:bookmarkEnd w:id="138"/>
    <w:bookmarkStart w:name="z147" w:id="139"/>
    <w:p>
      <w:pPr>
        <w:spacing w:after="0"/>
        <w:ind w:left="0"/>
        <w:jc w:val="both"/>
      </w:pPr>
      <w:r>
        <w:rPr>
          <w:rFonts w:ascii="Times New Roman"/>
          <w:b w:val="false"/>
          <w:i w:val="false"/>
          <w:color w:val="000000"/>
          <w:sz w:val="28"/>
        </w:rPr>
        <w:t>
      3. Зона сельского расселения и сельскохозяйственного производства (пригородная зона города Актобе, расположенная внутри городской черты), ограниченная административной границей города Актобе. На данной территории предусмотрена усадебная застройка.</w:t>
      </w:r>
    </w:p>
    <w:bookmarkEnd w:id="139"/>
    <w:bookmarkStart w:name="z148" w:id="140"/>
    <w:p>
      <w:pPr>
        <w:spacing w:after="0"/>
        <w:ind w:left="0"/>
        <w:jc w:val="both"/>
      </w:pPr>
      <w:r>
        <w:rPr>
          <w:rFonts w:ascii="Times New Roman"/>
          <w:b w:val="false"/>
          <w:i w:val="false"/>
          <w:color w:val="000000"/>
          <w:sz w:val="28"/>
        </w:rPr>
        <w:t>
      В третьей зоне расположена большая часть земель сельскохозяйственного назначения. До недавнего времени на данных территориях располагались сельские округа, которые были упразднены в 2018 году путем включения их территорий в состав города Актобе.</w:t>
      </w:r>
    </w:p>
    <w:bookmarkEnd w:id="140"/>
    <w:bookmarkStart w:name="z149" w:id="141"/>
    <w:p>
      <w:pPr>
        <w:spacing w:after="0"/>
        <w:ind w:left="0"/>
        <w:jc w:val="both"/>
      </w:pPr>
      <w:r>
        <w:rPr>
          <w:rFonts w:ascii="Times New Roman"/>
          <w:b w:val="false"/>
          <w:i w:val="false"/>
          <w:color w:val="000000"/>
          <w:sz w:val="28"/>
        </w:rPr>
        <w:t xml:space="preserve">
      В соответствии с пунктом 3 статьи 107 Земельного кодекса Республики Казахстан,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6 Закона Республики Казахстан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Генеральным планом предлагается: для земельных участков сельскохозяйственного назначения, вошедших в границы города Актобе, установить иную функциональную зону сельскохозяйственного использования; резервные и иные (пригородные) зоны,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 с предоставлением мер социальной поддержки.</w:t>
      </w:r>
    </w:p>
    <w:bookmarkEnd w:id="141"/>
    <w:bookmarkStart w:name="z150" w:id="142"/>
    <w:p>
      <w:pPr>
        <w:spacing w:after="0"/>
        <w:ind w:left="0"/>
        <w:jc w:val="left"/>
      </w:pPr>
      <w:r>
        <w:rPr>
          <w:rFonts w:ascii="Times New Roman"/>
          <w:b/>
          <w:i w:val="false"/>
          <w:color w:val="000000"/>
        </w:rPr>
        <w:t xml:space="preserve"> Параграф 3. Основные регламенты функциональных зон</w:t>
      </w:r>
    </w:p>
    <w:bookmarkEnd w:id="142"/>
    <w:bookmarkStart w:name="z151" w:id="143"/>
    <w:p>
      <w:pPr>
        <w:spacing w:after="0"/>
        <w:ind w:left="0"/>
        <w:jc w:val="both"/>
      </w:pPr>
      <w:r>
        <w:rPr>
          <w:rFonts w:ascii="Times New Roman"/>
          <w:b w:val="false"/>
          <w:i w:val="false"/>
          <w:color w:val="000000"/>
          <w:sz w:val="28"/>
        </w:rPr>
        <w:t>
      Формирование полноценной среды жизнедеятельности напрямую связано с четкой реализацией решений Генерального плана. Для создания гармоничного, эстетичного пространства города Актобе необходимо соблюдение градостроительных регламентов и последовательности разработки градостроительной и проектной документации.</w:t>
      </w:r>
    </w:p>
    <w:bookmarkEnd w:id="143"/>
    <w:bookmarkStart w:name="z152" w:id="144"/>
    <w:p>
      <w:pPr>
        <w:spacing w:after="0"/>
        <w:ind w:left="0"/>
        <w:jc w:val="both"/>
      </w:pPr>
      <w:r>
        <w:rPr>
          <w:rFonts w:ascii="Times New Roman"/>
          <w:b w:val="false"/>
          <w:i w:val="false"/>
          <w:color w:val="000000"/>
          <w:sz w:val="28"/>
        </w:rPr>
        <w:t>
      Основные регламенты Генерального плана устанавливают зоны функционального использования территории и градостроительные регламенты, определяющие виды, параметры и ограничения их использования.</w:t>
      </w:r>
    </w:p>
    <w:bookmarkEnd w:id="144"/>
    <w:bookmarkStart w:name="z153" w:id="145"/>
    <w:p>
      <w:pPr>
        <w:spacing w:after="0"/>
        <w:ind w:left="0"/>
        <w:jc w:val="both"/>
      </w:pPr>
      <w:r>
        <w:rPr>
          <w:rFonts w:ascii="Times New Roman"/>
          <w:b w:val="false"/>
          <w:i w:val="false"/>
          <w:color w:val="000000"/>
          <w:sz w:val="28"/>
        </w:rPr>
        <w:t>
      Регламенты функциональных зон применяются при оценке землепользования и связанной с ним недвижимости для налогообложения, арендной платы и других платежей, решении вопросов об отводе земельного участка, рассмотрении и согласовании проектов строительства и размещения различного рода сооружений, выдаче разрешений на строительство объектов.</w:t>
      </w:r>
    </w:p>
    <w:bookmarkEnd w:id="145"/>
    <w:bookmarkStart w:name="z154" w:id="146"/>
    <w:p>
      <w:pPr>
        <w:spacing w:after="0"/>
        <w:ind w:left="0"/>
        <w:jc w:val="both"/>
      </w:pPr>
      <w:r>
        <w:rPr>
          <w:rFonts w:ascii="Times New Roman"/>
          <w:b w:val="false"/>
          <w:i w:val="false"/>
          <w:color w:val="000000"/>
          <w:sz w:val="28"/>
        </w:rPr>
        <w:t>
      Общие регламенты функциональных зон также применяются при дальнейшей реализации проектных решений Генерального плана.</w:t>
      </w:r>
    </w:p>
    <w:bookmarkEnd w:id="146"/>
    <w:bookmarkStart w:name="z155" w:id="147"/>
    <w:p>
      <w:pPr>
        <w:spacing w:after="0"/>
        <w:ind w:left="0"/>
        <w:jc w:val="both"/>
      </w:pPr>
      <w:r>
        <w:rPr>
          <w:rFonts w:ascii="Times New Roman"/>
          <w:b w:val="false"/>
          <w:i w:val="false"/>
          <w:color w:val="000000"/>
          <w:sz w:val="28"/>
        </w:rPr>
        <w:t>
      Главными регламентами, которые необходимо соблюдать при реализации проектных решений Генерального плана, являются:</w:t>
      </w:r>
    </w:p>
    <w:bookmarkEnd w:id="147"/>
    <w:bookmarkStart w:name="z156" w:id="148"/>
    <w:p>
      <w:pPr>
        <w:spacing w:after="0"/>
        <w:ind w:left="0"/>
        <w:jc w:val="both"/>
      </w:pPr>
      <w:r>
        <w:rPr>
          <w:rFonts w:ascii="Times New Roman"/>
          <w:b w:val="false"/>
          <w:i w:val="false"/>
          <w:color w:val="000000"/>
          <w:sz w:val="28"/>
        </w:rPr>
        <w:t>
      регламент по соблюдению функционального назначения зоны, в которой размещается объект;</w:t>
      </w:r>
    </w:p>
    <w:bookmarkEnd w:id="148"/>
    <w:bookmarkStart w:name="z157" w:id="149"/>
    <w:p>
      <w:pPr>
        <w:spacing w:after="0"/>
        <w:ind w:left="0"/>
        <w:jc w:val="both"/>
      </w:pPr>
      <w:r>
        <w:rPr>
          <w:rFonts w:ascii="Times New Roman"/>
          <w:b w:val="false"/>
          <w:i w:val="false"/>
          <w:color w:val="000000"/>
          <w:sz w:val="28"/>
        </w:rPr>
        <w:t>
      регламент по соблюдению границ функциональных зон;</w:t>
      </w:r>
    </w:p>
    <w:bookmarkEnd w:id="149"/>
    <w:bookmarkStart w:name="z158" w:id="150"/>
    <w:p>
      <w:pPr>
        <w:spacing w:after="0"/>
        <w:ind w:left="0"/>
        <w:jc w:val="both"/>
      </w:pPr>
      <w:r>
        <w:rPr>
          <w:rFonts w:ascii="Times New Roman"/>
          <w:b w:val="false"/>
          <w:i w:val="false"/>
          <w:color w:val="000000"/>
          <w:sz w:val="28"/>
        </w:rPr>
        <w:t>
      регламент по соблюдению красных линий улиц и дорог;</w:t>
      </w:r>
    </w:p>
    <w:bookmarkEnd w:id="150"/>
    <w:bookmarkStart w:name="z159" w:id="151"/>
    <w:p>
      <w:pPr>
        <w:spacing w:after="0"/>
        <w:ind w:left="0"/>
        <w:jc w:val="both"/>
      </w:pPr>
      <w:r>
        <w:rPr>
          <w:rFonts w:ascii="Times New Roman"/>
          <w:b w:val="false"/>
          <w:i w:val="false"/>
          <w:color w:val="000000"/>
          <w:sz w:val="28"/>
        </w:rPr>
        <w:t>
      регламент по соблюдению объемов жилищно-гражданского строительства в первичных структурных единицах;</w:t>
      </w:r>
    </w:p>
    <w:bookmarkEnd w:id="151"/>
    <w:bookmarkStart w:name="z160" w:id="152"/>
    <w:p>
      <w:pPr>
        <w:spacing w:after="0"/>
        <w:ind w:left="0"/>
        <w:jc w:val="both"/>
      </w:pPr>
      <w:r>
        <w:rPr>
          <w:rFonts w:ascii="Times New Roman"/>
          <w:b w:val="false"/>
          <w:i w:val="false"/>
          <w:color w:val="000000"/>
          <w:sz w:val="28"/>
        </w:rPr>
        <w:t>
      регламент по соблюдению охранных зон инженерных сетей и производственных предприятий.</w:t>
      </w:r>
    </w:p>
    <w:bookmarkEnd w:id="152"/>
    <w:bookmarkStart w:name="z161" w:id="153"/>
    <w:p>
      <w:pPr>
        <w:spacing w:after="0"/>
        <w:ind w:left="0"/>
        <w:jc w:val="both"/>
      </w:pPr>
      <w:r>
        <w:rPr>
          <w:rFonts w:ascii="Times New Roman"/>
          <w:b w:val="false"/>
          <w:i w:val="false"/>
          <w:color w:val="000000"/>
          <w:sz w:val="28"/>
        </w:rPr>
        <w:t>
      Каждая функционально-градостроительная зона по использованию территорий имеет свое целевое назначение и может быть использована на перспективу строго в рамках данного целевого назначения и в границах данной функциональной зоны.</w:t>
      </w:r>
    </w:p>
    <w:bookmarkEnd w:id="153"/>
    <w:bookmarkStart w:name="z162" w:id="154"/>
    <w:p>
      <w:pPr>
        <w:spacing w:after="0"/>
        <w:ind w:left="0"/>
        <w:jc w:val="both"/>
      </w:pPr>
      <w:r>
        <w:rPr>
          <w:rFonts w:ascii="Times New Roman"/>
          <w:b w:val="false"/>
          <w:i w:val="false"/>
          <w:color w:val="000000"/>
          <w:sz w:val="28"/>
        </w:rPr>
        <w:t>
      В зонах могут быть предусмотрены участки сопутствующих основной функции объектов, а также территории под проездами, стоянками, зелеными насаждениями, малыми архитектурными формами, объектами инженерного обеспечения.</w:t>
      </w:r>
    </w:p>
    <w:bookmarkEnd w:id="154"/>
    <w:bookmarkStart w:name="z163" w:id="155"/>
    <w:p>
      <w:pPr>
        <w:spacing w:after="0"/>
        <w:ind w:left="0"/>
        <w:jc w:val="both"/>
      </w:pPr>
      <w:r>
        <w:rPr>
          <w:rFonts w:ascii="Times New Roman"/>
          <w:b w:val="false"/>
          <w:i w:val="false"/>
          <w:color w:val="000000"/>
          <w:sz w:val="28"/>
        </w:rPr>
        <w:t>
      Объекты, не соответствующие функции зоны, не предусматриваются к размещению, независимо от форм собственности. В зоне жилой застройки также должна быть соблюдена регламентируемая Генеральным планом этажность зданий.</w:t>
      </w:r>
    </w:p>
    <w:bookmarkEnd w:id="155"/>
    <w:bookmarkStart w:name="z164" w:id="156"/>
    <w:p>
      <w:pPr>
        <w:spacing w:after="0"/>
        <w:ind w:left="0"/>
        <w:jc w:val="left"/>
      </w:pPr>
      <w:r>
        <w:rPr>
          <w:rFonts w:ascii="Times New Roman"/>
          <w:b/>
          <w:i w:val="false"/>
          <w:color w:val="000000"/>
        </w:rPr>
        <w:t xml:space="preserve"> Глава 8. Пространственная организация территории</w:t>
      </w:r>
    </w:p>
    <w:bookmarkEnd w:id="156"/>
    <w:bookmarkStart w:name="z165" w:id="157"/>
    <w:p>
      <w:pPr>
        <w:spacing w:after="0"/>
        <w:ind w:left="0"/>
        <w:jc w:val="both"/>
      </w:pPr>
      <w:r>
        <w:rPr>
          <w:rFonts w:ascii="Times New Roman"/>
          <w:b w:val="false"/>
          <w:i w:val="false"/>
          <w:color w:val="000000"/>
          <w:sz w:val="28"/>
        </w:rPr>
        <w:t>
      Планировочная структура является одной из основных характеристик пространственной организации современного города, отражающих расположение и взаимосвязь жилых, общественных, рекреационных, промышленных, коммунальных, транспортных и других функциональных зон.</w:t>
      </w:r>
    </w:p>
    <w:bookmarkEnd w:id="157"/>
    <w:bookmarkStart w:name="z166" w:id="158"/>
    <w:p>
      <w:pPr>
        <w:spacing w:after="0"/>
        <w:ind w:left="0"/>
        <w:jc w:val="both"/>
      </w:pPr>
      <w:r>
        <w:rPr>
          <w:rFonts w:ascii="Times New Roman"/>
          <w:b w:val="false"/>
          <w:i w:val="false"/>
          <w:color w:val="000000"/>
          <w:sz w:val="28"/>
        </w:rPr>
        <w:t>
      Основу перспективной планировочной структуры и функционального зонирования города, транспортного каркаса составляют сохранение исторически сложившейся структуры города, а также учет современных тенденций развития градостроительных систем.</w:t>
      </w:r>
    </w:p>
    <w:bookmarkEnd w:id="158"/>
    <w:bookmarkStart w:name="z167" w:id="159"/>
    <w:p>
      <w:pPr>
        <w:spacing w:after="0"/>
        <w:ind w:left="0"/>
        <w:jc w:val="both"/>
      </w:pPr>
      <w:r>
        <w:rPr>
          <w:rFonts w:ascii="Times New Roman"/>
          <w:b w:val="false"/>
          <w:i w:val="false"/>
          <w:color w:val="000000"/>
          <w:sz w:val="28"/>
        </w:rPr>
        <w:t>
      Соотношение застроенной и незастроенной территорий населенного пункта:</w:t>
      </w:r>
    </w:p>
    <w:bookmarkEnd w:id="159"/>
    <w:bookmarkStart w:name="z168" w:id="160"/>
    <w:p>
      <w:pPr>
        <w:spacing w:after="0"/>
        <w:ind w:left="0"/>
        <w:jc w:val="both"/>
      </w:pPr>
      <w:r>
        <w:rPr>
          <w:rFonts w:ascii="Times New Roman"/>
          <w:b w:val="false"/>
          <w:i w:val="false"/>
          <w:color w:val="000000"/>
          <w:sz w:val="28"/>
        </w:rPr>
        <w:t>
      площадь застроенной территории – 15239,6 гектара, на 1-ю очередь строительства – 20204,3 гектара, на расчетный срок – 26612,1 гектара;</w:t>
      </w:r>
    </w:p>
    <w:bookmarkEnd w:id="160"/>
    <w:bookmarkStart w:name="z169" w:id="161"/>
    <w:p>
      <w:pPr>
        <w:spacing w:after="0"/>
        <w:ind w:left="0"/>
        <w:jc w:val="both"/>
      </w:pPr>
      <w:r>
        <w:rPr>
          <w:rFonts w:ascii="Times New Roman"/>
          <w:b w:val="false"/>
          <w:i w:val="false"/>
          <w:color w:val="000000"/>
          <w:sz w:val="28"/>
        </w:rPr>
        <w:t>
      площадь незастроенной территории – 218518,4 гектара, на 1-ю очередь строительства – 213553,7 гектара, на расчетный срок – 207145,9 гектара.</w:t>
      </w:r>
    </w:p>
    <w:bookmarkEnd w:id="161"/>
    <w:bookmarkStart w:name="z170" w:id="162"/>
    <w:p>
      <w:pPr>
        <w:spacing w:after="0"/>
        <w:ind w:left="0"/>
        <w:jc w:val="both"/>
      </w:pPr>
      <w:r>
        <w:rPr>
          <w:rFonts w:ascii="Times New Roman"/>
          <w:b w:val="false"/>
          <w:i w:val="false"/>
          <w:color w:val="000000"/>
          <w:sz w:val="28"/>
        </w:rPr>
        <w:t>
      Зоны преимущественного отчуждения и приобретения земель, резервные территории – 62059,8 гектара, на 1-ю очередь строительства – 44032,8 гектара, на расчетный срок – 36192,7 гектара, расположенные в границах городской черты на землях, не относящихся к жилой застройке (в настоящее время).</w:t>
      </w:r>
    </w:p>
    <w:bookmarkEnd w:id="162"/>
    <w:bookmarkStart w:name="z171" w:id="163"/>
    <w:p>
      <w:pPr>
        <w:spacing w:after="0"/>
        <w:ind w:left="0"/>
        <w:jc w:val="both"/>
      </w:pPr>
      <w:r>
        <w:rPr>
          <w:rFonts w:ascii="Times New Roman"/>
          <w:b w:val="false"/>
          <w:i w:val="false"/>
          <w:color w:val="000000"/>
          <w:sz w:val="28"/>
        </w:rPr>
        <w:t>
      Историческое развитие города Актобе, создание комфортной среды жизнедеятельности горожан с учетом развития систем жизнедеятельности города, природно-климатические особенности, наличие планировочных ограничений предопределили формирование его структуры и функциональных зон. В городе сложилось функциональное деление территории на промышленные и селитебные: две крупные производственные зоны в северной и южной частях города, структура жилых районов в районах "Алматы" и "Астана".</w:t>
      </w:r>
    </w:p>
    <w:bookmarkEnd w:id="163"/>
    <w:bookmarkStart w:name="z172" w:id="164"/>
    <w:p>
      <w:pPr>
        <w:spacing w:after="0"/>
        <w:ind w:left="0"/>
        <w:jc w:val="both"/>
      </w:pPr>
      <w:r>
        <w:rPr>
          <w:rFonts w:ascii="Times New Roman"/>
          <w:b w:val="false"/>
          <w:i w:val="false"/>
          <w:color w:val="000000"/>
          <w:sz w:val="28"/>
        </w:rPr>
        <w:t>
      Проектные решения перспективного социально-экономического и территориального развития города Актобе приняты на вариантной основе. Для расчетных показателей сравнения вариантов постоянной величиной приняты численность населения и жилищный фонд, необходимый для расселения населения. При этом были учтены все планировочные ограничения от промышленных территорий, водоохранных зон и полос рек, санитарно-защитных зон от очагов сибирской язвы, кладбищ и зоны влияния аэропорта.</w:t>
      </w:r>
    </w:p>
    <w:bookmarkEnd w:id="164"/>
    <w:bookmarkStart w:name="z173" w:id="165"/>
    <w:p>
      <w:pPr>
        <w:spacing w:after="0"/>
        <w:ind w:left="0"/>
        <w:jc w:val="both"/>
      </w:pPr>
      <w:r>
        <w:rPr>
          <w:rFonts w:ascii="Times New Roman"/>
          <w:b w:val="false"/>
          <w:i w:val="false"/>
          <w:color w:val="000000"/>
          <w:sz w:val="28"/>
        </w:rPr>
        <w:t>
      Основной идеей пространственной организации территорий является идея создания компактного городского образования с водно-зелеными пространствами вдоль поймы реки Илек и ее притоков, экологически комфортной средой жизнедеятельности.</w:t>
      </w:r>
    </w:p>
    <w:bookmarkEnd w:id="165"/>
    <w:bookmarkStart w:name="z174" w:id="166"/>
    <w:p>
      <w:pPr>
        <w:spacing w:after="0"/>
        <w:ind w:left="0"/>
        <w:jc w:val="both"/>
      </w:pPr>
      <w:r>
        <w:rPr>
          <w:rFonts w:ascii="Times New Roman"/>
          <w:b w:val="false"/>
          <w:i w:val="false"/>
          <w:color w:val="000000"/>
          <w:sz w:val="28"/>
        </w:rPr>
        <w:t>
      Компактное урбанизированное городское ядро включает в себя исторические кварталы, основные узлы системы общественного центра, бульвары, парки, скверы.</w:t>
      </w:r>
    </w:p>
    <w:bookmarkEnd w:id="166"/>
    <w:bookmarkStart w:name="z175" w:id="167"/>
    <w:p>
      <w:pPr>
        <w:spacing w:after="0"/>
        <w:ind w:left="0"/>
        <w:jc w:val="both"/>
      </w:pPr>
      <w:r>
        <w:rPr>
          <w:rFonts w:ascii="Times New Roman"/>
          <w:b w:val="false"/>
          <w:i w:val="false"/>
          <w:color w:val="000000"/>
          <w:sz w:val="28"/>
        </w:rPr>
        <w:t>
      Важная роль в формировании экологически благоприятной среды жизнедеятельности населения отводится водно-зеленым пространствам вдоль русел рек с набережными и пляжами, комфортными общественными зонами, дополненными каналами и лесозащитными зелеными зонами вдоль БАКАД и малого транспортного кольца.</w:t>
      </w:r>
    </w:p>
    <w:bookmarkEnd w:id="167"/>
    <w:bookmarkStart w:name="z176" w:id="168"/>
    <w:p>
      <w:pPr>
        <w:spacing w:after="0"/>
        <w:ind w:left="0"/>
        <w:jc w:val="both"/>
      </w:pPr>
      <w:r>
        <w:rPr>
          <w:rFonts w:ascii="Times New Roman"/>
          <w:b w:val="false"/>
          <w:i w:val="false"/>
          <w:color w:val="000000"/>
          <w:sz w:val="28"/>
        </w:rPr>
        <w:t>
      Исторические кварталы с высоким уровнем благоустройства, инклюзивной средой предусмотрены в северо-западной части города Актобе с жилым массивом жилгородка, площадью Газизы и Ахмета Жубановых, филармонией и Дворцом культуры, а также историческим кварталом в зоне железнодорожного вокзала и городского рынка. Систему общегородского центра дополняет предлагаемый Генеральным планом этнокультурный центр с певческой ареной, ипподромом и городом мастеров, расположенным на восточной оси города.</w:t>
      </w:r>
    </w:p>
    <w:bookmarkEnd w:id="168"/>
    <w:bookmarkStart w:name="z177" w:id="169"/>
    <w:p>
      <w:pPr>
        <w:spacing w:after="0"/>
        <w:ind w:left="0"/>
        <w:jc w:val="both"/>
      </w:pPr>
      <w:r>
        <w:rPr>
          <w:rFonts w:ascii="Times New Roman"/>
          <w:b w:val="false"/>
          <w:i w:val="false"/>
          <w:color w:val="000000"/>
          <w:sz w:val="28"/>
        </w:rPr>
        <w:t>
      В Генеральном плане четко выделяются три зоны:</w:t>
      </w:r>
    </w:p>
    <w:bookmarkEnd w:id="169"/>
    <w:bookmarkStart w:name="z178" w:id="170"/>
    <w:p>
      <w:pPr>
        <w:spacing w:after="0"/>
        <w:ind w:left="0"/>
        <w:jc w:val="both"/>
      </w:pPr>
      <w:r>
        <w:rPr>
          <w:rFonts w:ascii="Times New Roman"/>
          <w:b w:val="false"/>
          <w:i w:val="false"/>
          <w:color w:val="000000"/>
          <w:sz w:val="28"/>
        </w:rPr>
        <w:t>
      зона городской многоэтажной жилой застройки (центральное ядро в границах внутреннего малого обводного кольца);</w:t>
      </w:r>
    </w:p>
    <w:bookmarkEnd w:id="170"/>
    <w:bookmarkStart w:name="z179" w:id="171"/>
    <w:p>
      <w:pPr>
        <w:spacing w:after="0"/>
        <w:ind w:left="0"/>
        <w:jc w:val="both"/>
      </w:pPr>
      <w:r>
        <w:rPr>
          <w:rFonts w:ascii="Times New Roman"/>
          <w:b w:val="false"/>
          <w:i w:val="false"/>
          <w:color w:val="000000"/>
          <w:sz w:val="28"/>
        </w:rPr>
        <w:t>
      зона среднеэтажной жилой застройки (в границах БАКАД);</w:t>
      </w:r>
    </w:p>
    <w:bookmarkEnd w:id="171"/>
    <w:bookmarkStart w:name="z180" w:id="172"/>
    <w:p>
      <w:pPr>
        <w:spacing w:after="0"/>
        <w:ind w:left="0"/>
        <w:jc w:val="both"/>
      </w:pPr>
      <w:r>
        <w:rPr>
          <w:rFonts w:ascii="Times New Roman"/>
          <w:b w:val="false"/>
          <w:i w:val="false"/>
          <w:color w:val="000000"/>
          <w:sz w:val="28"/>
        </w:rPr>
        <w:t>
      зона малоэтажной жилой застройки между БАКАД и границей города Актобе (сельское расселение).</w:t>
      </w:r>
    </w:p>
    <w:bookmarkEnd w:id="172"/>
    <w:bookmarkStart w:name="z181" w:id="173"/>
    <w:p>
      <w:pPr>
        <w:spacing w:after="0"/>
        <w:ind w:left="0"/>
        <w:jc w:val="both"/>
      </w:pPr>
      <w:r>
        <w:rPr>
          <w:rFonts w:ascii="Times New Roman"/>
          <w:b w:val="false"/>
          <w:i w:val="false"/>
          <w:color w:val="000000"/>
          <w:sz w:val="28"/>
        </w:rPr>
        <w:t>
      Предлагаемые проектом решения по организации проектируемой территории города Актобе обеспечивают создание полноценного городского образования, состоящего из жилых районов многоэтажной и среднеэтажной застройки, кварталов одноэтажной усадебной застройки, городского общественного центра с предприятиями торговли, культурно-бытового обслуживания и отдыха, общественных центров планировочных районов, рекреационной и промышленно-складской зоной.</w:t>
      </w:r>
    </w:p>
    <w:bookmarkEnd w:id="173"/>
    <w:bookmarkStart w:name="z182" w:id="174"/>
    <w:p>
      <w:pPr>
        <w:spacing w:after="0"/>
        <w:ind w:left="0"/>
        <w:jc w:val="both"/>
      </w:pPr>
      <w:r>
        <w:rPr>
          <w:rFonts w:ascii="Times New Roman"/>
          <w:b w:val="false"/>
          <w:i w:val="false"/>
          <w:color w:val="000000"/>
          <w:sz w:val="28"/>
        </w:rPr>
        <w:t>
      Важным элементом планировочной структуры города является сохраняемая историческая часть города, в которой сформировался общегородской историко-культурный и административный центр с площадью, общественными объектами и объектами обслуживания.</w:t>
      </w:r>
    </w:p>
    <w:bookmarkEnd w:id="174"/>
    <w:bookmarkStart w:name="z183" w:id="175"/>
    <w:p>
      <w:pPr>
        <w:spacing w:after="0"/>
        <w:ind w:left="0"/>
        <w:jc w:val="both"/>
      </w:pPr>
      <w:r>
        <w:rPr>
          <w:rFonts w:ascii="Times New Roman"/>
          <w:b w:val="false"/>
          <w:i w:val="false"/>
          <w:color w:val="000000"/>
          <w:sz w:val="28"/>
        </w:rPr>
        <w:t>
      Историческое ядро города является основной доминантой, от которой в четырех направлениях проходят основные общегородские магистрали, объединяемые тремя кольцевыми дорогами в единую структуру. Членение межмагистральных территорий представлено прямоугольной квартальной системой улиц.</w:t>
      </w:r>
    </w:p>
    <w:bookmarkEnd w:id="175"/>
    <w:bookmarkStart w:name="z184" w:id="176"/>
    <w:p>
      <w:pPr>
        <w:spacing w:after="0"/>
        <w:ind w:left="0"/>
        <w:jc w:val="both"/>
      </w:pPr>
      <w:r>
        <w:rPr>
          <w:rFonts w:ascii="Times New Roman"/>
          <w:b w:val="false"/>
          <w:i w:val="false"/>
          <w:color w:val="000000"/>
          <w:sz w:val="28"/>
        </w:rPr>
        <w:t>
      Основные объемы нового строительства запланированы на территории между новыми транспортными кольцами в западном, юго-восточном и частично северном направлениях. Вдоль въездных магистралей будет создана система градостроительных узлов, связанных между собой, с историческим центром и рекреационными зонами.</w:t>
      </w:r>
    </w:p>
    <w:bookmarkEnd w:id="176"/>
    <w:bookmarkStart w:name="z185" w:id="177"/>
    <w:p>
      <w:pPr>
        <w:spacing w:after="0"/>
        <w:ind w:left="0"/>
        <w:jc w:val="both"/>
      </w:pPr>
      <w:r>
        <w:rPr>
          <w:rFonts w:ascii="Times New Roman"/>
          <w:b w:val="false"/>
          <w:i w:val="false"/>
          <w:color w:val="000000"/>
          <w:sz w:val="28"/>
        </w:rPr>
        <w:t>
      В наиболее важных градостроительных узлах будут построены значимые для города объекты, такие как: Димаш-арена, этнокультурный парк с уникальными объектами, привлекающими иностранных туристов, фольклорная деревня, олимпийский стадион по типу "Астана-арена" и т.д. Создание этнокультурного парка и формирование центра национальных видов искусств являются одними из наиболее важных предложений Генерального плана.</w:t>
      </w:r>
    </w:p>
    <w:bookmarkEnd w:id="177"/>
    <w:bookmarkStart w:name="z186" w:id="178"/>
    <w:p>
      <w:pPr>
        <w:spacing w:after="0"/>
        <w:ind w:left="0"/>
        <w:jc w:val="both"/>
      </w:pPr>
      <w:r>
        <w:rPr>
          <w:rFonts w:ascii="Times New Roman"/>
          <w:b w:val="false"/>
          <w:i w:val="false"/>
          <w:color w:val="000000"/>
          <w:sz w:val="28"/>
        </w:rPr>
        <w:t>
      Вдоль магистральной улицы, выходящей на обводную дорогу Большого внешнего кольца в западном направлении и являющейся восточными въездными воротами со стороны Хромтау (Хромтауская трасса), предлагается застройка зданиями повышенной этажности (9 этажей и выше) с гостиницей и школьным лагерем.</w:t>
      </w:r>
    </w:p>
    <w:bookmarkEnd w:id="178"/>
    <w:bookmarkStart w:name="z187" w:id="179"/>
    <w:p>
      <w:pPr>
        <w:spacing w:after="0"/>
        <w:ind w:left="0"/>
        <w:jc w:val="both"/>
      </w:pPr>
      <w:r>
        <w:rPr>
          <w:rFonts w:ascii="Times New Roman"/>
          <w:b w:val="false"/>
          <w:i w:val="false"/>
          <w:color w:val="000000"/>
          <w:sz w:val="28"/>
        </w:rPr>
        <w:t>
      На пересечении с рекой Песчанка формируется новый градостроительный узел с объектами спортивно-оздоровительного назначения и специализированными учреждениями здравоохранения: физкультурно-оздоровительный комплекс, спортзалы, спортплощадки, крытые и закрытые бассейны, перинатальный центр, психоневрологический диспансер и универсальная клиника.</w:t>
      </w:r>
    </w:p>
    <w:bookmarkEnd w:id="179"/>
    <w:bookmarkStart w:name="z188" w:id="180"/>
    <w:p>
      <w:pPr>
        <w:spacing w:after="0"/>
        <w:ind w:left="0"/>
        <w:jc w:val="both"/>
      </w:pPr>
      <w:r>
        <w:rPr>
          <w:rFonts w:ascii="Times New Roman"/>
          <w:b w:val="false"/>
          <w:i w:val="false"/>
          <w:color w:val="000000"/>
          <w:sz w:val="28"/>
        </w:rPr>
        <w:t>
      Кроме этого, здесь предлагается также разместить торгово-развлекательный центр, предприятия торговли и бытового обслуживания. Объекты размещаются дисперсно вдоль магистральной улицы и жилых улиц, между которыми проходит речка с широкой озелененной поймой, создавая благоприятный микроклимат.</w:t>
      </w:r>
    </w:p>
    <w:bookmarkEnd w:id="180"/>
    <w:bookmarkStart w:name="z189" w:id="181"/>
    <w:p>
      <w:pPr>
        <w:spacing w:after="0"/>
        <w:ind w:left="0"/>
        <w:jc w:val="both"/>
      </w:pPr>
      <w:r>
        <w:rPr>
          <w:rFonts w:ascii="Times New Roman"/>
          <w:b w:val="false"/>
          <w:i w:val="false"/>
          <w:color w:val="000000"/>
          <w:sz w:val="28"/>
        </w:rPr>
        <w:t>
      Далее в районе жилого массива многоэтажной застройки Рауан-2 формируется крупный, особо привлекательный для города Актобе градостроительный узел – этнокультурный парк, занимающий большую по площади озелененную территорию, с большими по значимости объектами: универсальный спортивный зал, стадион и гостиница, торгово-развлекательный центр, Димаш-арена с концертным залом и филармонией, аквапарк с озелененными пространствами с благоустройством на уровне европейских стандартов.</w:t>
      </w:r>
    </w:p>
    <w:bookmarkEnd w:id="181"/>
    <w:bookmarkStart w:name="z190" w:id="182"/>
    <w:p>
      <w:pPr>
        <w:spacing w:after="0"/>
        <w:ind w:left="0"/>
        <w:jc w:val="both"/>
      </w:pPr>
      <w:r>
        <w:rPr>
          <w:rFonts w:ascii="Times New Roman"/>
          <w:b w:val="false"/>
          <w:i w:val="false"/>
          <w:color w:val="000000"/>
          <w:sz w:val="28"/>
        </w:rPr>
        <w:t>
      Этот центр сделает Актобе уникальнейшим городом, позиционирующимся как центр регионально-идентичного туризма Казахстана, который привлечет туристов со всего мира.</w:t>
      </w:r>
    </w:p>
    <w:bookmarkEnd w:id="182"/>
    <w:bookmarkStart w:name="z191" w:id="183"/>
    <w:p>
      <w:pPr>
        <w:spacing w:after="0"/>
        <w:ind w:left="0"/>
        <w:jc w:val="both"/>
      </w:pPr>
      <w:r>
        <w:rPr>
          <w:rFonts w:ascii="Times New Roman"/>
          <w:b w:val="false"/>
          <w:i w:val="false"/>
          <w:color w:val="000000"/>
          <w:sz w:val="28"/>
        </w:rPr>
        <w:t>
      В южной части города в районе пересечения первого малого кольца с рекой Елек и Актобинским водохранилищем предлагается формирование рекреационной зоны с системой парков и скверов: тематический парк будет включать Дворец школьников, филармонию, пансионаты и дома отдыха, дендропарк, парк инновационных технологий, спортивный парк.</w:t>
      </w:r>
    </w:p>
    <w:bookmarkEnd w:id="183"/>
    <w:bookmarkStart w:name="z192" w:id="184"/>
    <w:p>
      <w:pPr>
        <w:spacing w:after="0"/>
        <w:ind w:left="0"/>
        <w:jc w:val="both"/>
      </w:pPr>
      <w:r>
        <w:rPr>
          <w:rFonts w:ascii="Times New Roman"/>
          <w:b w:val="false"/>
          <w:i w:val="false"/>
          <w:color w:val="000000"/>
          <w:sz w:val="28"/>
        </w:rPr>
        <w:t>
      В юго-западной части в районе Саздинского водохранилища предлагается создать Саздинскую рекреационно-ландшафтную зону с парками: гольф-парк, лесопарк "Сазды". На побережье водохранилища предлагаются организованные пляжи с бульварами, малыми архитектурными формами и беседками для отдыха.</w:t>
      </w:r>
    </w:p>
    <w:bookmarkEnd w:id="184"/>
    <w:bookmarkStart w:name="z193" w:id="185"/>
    <w:p>
      <w:pPr>
        <w:spacing w:after="0"/>
        <w:ind w:left="0"/>
        <w:jc w:val="both"/>
      </w:pPr>
      <w:r>
        <w:rPr>
          <w:rFonts w:ascii="Times New Roman"/>
          <w:b w:val="false"/>
          <w:i w:val="false"/>
          <w:color w:val="000000"/>
          <w:sz w:val="28"/>
        </w:rPr>
        <w:t>
      В северной части города территории относятся к неблагоприятным для жилищно-гражданского строительства, в связи с этим здесь предлагается создание лесопарковой зоны "Жасыл Тобе", Каргалинского ландшафтного рекреационного района и северо-восточнее в районе озера Сатыбаноба – рекреационного парка 8 озер. Для формирования единой системы озелененных пространств в разных частях города предлагаются Илекский агропарк, северо-восточный Каргалинский агропарк, Талдинская ландшафтная зона, Илекская ландшафтная зона, Саздинская рекреационно-ландшафтная зона и др.</w:t>
      </w:r>
    </w:p>
    <w:bookmarkEnd w:id="185"/>
    <w:bookmarkStart w:name="z194" w:id="186"/>
    <w:p>
      <w:pPr>
        <w:spacing w:after="0"/>
        <w:ind w:left="0"/>
        <w:jc w:val="both"/>
      </w:pPr>
      <w:r>
        <w:rPr>
          <w:rFonts w:ascii="Times New Roman"/>
          <w:b w:val="false"/>
          <w:i w:val="false"/>
          <w:color w:val="000000"/>
          <w:sz w:val="28"/>
        </w:rPr>
        <w:t>
      Развитие системы общегородских центров выполнено с учетом шаговой доступности населения к объектам повседневного и периодического обслуживания. Создание комфортной среды жизнедеятельности населения будет в полной мере обеспечено объектами социально-культурной сферы (здравоохранение, образование, культура). В каждом жилом районе размещены общественные центры районного значения, которые формируются в единую систему общественных центров города.</w:t>
      </w:r>
    </w:p>
    <w:bookmarkEnd w:id="186"/>
    <w:bookmarkStart w:name="z195" w:id="187"/>
    <w:p>
      <w:pPr>
        <w:spacing w:after="0"/>
        <w:ind w:left="0"/>
        <w:jc w:val="both"/>
      </w:pPr>
      <w:r>
        <w:rPr>
          <w:rFonts w:ascii="Times New Roman"/>
          <w:b w:val="false"/>
          <w:i w:val="false"/>
          <w:color w:val="000000"/>
          <w:sz w:val="28"/>
        </w:rPr>
        <w:t>
      Проектом также предусматривается преемственное развитие промышленных зон и территорий коммунально-складских и транспортно-логистических центров.</w:t>
      </w:r>
    </w:p>
    <w:bookmarkEnd w:id="187"/>
    <w:bookmarkStart w:name="z196" w:id="188"/>
    <w:p>
      <w:pPr>
        <w:spacing w:after="0"/>
        <w:ind w:left="0"/>
        <w:jc w:val="both"/>
      </w:pPr>
      <w:r>
        <w:rPr>
          <w:rFonts w:ascii="Times New Roman"/>
          <w:b w:val="false"/>
          <w:i w:val="false"/>
          <w:color w:val="000000"/>
          <w:sz w:val="28"/>
        </w:rPr>
        <w:t>
      В связи с тем, что город Актобе является одним из ведущих промышленных центров западного региона, настоящим Генеральным планом предлагается на базе имеющихся ресурсов формирование двух крупных индустриальных зон: Северная индустриальная зона и Южная индустриальная зона, каждой из которых даны предложения по размещению специализированных индустриальных парков в разрезе отраслей экономики.</w:t>
      </w:r>
    </w:p>
    <w:bookmarkEnd w:id="188"/>
    <w:bookmarkStart w:name="z197" w:id="189"/>
    <w:p>
      <w:pPr>
        <w:spacing w:after="0"/>
        <w:ind w:left="0"/>
        <w:jc w:val="both"/>
      </w:pPr>
      <w:r>
        <w:rPr>
          <w:rFonts w:ascii="Times New Roman"/>
          <w:b w:val="false"/>
          <w:i w:val="false"/>
          <w:color w:val="000000"/>
          <w:sz w:val="28"/>
        </w:rPr>
        <w:t>
      Система главных магистралей обеспечивает данным образованиям связь с системой общегородского центра, система кольцевых магистралей (внутреннего и внешнего) обеспечивает связь этих районов с основными промышленными зонами города.</w:t>
      </w:r>
    </w:p>
    <w:bookmarkEnd w:id="189"/>
    <w:bookmarkStart w:name="z198" w:id="190"/>
    <w:p>
      <w:pPr>
        <w:spacing w:after="0"/>
        <w:ind w:left="0"/>
        <w:jc w:val="both"/>
      </w:pPr>
      <w:r>
        <w:rPr>
          <w:rFonts w:ascii="Times New Roman"/>
          <w:b w:val="false"/>
          <w:i w:val="false"/>
          <w:color w:val="000000"/>
          <w:sz w:val="28"/>
        </w:rPr>
        <w:t>
      Для создания комфортного микроклимата на территории города и инженерной защиты территорий от затоплений паводковыми водами даны предложения по созданию вдоль малого кольца и Большой Актюбинской кольцевой автомобильной дороги (БАКАД) защитной зеленой зоны с нагорным каналом с прудами-накопителями талых вод, используемых для полива.</w:t>
      </w:r>
    </w:p>
    <w:bookmarkEnd w:id="190"/>
    <w:bookmarkStart w:name="z199" w:id="191"/>
    <w:p>
      <w:pPr>
        <w:spacing w:after="0"/>
        <w:ind w:left="0"/>
        <w:jc w:val="both"/>
      </w:pPr>
      <w:r>
        <w:rPr>
          <w:rFonts w:ascii="Times New Roman"/>
          <w:b w:val="false"/>
          <w:i w:val="false"/>
          <w:color w:val="000000"/>
          <w:sz w:val="28"/>
        </w:rPr>
        <w:t>
      Проектируемый зеленый пояс вокруг города Актобе взаимоувязан с городскими лесопарками, озелененными поймами рек, протекающих по территории города, крупными городскими парками, скверами и бульварами.</w:t>
      </w:r>
    </w:p>
    <w:bookmarkEnd w:id="191"/>
    <w:bookmarkStart w:name="z200" w:id="192"/>
    <w:p>
      <w:pPr>
        <w:spacing w:after="0"/>
        <w:ind w:left="0"/>
        <w:jc w:val="both"/>
      </w:pPr>
      <w:r>
        <w:rPr>
          <w:rFonts w:ascii="Times New Roman"/>
          <w:b w:val="false"/>
          <w:i w:val="false"/>
          <w:color w:val="000000"/>
          <w:sz w:val="28"/>
        </w:rPr>
        <w:t>
      В связи с тем, что международный аэропорт Алия Молдагулова расположен в границах города и в его охранную зону попадает значительная часть существующей застройки, а также ведется строительство многоэтажного жилого массива Батыс, проектом предлагается вынос аэропорта на новую площадку в юго-западном направлении на площадку Нурбулак-1.</w:t>
      </w:r>
    </w:p>
    <w:bookmarkEnd w:id="192"/>
    <w:bookmarkStart w:name="z201" w:id="193"/>
    <w:p>
      <w:pPr>
        <w:spacing w:after="0"/>
        <w:ind w:left="0"/>
        <w:jc w:val="both"/>
      </w:pPr>
      <w:r>
        <w:rPr>
          <w:rFonts w:ascii="Times New Roman"/>
          <w:b w:val="false"/>
          <w:i w:val="false"/>
          <w:color w:val="000000"/>
          <w:sz w:val="28"/>
        </w:rPr>
        <w:t>
      На территории существующего аэропорта при его выносе необходимо выполнить рекультивацию нарушенных земель, после чего подготовленную площадку зарезервировать для строительства жилых многоэтажных домов, общественной и коммунальной застройки, рекреационных зон.</w:t>
      </w:r>
    </w:p>
    <w:bookmarkEnd w:id="193"/>
    <w:bookmarkStart w:name="z202" w:id="194"/>
    <w:p>
      <w:pPr>
        <w:spacing w:after="0"/>
        <w:ind w:left="0"/>
        <w:jc w:val="both"/>
      </w:pPr>
      <w:r>
        <w:rPr>
          <w:rFonts w:ascii="Times New Roman"/>
          <w:b w:val="false"/>
          <w:i w:val="false"/>
          <w:color w:val="000000"/>
          <w:sz w:val="28"/>
        </w:rPr>
        <w:t>
      Резервные территории для перспективного социально-экономического, территориального развития города и архитектурно-пространственной организации территорий предусмотрены преимущественно в южной части существующего города.</w:t>
      </w:r>
    </w:p>
    <w:bookmarkEnd w:id="194"/>
    <w:bookmarkStart w:name="z203" w:id="195"/>
    <w:p>
      <w:pPr>
        <w:spacing w:after="0"/>
        <w:ind w:left="0"/>
        <w:jc w:val="left"/>
      </w:pPr>
      <w:r>
        <w:rPr>
          <w:rFonts w:ascii="Times New Roman"/>
          <w:b/>
          <w:i w:val="false"/>
          <w:color w:val="000000"/>
        </w:rPr>
        <w:t xml:space="preserve"> Глава 9. Организация системы озелененных пространств</w:t>
      </w:r>
    </w:p>
    <w:bookmarkEnd w:id="195"/>
    <w:bookmarkStart w:name="z204" w:id="196"/>
    <w:p>
      <w:pPr>
        <w:spacing w:after="0"/>
        <w:ind w:left="0"/>
        <w:jc w:val="both"/>
      </w:pPr>
      <w:r>
        <w:rPr>
          <w:rFonts w:ascii="Times New Roman"/>
          <w:b w:val="false"/>
          <w:i w:val="false"/>
          <w:color w:val="000000"/>
          <w:sz w:val="28"/>
        </w:rPr>
        <w:t>
      Основная концепция организации озелененных пространств рассматриваемой территории – создание зеленого каркаса, структура которого формируется руслами рек, пересекающих город, широких водно-парковых полос, которые связывают внутригородское пространство с природно-экологическим и зеленым поясом.</w:t>
      </w:r>
    </w:p>
    <w:bookmarkEnd w:id="196"/>
    <w:bookmarkStart w:name="z205" w:id="197"/>
    <w:p>
      <w:pPr>
        <w:spacing w:after="0"/>
        <w:ind w:left="0"/>
        <w:jc w:val="both"/>
      </w:pPr>
      <w:r>
        <w:rPr>
          <w:rFonts w:ascii="Times New Roman"/>
          <w:b w:val="false"/>
          <w:i w:val="false"/>
          <w:color w:val="000000"/>
          <w:sz w:val="28"/>
        </w:rPr>
        <w:t>
      Предлагаемая Генеральным планом система организации озелененных пространств обусловлена природно-климатическими условиями, архитектурно-планировочными решениями, а также уже сложившимся озеленением. Проектом предусматривается все существующие посадки включить в общую систему озелененных пространств населенного пункта.</w:t>
      </w:r>
    </w:p>
    <w:bookmarkEnd w:id="197"/>
    <w:bookmarkStart w:name="z206" w:id="198"/>
    <w:p>
      <w:pPr>
        <w:spacing w:after="0"/>
        <w:ind w:left="0"/>
        <w:jc w:val="both"/>
      </w:pPr>
      <w:r>
        <w:rPr>
          <w:rFonts w:ascii="Times New Roman"/>
          <w:b w:val="false"/>
          <w:i w:val="false"/>
          <w:color w:val="000000"/>
          <w:sz w:val="28"/>
        </w:rPr>
        <w:t>
      На перспективу предлагается создать общую замкнутую систему зеленых насаждений города путем создания новых интересных скверов и парков в старой и новой частях города, объединенную широкими полосами прогулочных пешеходных зон и бульваров вдоль основных магистральных улиц, позволяющих населению попадать из одного парка или сквера в другой именно по зеленым пешеходным пространствам.</w:t>
      </w:r>
    </w:p>
    <w:bookmarkEnd w:id="198"/>
    <w:bookmarkStart w:name="z207" w:id="199"/>
    <w:p>
      <w:pPr>
        <w:spacing w:after="0"/>
        <w:ind w:left="0"/>
        <w:jc w:val="both"/>
      </w:pPr>
      <w:r>
        <w:rPr>
          <w:rFonts w:ascii="Times New Roman"/>
          <w:b w:val="false"/>
          <w:i w:val="false"/>
          <w:color w:val="000000"/>
          <w:sz w:val="28"/>
        </w:rPr>
        <w:t>
      Большое внимание уделяется озеленению жилых территорий микрорайонов и жилых массивов. Проектом предлагается озеленение дворовых территорий проектируемой многоэтажной жилой застройки.</w:t>
      </w:r>
    </w:p>
    <w:bookmarkEnd w:id="199"/>
    <w:bookmarkStart w:name="z208" w:id="200"/>
    <w:p>
      <w:pPr>
        <w:spacing w:after="0"/>
        <w:ind w:left="0"/>
        <w:jc w:val="both"/>
      </w:pPr>
      <w:r>
        <w:rPr>
          <w:rFonts w:ascii="Times New Roman"/>
          <w:b w:val="false"/>
          <w:i w:val="false"/>
          <w:color w:val="000000"/>
          <w:sz w:val="28"/>
        </w:rPr>
        <w:t>
      Исходя из численности населения города Актобе на 1 января 2022 года 523,7 тысячи человек, площадь зеленых насаждений общего пользования должна составлять согласно нормативу по 16 м² на человека 837,9 га.</w:t>
      </w:r>
    </w:p>
    <w:bookmarkEnd w:id="200"/>
    <w:bookmarkStart w:name="z209" w:id="201"/>
    <w:p>
      <w:pPr>
        <w:spacing w:after="0"/>
        <w:ind w:left="0"/>
        <w:jc w:val="both"/>
      </w:pPr>
      <w:r>
        <w:rPr>
          <w:rFonts w:ascii="Times New Roman"/>
          <w:b w:val="false"/>
          <w:i w:val="false"/>
          <w:color w:val="000000"/>
          <w:sz w:val="28"/>
        </w:rPr>
        <w:t>
      В целях достижения нормативной площади зеленых насаждений необходимо создать не менее 486,9 га новых озелененных площадей путем устройства новых пешеходных и парковых зон, скверов и лесопарков практически во всех районах города.</w:t>
      </w:r>
    </w:p>
    <w:bookmarkEnd w:id="201"/>
    <w:bookmarkStart w:name="z210" w:id="202"/>
    <w:p>
      <w:pPr>
        <w:spacing w:after="0"/>
        <w:ind w:left="0"/>
        <w:jc w:val="both"/>
      </w:pPr>
      <w:r>
        <w:rPr>
          <w:rFonts w:ascii="Times New Roman"/>
          <w:b w:val="false"/>
          <w:i w:val="false"/>
          <w:color w:val="000000"/>
          <w:sz w:val="28"/>
        </w:rPr>
        <w:t>
      На конец первой очереди к 2030 году ожидаемая численность населения 636,9 тысячи человек, при этом площадь зеленых насаждений общего пользования должна составлять 1019,5 га. На окончание расчетного срока к 2050 году численность населения города Актобе составит 950,0 тысячи человек, соответственно площадь зеленых насаждений общего пользования должна составлять 1520 га.</w:t>
      </w:r>
    </w:p>
    <w:bookmarkEnd w:id="202"/>
    <w:bookmarkStart w:name="z211" w:id="203"/>
    <w:p>
      <w:pPr>
        <w:spacing w:after="0"/>
        <w:ind w:left="0"/>
        <w:jc w:val="left"/>
      </w:pPr>
      <w:r>
        <w:rPr>
          <w:rFonts w:ascii="Times New Roman"/>
          <w:b/>
          <w:i w:val="false"/>
          <w:color w:val="000000"/>
        </w:rPr>
        <w:t xml:space="preserve"> Глава 10. Транспортная инфраструктура и улично-дорожная сеть</w:t>
      </w:r>
    </w:p>
    <w:bookmarkEnd w:id="203"/>
    <w:bookmarkStart w:name="z212" w:id="204"/>
    <w:p>
      <w:pPr>
        <w:spacing w:after="0"/>
        <w:ind w:left="0"/>
        <w:jc w:val="both"/>
      </w:pPr>
      <w:r>
        <w:rPr>
          <w:rFonts w:ascii="Times New Roman"/>
          <w:b w:val="false"/>
          <w:i w:val="false"/>
          <w:color w:val="000000"/>
          <w:sz w:val="28"/>
        </w:rPr>
        <w:t>
      В Актюбинской агломерации сформирован мощный каркас разветвленной транспортной инфраструктуры. Центр агломерации город Актобе позиционируется как город-хаб на территории западного Казахстана.</w:t>
      </w:r>
    </w:p>
    <w:bookmarkEnd w:id="204"/>
    <w:bookmarkStart w:name="z213" w:id="205"/>
    <w:p>
      <w:pPr>
        <w:spacing w:after="0"/>
        <w:ind w:left="0"/>
        <w:jc w:val="both"/>
      </w:pPr>
      <w:r>
        <w:rPr>
          <w:rFonts w:ascii="Times New Roman"/>
          <w:b w:val="false"/>
          <w:i w:val="false"/>
          <w:color w:val="000000"/>
          <w:sz w:val="28"/>
        </w:rPr>
        <w:t>
      В связи с тем, что международный аэропорт Алия Молдагулова расположен в границах города и в его охранную зону попадает значительная часть существующей застройки, проектом предлагается вынос аэропорта на новую площадку в юго-западном направлении на площадку Нурбулак-1.</w:t>
      </w:r>
    </w:p>
    <w:bookmarkEnd w:id="205"/>
    <w:bookmarkStart w:name="z214" w:id="206"/>
    <w:p>
      <w:pPr>
        <w:spacing w:after="0"/>
        <w:ind w:left="0"/>
        <w:jc w:val="both"/>
      </w:pPr>
      <w:r>
        <w:rPr>
          <w:rFonts w:ascii="Times New Roman"/>
          <w:b w:val="false"/>
          <w:i w:val="false"/>
          <w:color w:val="000000"/>
          <w:sz w:val="28"/>
        </w:rPr>
        <w:t>
      Новый аэропорт станет транзитным связующим звеном для авиационных перевозок между Западной Европой и Юго-Восточной Азией, обеспечит лучшие условия для внутренних и международных пассажирских и грузовых перевозок, став крупным международным и мультимодальным транспортным узлом.</w:t>
      </w:r>
    </w:p>
    <w:bookmarkEnd w:id="206"/>
    <w:bookmarkStart w:name="z215" w:id="207"/>
    <w:p>
      <w:pPr>
        <w:spacing w:after="0"/>
        <w:ind w:left="0"/>
        <w:jc w:val="both"/>
      </w:pPr>
      <w:r>
        <w:rPr>
          <w:rFonts w:ascii="Times New Roman"/>
          <w:b w:val="false"/>
          <w:i w:val="false"/>
          <w:color w:val="000000"/>
          <w:sz w:val="28"/>
        </w:rPr>
        <w:t>
      Что касается железнодорожного транспорта, то Генеральным планом на перспективу предлагаются:</w:t>
      </w:r>
    </w:p>
    <w:bookmarkEnd w:id="207"/>
    <w:bookmarkStart w:name="z216" w:id="208"/>
    <w:p>
      <w:pPr>
        <w:spacing w:after="0"/>
        <w:ind w:left="0"/>
        <w:jc w:val="both"/>
      </w:pPr>
      <w:r>
        <w:rPr>
          <w:rFonts w:ascii="Times New Roman"/>
          <w:b w:val="false"/>
          <w:i w:val="false"/>
          <w:color w:val="000000"/>
          <w:sz w:val="28"/>
        </w:rPr>
        <w:t>
      строительство железнодорожного обхода вдоль проектируемой Большой Актюбинской кольцевой автодороги (БАКАД) с западной стороны на расчетный срок (40,0 км);</w:t>
      </w:r>
    </w:p>
    <w:bookmarkEnd w:id="208"/>
    <w:bookmarkStart w:name="z217" w:id="209"/>
    <w:p>
      <w:pPr>
        <w:spacing w:after="0"/>
        <w:ind w:left="0"/>
        <w:jc w:val="both"/>
      </w:pPr>
      <w:r>
        <w:rPr>
          <w:rFonts w:ascii="Times New Roman"/>
          <w:b w:val="false"/>
          <w:i w:val="false"/>
          <w:color w:val="000000"/>
          <w:sz w:val="28"/>
        </w:rPr>
        <w:t>
      строительство железнодорожной ветки до города Уральска (Западно-Казахстанская область), которая обеспечит связи в обход территории Российской Федерации. Западный отрезок будущей железнодорожной линии Актобе –Уральск целесообразно проложить параллельно существующей скоростной автомагистрали республиканского значения (М-32). Протяженность железнодорожной ветки в границах проектирования составит 10,0 км.</w:t>
      </w:r>
    </w:p>
    <w:bookmarkEnd w:id="209"/>
    <w:bookmarkStart w:name="z218" w:id="210"/>
    <w:p>
      <w:pPr>
        <w:spacing w:after="0"/>
        <w:ind w:left="0"/>
        <w:jc w:val="both"/>
      </w:pPr>
      <w:r>
        <w:rPr>
          <w:rFonts w:ascii="Times New Roman"/>
          <w:b w:val="false"/>
          <w:i w:val="false"/>
          <w:color w:val="000000"/>
          <w:sz w:val="28"/>
        </w:rPr>
        <w:t>
      На месте железной дороги, проходящей по селитебной территории города Актобе, предусмотрено строительство линии пассажирского рельсового транспорта. Вдоль путей следования пассажирского рельсового транспорта предусмотрена организация инфраструктурных объектов для обслуживания линии легкорельсового транспорта (остановок, перехватывающих парковок, трамвайного депо и пр.), зеленого коридора (бульвара), велодорожной инфраструктуры, общественных зон, содержащих коммерческие, офисные объекты, рекреационных зон. В проекте детальной планировки на данную территорию также будут рассмотрены вопросы использования освободившихся территорий под другие функции.</w:t>
      </w:r>
    </w:p>
    <w:bookmarkEnd w:id="210"/>
    <w:bookmarkStart w:name="z219" w:id="211"/>
    <w:p>
      <w:pPr>
        <w:spacing w:after="0"/>
        <w:ind w:left="0"/>
        <w:jc w:val="both"/>
      </w:pPr>
      <w:r>
        <w:rPr>
          <w:rFonts w:ascii="Times New Roman"/>
          <w:b w:val="false"/>
          <w:i w:val="false"/>
          <w:color w:val="000000"/>
          <w:sz w:val="28"/>
        </w:rPr>
        <w:t>
      По территории города Актобе протекают несколько рек и их притоков, на территории расположены Актюбинское и Саздинское водохранилища. Наиболее крупные реки и водохранилища используются населением для рекреации и рыбной ловли. Генеральным планом рекомендуется на перспективу организация туристического и экскурсионного судоходства для отдыха населения на судах с малой осадкой, использованием судов: речных трамваев "трамваи-кабриолеты", пассажирских теплоходов-катамаран.</w:t>
      </w:r>
    </w:p>
    <w:bookmarkEnd w:id="211"/>
    <w:bookmarkStart w:name="z220" w:id="212"/>
    <w:p>
      <w:pPr>
        <w:spacing w:after="0"/>
        <w:ind w:left="0"/>
        <w:jc w:val="both"/>
      </w:pPr>
      <w:r>
        <w:rPr>
          <w:rFonts w:ascii="Times New Roman"/>
          <w:b w:val="false"/>
          <w:i w:val="false"/>
          <w:color w:val="000000"/>
          <w:sz w:val="28"/>
        </w:rPr>
        <w:t>
      Город Актобе – один из крупнейших транспортных узлов северной части Казахстана связан с другими регионами Казахстана и сопредельными областями России сетью автомобильных дорог межгосударственного и республиканского значений.</w:t>
      </w:r>
    </w:p>
    <w:bookmarkEnd w:id="212"/>
    <w:bookmarkStart w:name="z221" w:id="213"/>
    <w:p>
      <w:pPr>
        <w:spacing w:after="0"/>
        <w:ind w:left="0"/>
        <w:jc w:val="both"/>
      </w:pPr>
      <w:r>
        <w:rPr>
          <w:rFonts w:ascii="Times New Roman"/>
          <w:b w:val="false"/>
          <w:i w:val="false"/>
          <w:color w:val="000000"/>
          <w:sz w:val="28"/>
        </w:rPr>
        <w:t>
      Перспектива развития:</w:t>
      </w:r>
    </w:p>
    <w:bookmarkEnd w:id="213"/>
    <w:bookmarkStart w:name="z222" w:id="214"/>
    <w:p>
      <w:pPr>
        <w:spacing w:after="0"/>
        <w:ind w:left="0"/>
        <w:jc w:val="both"/>
      </w:pPr>
      <w:r>
        <w:rPr>
          <w:rFonts w:ascii="Times New Roman"/>
          <w:b w:val="false"/>
          <w:i w:val="false"/>
          <w:color w:val="000000"/>
          <w:sz w:val="28"/>
        </w:rPr>
        <w:t>
      строительство Большой Актюбинской кольцевой автодороги (БАКАД) (68,7 км) республиканского значения I технической категории (расчетный срок);</w:t>
      </w:r>
    </w:p>
    <w:bookmarkEnd w:id="214"/>
    <w:bookmarkStart w:name="z223" w:id="215"/>
    <w:p>
      <w:pPr>
        <w:spacing w:after="0"/>
        <w:ind w:left="0"/>
        <w:jc w:val="both"/>
      </w:pPr>
      <w:r>
        <w:rPr>
          <w:rFonts w:ascii="Times New Roman"/>
          <w:b w:val="false"/>
          <w:i w:val="false"/>
          <w:color w:val="000000"/>
          <w:sz w:val="28"/>
        </w:rPr>
        <w:t>
      строительство западного обхода республиканского значения I технической категории (за расчетный срок);</w:t>
      </w:r>
    </w:p>
    <w:bookmarkEnd w:id="215"/>
    <w:bookmarkStart w:name="z224" w:id="216"/>
    <w:p>
      <w:pPr>
        <w:spacing w:after="0"/>
        <w:ind w:left="0"/>
        <w:jc w:val="both"/>
      </w:pPr>
      <w:r>
        <w:rPr>
          <w:rFonts w:ascii="Times New Roman"/>
          <w:b w:val="false"/>
          <w:i w:val="false"/>
          <w:color w:val="000000"/>
          <w:sz w:val="28"/>
        </w:rPr>
        <w:t>
      строительство Большого транспортного кольца (БТК) республиканского значения I технической категории (за расчетный срок);</w:t>
      </w:r>
    </w:p>
    <w:bookmarkEnd w:id="216"/>
    <w:bookmarkStart w:name="z225" w:id="217"/>
    <w:p>
      <w:pPr>
        <w:spacing w:after="0"/>
        <w:ind w:left="0"/>
        <w:jc w:val="both"/>
      </w:pPr>
      <w:r>
        <w:rPr>
          <w:rFonts w:ascii="Times New Roman"/>
          <w:b w:val="false"/>
          <w:i w:val="false"/>
          <w:color w:val="000000"/>
          <w:sz w:val="28"/>
        </w:rPr>
        <w:t>
      строительство восьми разворотных петель на эстакадах, реконструкция автодороги М-32 "Граница Российской Федерации (на Самару) – Шымкент" участок "Актюбинск – Карабутак – Улгайсын" км 763-1025, участок км 763-791";</w:t>
      </w:r>
    </w:p>
    <w:bookmarkEnd w:id="217"/>
    <w:bookmarkStart w:name="z226" w:id="218"/>
    <w:p>
      <w:pPr>
        <w:spacing w:after="0"/>
        <w:ind w:left="0"/>
        <w:jc w:val="both"/>
      </w:pPr>
      <w:r>
        <w:rPr>
          <w:rFonts w:ascii="Times New Roman"/>
          <w:b w:val="false"/>
          <w:i w:val="false"/>
          <w:color w:val="000000"/>
          <w:sz w:val="28"/>
        </w:rPr>
        <w:t>
      на пересечениях кольцевых дорог с автодорогами республиканского и областного значения проектом предусмотрено строительство двухуровневых транспортных развязок.</w:t>
      </w:r>
    </w:p>
    <w:bookmarkEnd w:id="218"/>
    <w:bookmarkStart w:name="z227" w:id="219"/>
    <w:p>
      <w:pPr>
        <w:spacing w:after="0"/>
        <w:ind w:left="0"/>
        <w:jc w:val="both"/>
      </w:pPr>
      <w:r>
        <w:rPr>
          <w:rFonts w:ascii="Times New Roman"/>
          <w:b w:val="false"/>
          <w:i w:val="false"/>
          <w:color w:val="000000"/>
          <w:sz w:val="28"/>
        </w:rPr>
        <w:t>
      В Генеральном плане сохраняются и получают дальнейшее развитие прямоугольная схема уличной сети, которая дополняется участками новых магистралей и расширением существующих улиц с превращением ее в прямоугольно-радиальную, строительство новых мостов и развязок, расширение проезжей части дорог общегородского и районного значения, повышение категорий дорог. Основными задачами по совершенствованию транспортной системы города являются:</w:t>
      </w:r>
    </w:p>
    <w:bookmarkEnd w:id="219"/>
    <w:bookmarkStart w:name="z228" w:id="220"/>
    <w:p>
      <w:pPr>
        <w:spacing w:after="0"/>
        <w:ind w:left="0"/>
        <w:jc w:val="both"/>
      </w:pPr>
      <w:r>
        <w:rPr>
          <w:rFonts w:ascii="Times New Roman"/>
          <w:b w:val="false"/>
          <w:i w:val="false"/>
          <w:color w:val="000000"/>
          <w:sz w:val="28"/>
        </w:rPr>
        <w:t>
      организация транспортных связей;</w:t>
      </w:r>
    </w:p>
    <w:bookmarkEnd w:id="220"/>
    <w:bookmarkStart w:name="z229" w:id="221"/>
    <w:p>
      <w:pPr>
        <w:spacing w:after="0"/>
        <w:ind w:left="0"/>
        <w:jc w:val="both"/>
      </w:pPr>
      <w:r>
        <w:rPr>
          <w:rFonts w:ascii="Times New Roman"/>
          <w:b w:val="false"/>
          <w:i w:val="false"/>
          <w:color w:val="000000"/>
          <w:sz w:val="28"/>
        </w:rPr>
        <w:t>
      улучшение связей сложившихся функциональных зон города между собой;</w:t>
      </w:r>
    </w:p>
    <w:bookmarkEnd w:id="221"/>
    <w:bookmarkStart w:name="z230" w:id="222"/>
    <w:p>
      <w:pPr>
        <w:spacing w:after="0"/>
        <w:ind w:left="0"/>
        <w:jc w:val="both"/>
      </w:pPr>
      <w:r>
        <w:rPr>
          <w:rFonts w:ascii="Times New Roman"/>
          <w:b w:val="false"/>
          <w:i w:val="false"/>
          <w:color w:val="000000"/>
          <w:sz w:val="28"/>
        </w:rPr>
        <w:t>
      увеличение пропускной способности улиц;</w:t>
      </w:r>
    </w:p>
    <w:bookmarkEnd w:id="222"/>
    <w:bookmarkStart w:name="z231" w:id="223"/>
    <w:p>
      <w:pPr>
        <w:spacing w:after="0"/>
        <w:ind w:left="0"/>
        <w:jc w:val="both"/>
      </w:pPr>
      <w:r>
        <w:rPr>
          <w:rFonts w:ascii="Times New Roman"/>
          <w:b w:val="false"/>
          <w:i w:val="false"/>
          <w:color w:val="000000"/>
          <w:sz w:val="28"/>
        </w:rPr>
        <w:t>
      повышение благоустройства улично-дорожной сети.</w:t>
      </w:r>
    </w:p>
    <w:bookmarkEnd w:id="223"/>
    <w:bookmarkStart w:name="z232" w:id="224"/>
    <w:p>
      <w:pPr>
        <w:spacing w:after="0"/>
        <w:ind w:left="0"/>
        <w:jc w:val="both"/>
      </w:pPr>
      <w:r>
        <w:rPr>
          <w:rFonts w:ascii="Times New Roman"/>
          <w:b w:val="false"/>
          <w:i w:val="false"/>
          <w:color w:val="000000"/>
          <w:sz w:val="28"/>
        </w:rPr>
        <w:t>
      Протяженность улично-дорожной сети по периодам перспективы составит: первая очередь – 594,97 км, расчетный срок – 978,61 км. Перспективная обеспеченность улично-дорожной сетью составит: первая очередь – 2,2 км/км², расчетный срок – 2,4 км/км².</w:t>
      </w:r>
    </w:p>
    <w:bookmarkEnd w:id="224"/>
    <w:bookmarkStart w:name="z233" w:id="225"/>
    <w:p>
      <w:pPr>
        <w:spacing w:after="0"/>
        <w:ind w:left="0"/>
        <w:jc w:val="both"/>
      </w:pPr>
      <w:r>
        <w:rPr>
          <w:rFonts w:ascii="Times New Roman"/>
          <w:b w:val="false"/>
          <w:i w:val="false"/>
          <w:color w:val="000000"/>
          <w:sz w:val="28"/>
        </w:rPr>
        <w:t>
      Генеральным планом предусматривается строительство искусственных сооружений на пересечениях:</w:t>
      </w:r>
    </w:p>
    <w:bookmarkEnd w:id="225"/>
    <w:bookmarkStart w:name="z234" w:id="226"/>
    <w:p>
      <w:pPr>
        <w:spacing w:after="0"/>
        <w:ind w:left="0"/>
        <w:jc w:val="both"/>
      </w:pPr>
      <w:r>
        <w:rPr>
          <w:rFonts w:ascii="Times New Roman"/>
          <w:b w:val="false"/>
          <w:i w:val="false"/>
          <w:color w:val="000000"/>
          <w:sz w:val="28"/>
        </w:rPr>
        <w:t>
      на первую очередь строительства:</w:t>
      </w:r>
    </w:p>
    <w:bookmarkEnd w:id="226"/>
    <w:bookmarkStart w:name="z235" w:id="227"/>
    <w:p>
      <w:pPr>
        <w:spacing w:after="0"/>
        <w:ind w:left="0"/>
        <w:jc w:val="both"/>
      </w:pPr>
      <w:r>
        <w:rPr>
          <w:rFonts w:ascii="Times New Roman"/>
          <w:b w:val="false"/>
          <w:i w:val="false"/>
          <w:color w:val="000000"/>
          <w:sz w:val="28"/>
        </w:rPr>
        <w:t>
      строительство Малого транспортного кольца (МТК) – на пересечении с М-32 (прокол), А-25 (полный клеверный лист), КД-1 (полный клеверный лист), А-24 (путепровод), М-32 (полный клеверный лист), 2 эстакады;</w:t>
      </w:r>
    </w:p>
    <w:bookmarkEnd w:id="227"/>
    <w:bookmarkStart w:name="z236" w:id="228"/>
    <w:p>
      <w:pPr>
        <w:spacing w:after="0"/>
        <w:ind w:left="0"/>
        <w:jc w:val="both"/>
      </w:pPr>
      <w:r>
        <w:rPr>
          <w:rFonts w:ascii="Times New Roman"/>
          <w:b w:val="false"/>
          <w:i w:val="false"/>
          <w:color w:val="000000"/>
          <w:sz w:val="28"/>
        </w:rPr>
        <w:t>
      строительство восьми разворотных петель на эстакадах на М-32;</w:t>
      </w:r>
    </w:p>
    <w:bookmarkEnd w:id="228"/>
    <w:bookmarkStart w:name="z237" w:id="229"/>
    <w:p>
      <w:pPr>
        <w:spacing w:after="0"/>
        <w:ind w:left="0"/>
        <w:jc w:val="both"/>
      </w:pPr>
      <w:r>
        <w:rPr>
          <w:rFonts w:ascii="Times New Roman"/>
          <w:b w:val="false"/>
          <w:i w:val="false"/>
          <w:color w:val="000000"/>
          <w:sz w:val="28"/>
        </w:rPr>
        <w:t>
      на расчетный срок:</w:t>
      </w:r>
    </w:p>
    <w:bookmarkEnd w:id="229"/>
    <w:bookmarkStart w:name="z238" w:id="230"/>
    <w:p>
      <w:pPr>
        <w:spacing w:after="0"/>
        <w:ind w:left="0"/>
        <w:jc w:val="both"/>
      </w:pPr>
      <w:r>
        <w:rPr>
          <w:rFonts w:ascii="Times New Roman"/>
          <w:b w:val="false"/>
          <w:i w:val="false"/>
          <w:color w:val="000000"/>
          <w:sz w:val="28"/>
        </w:rPr>
        <w:t>
      строительство южной части Большой Актюбинской кольцевой автодороги (БАКАД) на пересечениях с автодорогами М-32 (запад) (полный клеверный лист), М-32 (восток) (полный клеверный лист), А-24 (полный клеверный лист), А-27 (полный клеверный лист), КД-5 (полный клеверный лист), 2 развязки (тип "труба") выходы МТК;</w:t>
      </w:r>
    </w:p>
    <w:bookmarkEnd w:id="230"/>
    <w:bookmarkStart w:name="z239" w:id="231"/>
    <w:p>
      <w:pPr>
        <w:spacing w:after="0"/>
        <w:ind w:left="0"/>
        <w:jc w:val="both"/>
      </w:pPr>
      <w:r>
        <w:rPr>
          <w:rFonts w:ascii="Times New Roman"/>
          <w:b w:val="false"/>
          <w:i w:val="false"/>
          <w:color w:val="000000"/>
          <w:sz w:val="28"/>
        </w:rPr>
        <w:t>
      строительство транспортных развязок на пересечениях проспекта Абылкайыр хана с проспектом Алии Молдагуловой (полный клеверный лист) и улицей Газизы Жубановой (полный клеверный лист);</w:t>
      </w:r>
    </w:p>
    <w:bookmarkEnd w:id="231"/>
    <w:bookmarkStart w:name="z240" w:id="232"/>
    <w:p>
      <w:pPr>
        <w:spacing w:after="0"/>
        <w:ind w:left="0"/>
        <w:jc w:val="both"/>
      </w:pPr>
      <w:r>
        <w:rPr>
          <w:rFonts w:ascii="Times New Roman"/>
          <w:b w:val="false"/>
          <w:i w:val="false"/>
          <w:color w:val="000000"/>
          <w:sz w:val="28"/>
        </w:rPr>
        <w:t>
      строительство железнодорожного обхода на пересечениях с автодорогами М-32 и КД-5 строительство двух путепроводов;</w:t>
      </w:r>
    </w:p>
    <w:bookmarkEnd w:id="232"/>
    <w:bookmarkStart w:name="z241" w:id="233"/>
    <w:p>
      <w:pPr>
        <w:spacing w:after="0"/>
        <w:ind w:left="0"/>
        <w:jc w:val="both"/>
      </w:pPr>
      <w:r>
        <w:rPr>
          <w:rFonts w:ascii="Times New Roman"/>
          <w:b w:val="false"/>
          <w:i w:val="false"/>
          <w:color w:val="000000"/>
          <w:sz w:val="28"/>
        </w:rPr>
        <w:t>
      строительство большого транспортного кольца – на пересечениях с магистральными дорогами строительство транспортных двухуровневых развязок.</w:t>
      </w:r>
    </w:p>
    <w:bookmarkEnd w:id="233"/>
    <w:bookmarkStart w:name="z242" w:id="234"/>
    <w:p>
      <w:pPr>
        <w:spacing w:after="0"/>
        <w:ind w:left="0"/>
        <w:jc w:val="both"/>
      </w:pPr>
      <w:r>
        <w:rPr>
          <w:rFonts w:ascii="Times New Roman"/>
          <w:b w:val="false"/>
          <w:i w:val="false"/>
          <w:color w:val="000000"/>
          <w:sz w:val="28"/>
        </w:rPr>
        <w:t>
      Для организации работы внутригородского транспорта на перспективу необходимо разработать сбалансированную систему маршрутной сети, предусмотреть дальнейшее совершенствование внутригородских транспортных связей, строительство карманов для остановки автобусов, строительство остановочных пунктов с современным оборудованием.</w:t>
      </w:r>
    </w:p>
    <w:bookmarkEnd w:id="234"/>
    <w:bookmarkStart w:name="z243" w:id="235"/>
    <w:p>
      <w:pPr>
        <w:spacing w:after="0"/>
        <w:ind w:left="0"/>
        <w:jc w:val="both"/>
      </w:pPr>
      <w:r>
        <w:rPr>
          <w:rFonts w:ascii="Times New Roman"/>
          <w:b w:val="false"/>
          <w:i w:val="false"/>
          <w:color w:val="000000"/>
          <w:sz w:val="28"/>
        </w:rPr>
        <w:t>
      Для увеличения скорости движения автобусов и уменьшения затрат времени пассажиров, передвигающихся на общественном транспорте, проектом предлагается обустройство выделенных полос для общественного транспорта.</w:t>
      </w:r>
    </w:p>
    <w:bookmarkEnd w:id="235"/>
    <w:bookmarkStart w:name="z244" w:id="236"/>
    <w:p>
      <w:pPr>
        <w:spacing w:after="0"/>
        <w:ind w:left="0"/>
        <w:jc w:val="both"/>
      </w:pPr>
      <w:r>
        <w:rPr>
          <w:rFonts w:ascii="Times New Roman"/>
          <w:b w:val="false"/>
          <w:i w:val="false"/>
          <w:color w:val="000000"/>
          <w:sz w:val="28"/>
        </w:rPr>
        <w:t>
      Для уменьшения затрат времени на передвижение населения по городу Актобе, связи отдаленных районов с центром Генеральным планом предусмотрено строительство линии пассажирского легкорельсового транспорта.</w:t>
      </w:r>
    </w:p>
    <w:bookmarkEnd w:id="236"/>
    <w:bookmarkStart w:name="z245" w:id="237"/>
    <w:p>
      <w:pPr>
        <w:spacing w:after="0"/>
        <w:ind w:left="0"/>
        <w:jc w:val="both"/>
      </w:pPr>
      <w:r>
        <w:rPr>
          <w:rFonts w:ascii="Times New Roman"/>
          <w:b w:val="false"/>
          <w:i w:val="false"/>
          <w:color w:val="000000"/>
          <w:sz w:val="28"/>
        </w:rPr>
        <w:t>
      Линия легкорельсового транспорта пройдет по М-32 "Граница Российской Федерации на (Самару) – Шымкент" от жилого массива Курашасай на западе, по проспекту Едиге Батыра, проспекту Алии Молдагуловой, проспекту Кенеса Нокина, улице Д.А. Кунаева, улице Мухаммед-Салыка Бабажанова, проспекту Бауыржана Момышулы, жилому массиву Рауан и далее по М-32 "Граница Российской Федерации на (Самару) – Шымкент" за пересечение Р-50 "Северный обход города Актобе". Система включит в себя 18 станций, расположение которых предусматривается примерно через 1,5-2,0 км.</w:t>
      </w:r>
    </w:p>
    <w:bookmarkEnd w:id="237"/>
    <w:bookmarkStart w:name="z246" w:id="238"/>
    <w:p>
      <w:pPr>
        <w:spacing w:after="0"/>
        <w:ind w:left="0"/>
        <w:jc w:val="both"/>
      </w:pPr>
      <w:r>
        <w:rPr>
          <w:rFonts w:ascii="Times New Roman"/>
          <w:b w:val="false"/>
          <w:i w:val="false"/>
          <w:color w:val="000000"/>
          <w:sz w:val="28"/>
        </w:rPr>
        <w:t>
      Протяженность линии легкорельсового транспорта в границах проектирования составит 101 км в обоих направлениях.</w:t>
      </w:r>
    </w:p>
    <w:bookmarkEnd w:id="238"/>
    <w:bookmarkStart w:name="z247" w:id="239"/>
    <w:p>
      <w:pPr>
        <w:spacing w:after="0"/>
        <w:ind w:left="0"/>
        <w:jc w:val="both"/>
      </w:pPr>
      <w:r>
        <w:rPr>
          <w:rFonts w:ascii="Times New Roman"/>
          <w:b w:val="false"/>
          <w:i w:val="false"/>
          <w:color w:val="000000"/>
          <w:sz w:val="28"/>
        </w:rPr>
        <w:t>
      Строительство депо предлагается юго-восточнее пересечения трассы М-32 "Граница Российской Федерации на (Самару) – Шымкент" с Р-50 "Северный обход города Актобе" в районе жилого массива Беккул Баба.</w:t>
      </w:r>
    </w:p>
    <w:bookmarkEnd w:id="239"/>
    <w:bookmarkStart w:name="z248" w:id="240"/>
    <w:p>
      <w:pPr>
        <w:spacing w:after="0"/>
        <w:ind w:left="0"/>
        <w:jc w:val="both"/>
      </w:pPr>
      <w:r>
        <w:rPr>
          <w:rFonts w:ascii="Times New Roman"/>
          <w:b w:val="false"/>
          <w:i w:val="false"/>
          <w:color w:val="000000"/>
          <w:sz w:val="28"/>
        </w:rPr>
        <w:t>
      Генеральным планом рекомендуются на перспективу создание в городе различных видов велосервиса, строительство велодорожек в новых районах и обеспечение их соответствующими дорожными знаками. На первую очередь планируется строительство 51,5 км велодорожек на существующей улично-дорожной сети, на расчетный срок 115,0 км.</w:t>
      </w:r>
    </w:p>
    <w:bookmarkEnd w:id="240"/>
    <w:bookmarkStart w:name="z249" w:id="241"/>
    <w:p>
      <w:pPr>
        <w:spacing w:after="0"/>
        <w:ind w:left="0"/>
        <w:jc w:val="left"/>
      </w:pPr>
      <w:r>
        <w:rPr>
          <w:rFonts w:ascii="Times New Roman"/>
          <w:b/>
          <w:i w:val="false"/>
          <w:color w:val="000000"/>
        </w:rPr>
        <w:t xml:space="preserve"> Глава 11. Инженерная инфраструктура</w:t>
      </w:r>
    </w:p>
    <w:bookmarkEnd w:id="241"/>
    <w:bookmarkStart w:name="z250" w:id="242"/>
    <w:p>
      <w:pPr>
        <w:spacing w:after="0"/>
        <w:ind w:left="0"/>
        <w:jc w:val="left"/>
      </w:pPr>
      <w:r>
        <w:rPr>
          <w:rFonts w:ascii="Times New Roman"/>
          <w:b/>
          <w:i w:val="false"/>
          <w:color w:val="000000"/>
        </w:rPr>
        <w:t xml:space="preserve"> Параграф 1. Водоснабжение</w:t>
      </w:r>
    </w:p>
    <w:bookmarkEnd w:id="242"/>
    <w:bookmarkStart w:name="z251" w:id="243"/>
    <w:p>
      <w:pPr>
        <w:spacing w:after="0"/>
        <w:ind w:left="0"/>
        <w:jc w:val="both"/>
      </w:pPr>
      <w:r>
        <w:rPr>
          <w:rFonts w:ascii="Times New Roman"/>
          <w:b w:val="false"/>
          <w:i w:val="false"/>
          <w:color w:val="000000"/>
          <w:sz w:val="28"/>
        </w:rPr>
        <w:t>
      Водоснабжение города Актобе на перспективу предлагается осуществлять из существующего подземного источника Кундактакырского и Илекского месторождений. Общий баланс подземных вод в районе города Актобе с утвержденными запасами составляет 424,3 тыс. м³/сутки, что обеспечивает потребность в воде на 2050 год.</w:t>
      </w:r>
    </w:p>
    <w:bookmarkEnd w:id="243"/>
    <w:bookmarkStart w:name="z252" w:id="244"/>
    <w:p>
      <w:pPr>
        <w:spacing w:after="0"/>
        <w:ind w:left="0"/>
        <w:jc w:val="both"/>
      </w:pPr>
      <w:r>
        <w:rPr>
          <w:rFonts w:ascii="Times New Roman"/>
          <w:b w:val="false"/>
          <w:i w:val="false"/>
          <w:color w:val="000000"/>
          <w:sz w:val="28"/>
        </w:rPr>
        <w:t>
      Для бесперебойного водоснабжения и обеспечения качественной водой города Актобе разработан рабочий проект "Реконструкция водовода от Верхне-Каргалинского водозабора до 2-го подъема Нижне-Каргалинского водозабора города Актобе".</w:t>
      </w:r>
    </w:p>
    <w:bookmarkEnd w:id="244"/>
    <w:bookmarkStart w:name="z253" w:id="245"/>
    <w:p>
      <w:pPr>
        <w:spacing w:after="0"/>
        <w:ind w:left="0"/>
        <w:jc w:val="both"/>
      </w:pPr>
      <w:r>
        <w:rPr>
          <w:rFonts w:ascii="Times New Roman"/>
          <w:b w:val="false"/>
          <w:i w:val="false"/>
          <w:color w:val="000000"/>
          <w:sz w:val="28"/>
        </w:rPr>
        <w:t>
      Проектом предусматривается строительство двух линий напорных водоводов диаметром 600 мм до Нижне-Каргалинской насосной станции 2-го подъема, соединительных водоводов диаметром 150 мм.</w:t>
      </w:r>
    </w:p>
    <w:bookmarkEnd w:id="245"/>
    <w:bookmarkStart w:name="z254" w:id="246"/>
    <w:p>
      <w:pPr>
        <w:spacing w:after="0"/>
        <w:ind w:left="0"/>
        <w:jc w:val="both"/>
      </w:pPr>
      <w:r>
        <w:rPr>
          <w:rFonts w:ascii="Times New Roman"/>
          <w:b w:val="false"/>
          <w:i w:val="false"/>
          <w:color w:val="000000"/>
          <w:sz w:val="28"/>
        </w:rPr>
        <w:t>
      Схема хозяйственно-питьевого водоснабжения сохраняется по существующей схеме с использованием подземных вод Верхне-Каргалинского, Кундактыкырского, Илекских Правобережного и Левобережного, а также Тамдинского водозаборов.</w:t>
      </w:r>
    </w:p>
    <w:bookmarkEnd w:id="246"/>
    <w:bookmarkStart w:name="z255" w:id="247"/>
    <w:p>
      <w:pPr>
        <w:spacing w:after="0"/>
        <w:ind w:left="0"/>
        <w:jc w:val="both"/>
      </w:pPr>
      <w:r>
        <w:rPr>
          <w:rFonts w:ascii="Times New Roman"/>
          <w:b w:val="false"/>
          <w:i w:val="false"/>
          <w:color w:val="000000"/>
          <w:sz w:val="28"/>
        </w:rPr>
        <w:t>
      Ориентировочная протяженность проектируемых магистральных водопроводных сетей (диаметром 100-800 мм) на расчетный срок составит 387,8 км, в том числе на 1-ю очередь строительства – 66,1 км.</w:t>
      </w:r>
    </w:p>
    <w:bookmarkEnd w:id="247"/>
    <w:bookmarkStart w:name="z256" w:id="248"/>
    <w:p>
      <w:pPr>
        <w:spacing w:after="0"/>
        <w:ind w:left="0"/>
        <w:jc w:val="both"/>
      </w:pPr>
      <w:r>
        <w:rPr>
          <w:rFonts w:ascii="Times New Roman"/>
          <w:b w:val="false"/>
          <w:i w:val="false"/>
          <w:color w:val="000000"/>
          <w:sz w:val="28"/>
        </w:rPr>
        <w:t>
      Суммарный расчетный объем водопотребления на первую очередь составляет 274,23 тыс. м³/сутки или 100544 тыс. м³/год, в том числе:</w:t>
      </w:r>
    </w:p>
    <w:bookmarkEnd w:id="248"/>
    <w:bookmarkStart w:name="z257" w:id="249"/>
    <w:p>
      <w:pPr>
        <w:spacing w:after="0"/>
        <w:ind w:left="0"/>
        <w:jc w:val="both"/>
      </w:pPr>
      <w:r>
        <w:rPr>
          <w:rFonts w:ascii="Times New Roman"/>
          <w:b w:val="false"/>
          <w:i w:val="false"/>
          <w:color w:val="000000"/>
          <w:sz w:val="28"/>
        </w:rPr>
        <w:t>
      на хозяйственно-питьевые нужды населения: 228,36 тыс. м³/сутки или 83726 тыс. м³/год;</w:t>
      </w:r>
    </w:p>
    <w:bookmarkEnd w:id="249"/>
    <w:bookmarkStart w:name="z258" w:id="250"/>
    <w:p>
      <w:pPr>
        <w:spacing w:after="0"/>
        <w:ind w:left="0"/>
        <w:jc w:val="both"/>
      </w:pPr>
      <w:r>
        <w:rPr>
          <w:rFonts w:ascii="Times New Roman"/>
          <w:b w:val="false"/>
          <w:i w:val="false"/>
          <w:color w:val="000000"/>
          <w:sz w:val="28"/>
        </w:rPr>
        <w:t>
      на производственные нужды: 45,67 тыс. м³/сутки или 16745 тыс. м³/год;</w:t>
      </w:r>
    </w:p>
    <w:bookmarkEnd w:id="250"/>
    <w:bookmarkStart w:name="z259" w:id="251"/>
    <w:p>
      <w:pPr>
        <w:spacing w:after="0"/>
        <w:ind w:left="0"/>
        <w:jc w:val="both"/>
      </w:pPr>
      <w:r>
        <w:rPr>
          <w:rFonts w:ascii="Times New Roman"/>
          <w:b w:val="false"/>
          <w:i w:val="false"/>
          <w:color w:val="000000"/>
          <w:sz w:val="28"/>
        </w:rPr>
        <w:t>
      на прочие нужды: 0,2 тыс. м³/сутки или 73 тыс. м³/год.</w:t>
      </w:r>
    </w:p>
    <w:bookmarkEnd w:id="251"/>
    <w:bookmarkStart w:name="z260" w:id="252"/>
    <w:p>
      <w:pPr>
        <w:spacing w:after="0"/>
        <w:ind w:left="0"/>
        <w:jc w:val="both"/>
      </w:pPr>
      <w:r>
        <w:rPr>
          <w:rFonts w:ascii="Times New Roman"/>
          <w:b w:val="false"/>
          <w:i w:val="false"/>
          <w:color w:val="000000"/>
          <w:sz w:val="28"/>
        </w:rPr>
        <w:t>
      Суммарный расчетный объем водопотребления на расчетный срок составляет 411 тыс. м³/сутки или 150046 тыс. м³/год, в том числе:</w:t>
      </w:r>
    </w:p>
    <w:bookmarkEnd w:id="252"/>
    <w:bookmarkStart w:name="z261" w:id="253"/>
    <w:p>
      <w:pPr>
        <w:spacing w:after="0"/>
        <w:ind w:left="0"/>
        <w:jc w:val="both"/>
      </w:pPr>
      <w:r>
        <w:rPr>
          <w:rFonts w:ascii="Times New Roman"/>
          <w:b w:val="false"/>
          <w:i w:val="false"/>
          <w:color w:val="000000"/>
          <w:sz w:val="28"/>
        </w:rPr>
        <w:t>
      на хозяйственно-питьевые нужды населения: 342,0 тыс. м³/сутки, 124856 тыс. м³/год;</w:t>
      </w:r>
    </w:p>
    <w:bookmarkEnd w:id="253"/>
    <w:bookmarkStart w:name="z262" w:id="254"/>
    <w:p>
      <w:pPr>
        <w:spacing w:after="0"/>
        <w:ind w:left="0"/>
        <w:jc w:val="both"/>
      </w:pPr>
      <w:r>
        <w:rPr>
          <w:rFonts w:ascii="Times New Roman"/>
          <w:b w:val="false"/>
          <w:i w:val="false"/>
          <w:color w:val="000000"/>
          <w:sz w:val="28"/>
        </w:rPr>
        <w:t>
      на производственные нужды: 68,4 тыс. м³/сутки, 24971 тыс. м³/год;</w:t>
      </w:r>
    </w:p>
    <w:bookmarkEnd w:id="254"/>
    <w:bookmarkStart w:name="z263" w:id="255"/>
    <w:p>
      <w:pPr>
        <w:spacing w:after="0"/>
        <w:ind w:left="0"/>
        <w:jc w:val="both"/>
      </w:pPr>
      <w:r>
        <w:rPr>
          <w:rFonts w:ascii="Times New Roman"/>
          <w:b w:val="false"/>
          <w:i w:val="false"/>
          <w:color w:val="000000"/>
          <w:sz w:val="28"/>
        </w:rPr>
        <w:t>
      на прочие нужды: 0,6 тыс. м³/сутки, 219 тыс. м³/год.</w:t>
      </w:r>
    </w:p>
    <w:bookmarkEnd w:id="255"/>
    <w:bookmarkStart w:name="z264" w:id="256"/>
    <w:p>
      <w:pPr>
        <w:spacing w:after="0"/>
        <w:ind w:left="0"/>
        <w:jc w:val="both"/>
      </w:pPr>
      <w:r>
        <w:rPr>
          <w:rFonts w:ascii="Times New Roman"/>
          <w:b w:val="false"/>
          <w:i w:val="false"/>
          <w:color w:val="000000"/>
          <w:sz w:val="28"/>
        </w:rPr>
        <w:t>
      Развитие систем водоснабжения в рамках Генерального плана предусматривает следующее:</w:t>
      </w:r>
    </w:p>
    <w:bookmarkEnd w:id="256"/>
    <w:bookmarkStart w:name="z265" w:id="257"/>
    <w:p>
      <w:pPr>
        <w:spacing w:after="0"/>
        <w:ind w:left="0"/>
        <w:jc w:val="both"/>
      </w:pPr>
      <w:r>
        <w:rPr>
          <w:rFonts w:ascii="Times New Roman"/>
          <w:b w:val="false"/>
          <w:i w:val="false"/>
          <w:color w:val="000000"/>
          <w:sz w:val="28"/>
        </w:rPr>
        <w:t>
      на первую очередь:</w:t>
      </w:r>
    </w:p>
    <w:bookmarkEnd w:id="257"/>
    <w:bookmarkStart w:name="z266" w:id="258"/>
    <w:p>
      <w:pPr>
        <w:spacing w:after="0"/>
        <w:ind w:left="0"/>
        <w:jc w:val="both"/>
      </w:pPr>
      <w:r>
        <w:rPr>
          <w:rFonts w:ascii="Times New Roman"/>
          <w:b w:val="false"/>
          <w:i w:val="false"/>
          <w:color w:val="000000"/>
          <w:sz w:val="28"/>
        </w:rPr>
        <w:t>
      строительство магистральных водопроводных сетей диаметром 100-800 мм, общей протяженностью 66,1 км;</w:t>
      </w:r>
    </w:p>
    <w:bookmarkEnd w:id="258"/>
    <w:bookmarkStart w:name="z267" w:id="259"/>
    <w:p>
      <w:pPr>
        <w:spacing w:after="0"/>
        <w:ind w:left="0"/>
        <w:jc w:val="both"/>
      </w:pPr>
      <w:r>
        <w:rPr>
          <w:rFonts w:ascii="Times New Roman"/>
          <w:b w:val="false"/>
          <w:i w:val="false"/>
          <w:color w:val="000000"/>
          <w:sz w:val="28"/>
        </w:rPr>
        <w:t>
      реконструкцию существующих магистральных водопроводных сетей – 92 км;</w:t>
      </w:r>
    </w:p>
    <w:bookmarkEnd w:id="259"/>
    <w:bookmarkStart w:name="z268" w:id="260"/>
    <w:p>
      <w:pPr>
        <w:spacing w:after="0"/>
        <w:ind w:left="0"/>
        <w:jc w:val="both"/>
      </w:pPr>
      <w:r>
        <w:rPr>
          <w:rFonts w:ascii="Times New Roman"/>
          <w:b w:val="false"/>
          <w:i w:val="false"/>
          <w:color w:val="000000"/>
          <w:sz w:val="28"/>
        </w:rPr>
        <w:t>
      строительство резервуаров питьевой воды (V-10000 м³ каждый) – 16 ед.;</w:t>
      </w:r>
    </w:p>
    <w:bookmarkEnd w:id="260"/>
    <w:bookmarkStart w:name="z269" w:id="261"/>
    <w:p>
      <w:pPr>
        <w:spacing w:after="0"/>
        <w:ind w:left="0"/>
        <w:jc w:val="both"/>
      </w:pPr>
      <w:r>
        <w:rPr>
          <w:rFonts w:ascii="Times New Roman"/>
          <w:b w:val="false"/>
          <w:i w:val="false"/>
          <w:color w:val="000000"/>
          <w:sz w:val="28"/>
        </w:rPr>
        <w:t>
      организацию мониторинга качества питьевой воды, подаваемой населению;</w:t>
      </w:r>
    </w:p>
    <w:bookmarkEnd w:id="261"/>
    <w:bookmarkStart w:name="z270" w:id="262"/>
    <w:p>
      <w:pPr>
        <w:spacing w:after="0"/>
        <w:ind w:left="0"/>
        <w:jc w:val="both"/>
      </w:pPr>
      <w:r>
        <w:rPr>
          <w:rFonts w:ascii="Times New Roman"/>
          <w:b w:val="false"/>
          <w:i w:val="false"/>
          <w:color w:val="000000"/>
          <w:sz w:val="28"/>
        </w:rPr>
        <w:t>
      разработку проектов и предложений по оптимизации водопользования с применением повторного использования воды;</w:t>
      </w:r>
    </w:p>
    <w:bookmarkEnd w:id="262"/>
    <w:bookmarkStart w:name="z271" w:id="263"/>
    <w:p>
      <w:pPr>
        <w:spacing w:after="0"/>
        <w:ind w:left="0"/>
        <w:jc w:val="both"/>
      </w:pPr>
      <w:r>
        <w:rPr>
          <w:rFonts w:ascii="Times New Roman"/>
          <w:b w:val="false"/>
          <w:i w:val="false"/>
          <w:color w:val="000000"/>
          <w:sz w:val="28"/>
        </w:rPr>
        <w:t>
      на расчетный срок:</w:t>
      </w:r>
    </w:p>
    <w:bookmarkEnd w:id="263"/>
    <w:bookmarkStart w:name="z272" w:id="264"/>
    <w:p>
      <w:pPr>
        <w:spacing w:after="0"/>
        <w:ind w:left="0"/>
        <w:jc w:val="both"/>
      </w:pPr>
      <w:r>
        <w:rPr>
          <w:rFonts w:ascii="Times New Roman"/>
          <w:b w:val="false"/>
          <w:i w:val="false"/>
          <w:color w:val="000000"/>
          <w:sz w:val="28"/>
        </w:rPr>
        <w:t>
      строительство магистральных водопроводных сетей диаметром 100-800 мм, общей протяженностью 321,7 км;</w:t>
      </w:r>
    </w:p>
    <w:bookmarkEnd w:id="264"/>
    <w:bookmarkStart w:name="z273" w:id="265"/>
    <w:p>
      <w:pPr>
        <w:spacing w:after="0"/>
        <w:ind w:left="0"/>
        <w:jc w:val="both"/>
      </w:pPr>
      <w:r>
        <w:rPr>
          <w:rFonts w:ascii="Times New Roman"/>
          <w:b w:val="false"/>
          <w:i w:val="false"/>
          <w:color w:val="000000"/>
          <w:sz w:val="28"/>
        </w:rPr>
        <w:t>
      реконструкцию существующих магистральных водопроводных сетей – 70 км;</w:t>
      </w:r>
    </w:p>
    <w:bookmarkEnd w:id="265"/>
    <w:bookmarkStart w:name="z274" w:id="266"/>
    <w:p>
      <w:pPr>
        <w:spacing w:after="0"/>
        <w:ind w:left="0"/>
        <w:jc w:val="both"/>
      </w:pPr>
      <w:r>
        <w:rPr>
          <w:rFonts w:ascii="Times New Roman"/>
          <w:b w:val="false"/>
          <w:i w:val="false"/>
          <w:color w:val="000000"/>
          <w:sz w:val="28"/>
        </w:rPr>
        <w:t>
      строительство резервуаров питьевой воды (V-10000 м³ каждый) – 10 ед.;</w:t>
      </w:r>
    </w:p>
    <w:bookmarkEnd w:id="266"/>
    <w:bookmarkStart w:name="z275" w:id="267"/>
    <w:p>
      <w:pPr>
        <w:spacing w:after="0"/>
        <w:ind w:left="0"/>
        <w:jc w:val="both"/>
      </w:pPr>
      <w:r>
        <w:rPr>
          <w:rFonts w:ascii="Times New Roman"/>
          <w:b w:val="false"/>
          <w:i w:val="false"/>
          <w:color w:val="000000"/>
          <w:sz w:val="28"/>
        </w:rPr>
        <w:t>
      организацию мониторинга качества питьевой воды, подаваемой населению;</w:t>
      </w:r>
    </w:p>
    <w:bookmarkEnd w:id="267"/>
    <w:bookmarkStart w:name="z276" w:id="268"/>
    <w:p>
      <w:pPr>
        <w:spacing w:after="0"/>
        <w:ind w:left="0"/>
        <w:jc w:val="both"/>
      </w:pPr>
      <w:r>
        <w:rPr>
          <w:rFonts w:ascii="Times New Roman"/>
          <w:b w:val="false"/>
          <w:i w:val="false"/>
          <w:color w:val="000000"/>
          <w:sz w:val="28"/>
        </w:rPr>
        <w:t>
      переоценку запасов подземных вод для водоснабжения города Актобе.</w:t>
      </w:r>
    </w:p>
    <w:bookmarkEnd w:id="268"/>
    <w:bookmarkStart w:name="z277" w:id="269"/>
    <w:p>
      <w:pPr>
        <w:spacing w:after="0"/>
        <w:ind w:left="0"/>
        <w:jc w:val="left"/>
      </w:pPr>
      <w:r>
        <w:rPr>
          <w:rFonts w:ascii="Times New Roman"/>
          <w:b/>
          <w:i w:val="false"/>
          <w:color w:val="000000"/>
        </w:rPr>
        <w:t xml:space="preserve"> Параграф 2. Водоотведение</w:t>
      </w:r>
    </w:p>
    <w:bookmarkEnd w:id="269"/>
    <w:bookmarkStart w:name="z278" w:id="270"/>
    <w:p>
      <w:pPr>
        <w:spacing w:after="0"/>
        <w:ind w:left="0"/>
        <w:jc w:val="both"/>
      </w:pPr>
      <w:r>
        <w:rPr>
          <w:rFonts w:ascii="Times New Roman"/>
          <w:b w:val="false"/>
          <w:i w:val="false"/>
          <w:color w:val="000000"/>
          <w:sz w:val="28"/>
        </w:rPr>
        <w:t>
      Генеральным планом для каждого административного района предусмотрено строительство новых комплексов очистных сооружений сточных вод. Для административного района "Алматы" комплекс очистных сооружений будет располагаться в юго-восточной части города Актобе, для административного района "Астана" – в северо-западной части.</w:t>
      </w:r>
    </w:p>
    <w:bookmarkEnd w:id="270"/>
    <w:bookmarkStart w:name="z279" w:id="271"/>
    <w:p>
      <w:pPr>
        <w:spacing w:after="0"/>
        <w:ind w:left="0"/>
        <w:jc w:val="both"/>
      </w:pPr>
      <w:r>
        <w:rPr>
          <w:rFonts w:ascii="Times New Roman"/>
          <w:b w:val="false"/>
          <w:i w:val="false"/>
          <w:color w:val="000000"/>
          <w:sz w:val="28"/>
        </w:rPr>
        <w:t>
      Каждый комплекс очистных сооружений представляет собой очистную станцию глубокой очистки сточных вод, обеспечивающую степень очистки с повторным использованием очищенных сточных вод на полив лесонасаждений, что позволит экономить свежую воду. Очищенные сточные воды необходимо отводить в пруд-накопитель.</w:t>
      </w:r>
    </w:p>
    <w:bookmarkEnd w:id="271"/>
    <w:bookmarkStart w:name="z280" w:id="272"/>
    <w:p>
      <w:pPr>
        <w:spacing w:after="0"/>
        <w:ind w:left="0"/>
        <w:jc w:val="both"/>
      </w:pPr>
      <w:r>
        <w:rPr>
          <w:rFonts w:ascii="Times New Roman"/>
          <w:b w:val="false"/>
          <w:i w:val="false"/>
          <w:color w:val="000000"/>
          <w:sz w:val="28"/>
        </w:rPr>
        <w:t>
      Кроме того, Генеральным планом предусмотрена реконструкция системы водоотведения, которая заключается в расширении сетей с целью обеспечения канализационной сетью кварталов с застройкой и замены участков трубопровода (износ канализационных сетей составляет 78,2 %). Внутригородские канализационные сети запроектированы диаметром 200-1000 мм. В связи с расширением системы водоотведения изменится состав сточных вод, увеличится их расход, следовательно увеличится диаметр напорных трубопроводов, подающих сточные воды на канализационную насосную станцию.</w:t>
      </w:r>
    </w:p>
    <w:bookmarkEnd w:id="272"/>
    <w:bookmarkStart w:name="z281" w:id="273"/>
    <w:p>
      <w:pPr>
        <w:spacing w:after="0"/>
        <w:ind w:left="0"/>
        <w:jc w:val="both"/>
      </w:pPr>
      <w:r>
        <w:rPr>
          <w:rFonts w:ascii="Times New Roman"/>
          <w:b w:val="false"/>
          <w:i w:val="false"/>
          <w:color w:val="000000"/>
          <w:sz w:val="28"/>
        </w:rPr>
        <w:t>
      Ориентировочная протяженность проектируемых магистральных канализационных сетей диаметрами 200-1000 мм на перспективу ориентировочно составит 393,6 км, в том числе на 1-ю очередь строительства протяженность канализационной сети – 90,6 км.</w:t>
      </w:r>
    </w:p>
    <w:bookmarkEnd w:id="273"/>
    <w:bookmarkStart w:name="z282" w:id="274"/>
    <w:p>
      <w:pPr>
        <w:spacing w:after="0"/>
        <w:ind w:left="0"/>
        <w:jc w:val="both"/>
      </w:pPr>
      <w:r>
        <w:rPr>
          <w:rFonts w:ascii="Times New Roman"/>
          <w:b w:val="false"/>
          <w:i w:val="false"/>
          <w:color w:val="000000"/>
          <w:sz w:val="28"/>
        </w:rPr>
        <w:t>
      Суммарный расчетный объем водоотведения для города Актобе на первую очередь составит 234,18 тыс. м³/сутки или 85663 тыс. м³/год.</w:t>
      </w:r>
    </w:p>
    <w:bookmarkEnd w:id="274"/>
    <w:bookmarkStart w:name="z283" w:id="275"/>
    <w:p>
      <w:pPr>
        <w:spacing w:after="0"/>
        <w:ind w:left="0"/>
        <w:jc w:val="both"/>
      </w:pPr>
      <w:r>
        <w:rPr>
          <w:rFonts w:ascii="Times New Roman"/>
          <w:b w:val="false"/>
          <w:i w:val="false"/>
          <w:color w:val="000000"/>
          <w:sz w:val="28"/>
        </w:rPr>
        <w:t>
      Суммарный расчетный объем водоотведения для города Актобе на расчетный срок составит 350,6 тыс. м³/сутки или 127851 тыс. м³/год.</w:t>
      </w:r>
    </w:p>
    <w:bookmarkEnd w:id="275"/>
    <w:bookmarkStart w:name="z284" w:id="276"/>
    <w:p>
      <w:pPr>
        <w:spacing w:after="0"/>
        <w:ind w:left="0"/>
        <w:jc w:val="both"/>
      </w:pPr>
      <w:r>
        <w:rPr>
          <w:rFonts w:ascii="Times New Roman"/>
          <w:b w:val="false"/>
          <w:i w:val="false"/>
          <w:color w:val="000000"/>
          <w:sz w:val="28"/>
        </w:rPr>
        <w:t>
      Развитие систем водоотведения в рамках Генерального плана предусматривает следующие мероприятия:</w:t>
      </w:r>
    </w:p>
    <w:bookmarkEnd w:id="276"/>
    <w:bookmarkStart w:name="z285" w:id="277"/>
    <w:p>
      <w:pPr>
        <w:spacing w:after="0"/>
        <w:ind w:left="0"/>
        <w:jc w:val="both"/>
      </w:pPr>
      <w:r>
        <w:rPr>
          <w:rFonts w:ascii="Times New Roman"/>
          <w:b w:val="false"/>
          <w:i w:val="false"/>
          <w:color w:val="000000"/>
          <w:sz w:val="28"/>
        </w:rPr>
        <w:t>
      на первую очередь строительства:</w:t>
      </w:r>
    </w:p>
    <w:bookmarkEnd w:id="277"/>
    <w:bookmarkStart w:name="z286" w:id="278"/>
    <w:p>
      <w:pPr>
        <w:spacing w:after="0"/>
        <w:ind w:left="0"/>
        <w:jc w:val="both"/>
      </w:pPr>
      <w:r>
        <w:rPr>
          <w:rFonts w:ascii="Times New Roman"/>
          <w:b w:val="false"/>
          <w:i w:val="false"/>
          <w:color w:val="000000"/>
          <w:sz w:val="28"/>
        </w:rPr>
        <w:t>
      строительство магистральных канализационных сетей диаметром 200-1000 мм, протяженностью 90,6 км;</w:t>
      </w:r>
    </w:p>
    <w:bookmarkEnd w:id="278"/>
    <w:bookmarkStart w:name="z287" w:id="279"/>
    <w:p>
      <w:pPr>
        <w:spacing w:after="0"/>
        <w:ind w:left="0"/>
        <w:jc w:val="both"/>
      </w:pPr>
      <w:r>
        <w:rPr>
          <w:rFonts w:ascii="Times New Roman"/>
          <w:b w:val="false"/>
          <w:i w:val="false"/>
          <w:color w:val="000000"/>
          <w:sz w:val="28"/>
        </w:rPr>
        <w:t>
      реконструкцию существующих магистральных канализационных сетей – 60 км;</w:t>
      </w:r>
    </w:p>
    <w:bookmarkEnd w:id="279"/>
    <w:bookmarkStart w:name="z288" w:id="280"/>
    <w:p>
      <w:pPr>
        <w:spacing w:after="0"/>
        <w:ind w:left="0"/>
        <w:jc w:val="both"/>
      </w:pPr>
      <w:r>
        <w:rPr>
          <w:rFonts w:ascii="Times New Roman"/>
          <w:b w:val="false"/>
          <w:i w:val="false"/>
          <w:color w:val="000000"/>
          <w:sz w:val="28"/>
        </w:rPr>
        <w:t>
      проектирование и строительство канализационных насосных станций – 2 ед.;</w:t>
      </w:r>
    </w:p>
    <w:bookmarkEnd w:id="280"/>
    <w:bookmarkStart w:name="z289" w:id="281"/>
    <w:p>
      <w:pPr>
        <w:spacing w:after="0"/>
        <w:ind w:left="0"/>
        <w:jc w:val="both"/>
      </w:pPr>
      <w:r>
        <w:rPr>
          <w:rFonts w:ascii="Times New Roman"/>
          <w:b w:val="false"/>
          <w:i w:val="false"/>
          <w:color w:val="000000"/>
          <w:sz w:val="28"/>
        </w:rPr>
        <w:t>
      реконструкцию существующих канализационных насосных станций – 19 ед.;</w:t>
      </w:r>
    </w:p>
    <w:bookmarkEnd w:id="281"/>
    <w:bookmarkStart w:name="z290" w:id="282"/>
    <w:p>
      <w:pPr>
        <w:spacing w:after="0"/>
        <w:ind w:left="0"/>
        <w:jc w:val="both"/>
      </w:pPr>
      <w:r>
        <w:rPr>
          <w:rFonts w:ascii="Times New Roman"/>
          <w:b w:val="false"/>
          <w:i w:val="false"/>
          <w:color w:val="000000"/>
          <w:sz w:val="28"/>
        </w:rPr>
        <w:t>
      проектирование и строительство комплексов очистных сооружений – 2 ед. с внедрением современных технологий очистки сточных вод и обработки осадка;</w:t>
      </w:r>
    </w:p>
    <w:bookmarkEnd w:id="282"/>
    <w:bookmarkStart w:name="z291" w:id="283"/>
    <w:p>
      <w:pPr>
        <w:spacing w:after="0"/>
        <w:ind w:left="0"/>
        <w:jc w:val="both"/>
      </w:pPr>
      <w:r>
        <w:rPr>
          <w:rFonts w:ascii="Times New Roman"/>
          <w:b w:val="false"/>
          <w:i w:val="false"/>
          <w:color w:val="000000"/>
          <w:sz w:val="28"/>
        </w:rPr>
        <w:t>
      проектирование и строительство накопителей очищенных сточных вод;</w:t>
      </w:r>
    </w:p>
    <w:bookmarkEnd w:id="283"/>
    <w:bookmarkStart w:name="z292" w:id="284"/>
    <w:p>
      <w:pPr>
        <w:spacing w:after="0"/>
        <w:ind w:left="0"/>
        <w:jc w:val="both"/>
      </w:pPr>
      <w:r>
        <w:rPr>
          <w:rFonts w:ascii="Times New Roman"/>
          <w:b w:val="false"/>
          <w:i w:val="false"/>
          <w:color w:val="000000"/>
          <w:sz w:val="28"/>
        </w:rPr>
        <w:t>
      проведение мониторинга очистки сточных вод;</w:t>
      </w:r>
    </w:p>
    <w:bookmarkEnd w:id="284"/>
    <w:bookmarkStart w:name="z293" w:id="285"/>
    <w:p>
      <w:pPr>
        <w:spacing w:after="0"/>
        <w:ind w:left="0"/>
        <w:jc w:val="both"/>
      </w:pPr>
      <w:r>
        <w:rPr>
          <w:rFonts w:ascii="Times New Roman"/>
          <w:b w:val="false"/>
          <w:i w:val="false"/>
          <w:color w:val="000000"/>
          <w:sz w:val="28"/>
        </w:rPr>
        <w:t>
      осуществление доступа к централизованному водоотведению для всего населения;</w:t>
      </w:r>
    </w:p>
    <w:bookmarkEnd w:id="285"/>
    <w:bookmarkStart w:name="z294" w:id="286"/>
    <w:p>
      <w:pPr>
        <w:spacing w:after="0"/>
        <w:ind w:left="0"/>
        <w:jc w:val="both"/>
      </w:pPr>
      <w:r>
        <w:rPr>
          <w:rFonts w:ascii="Times New Roman"/>
          <w:b w:val="false"/>
          <w:i w:val="false"/>
          <w:color w:val="000000"/>
          <w:sz w:val="28"/>
        </w:rPr>
        <w:t>
      на расчетный срок:</w:t>
      </w:r>
    </w:p>
    <w:bookmarkEnd w:id="286"/>
    <w:bookmarkStart w:name="z295" w:id="287"/>
    <w:p>
      <w:pPr>
        <w:spacing w:after="0"/>
        <w:ind w:left="0"/>
        <w:jc w:val="both"/>
      </w:pPr>
      <w:r>
        <w:rPr>
          <w:rFonts w:ascii="Times New Roman"/>
          <w:b w:val="false"/>
          <w:i w:val="false"/>
          <w:color w:val="000000"/>
          <w:sz w:val="28"/>
        </w:rPr>
        <w:t>
      строительство магистральных канализационных сетей диаметром 200-1000 мм, протяженностью 303,0 км;</w:t>
      </w:r>
    </w:p>
    <w:bookmarkEnd w:id="287"/>
    <w:bookmarkStart w:name="z296" w:id="288"/>
    <w:p>
      <w:pPr>
        <w:spacing w:after="0"/>
        <w:ind w:left="0"/>
        <w:jc w:val="both"/>
      </w:pPr>
      <w:r>
        <w:rPr>
          <w:rFonts w:ascii="Times New Roman"/>
          <w:b w:val="false"/>
          <w:i w:val="false"/>
          <w:color w:val="000000"/>
          <w:sz w:val="28"/>
        </w:rPr>
        <w:t>
      реконструкцию существующих магистральных канализационных сетей – 44,5 км;</w:t>
      </w:r>
    </w:p>
    <w:bookmarkEnd w:id="288"/>
    <w:bookmarkStart w:name="z297" w:id="289"/>
    <w:p>
      <w:pPr>
        <w:spacing w:after="0"/>
        <w:ind w:left="0"/>
        <w:jc w:val="both"/>
      </w:pPr>
      <w:r>
        <w:rPr>
          <w:rFonts w:ascii="Times New Roman"/>
          <w:b w:val="false"/>
          <w:i w:val="false"/>
          <w:color w:val="000000"/>
          <w:sz w:val="28"/>
        </w:rPr>
        <w:t>
      проектирование и строительство канализационных насосных станций – 20 ед.;</w:t>
      </w:r>
    </w:p>
    <w:bookmarkEnd w:id="289"/>
    <w:bookmarkStart w:name="z298" w:id="290"/>
    <w:p>
      <w:pPr>
        <w:spacing w:after="0"/>
        <w:ind w:left="0"/>
        <w:jc w:val="both"/>
      </w:pPr>
      <w:r>
        <w:rPr>
          <w:rFonts w:ascii="Times New Roman"/>
          <w:b w:val="false"/>
          <w:i w:val="false"/>
          <w:color w:val="000000"/>
          <w:sz w:val="28"/>
        </w:rPr>
        <w:t>
      реконструкцию существующих канализационных насосных станций – 14 ед.;</w:t>
      </w:r>
    </w:p>
    <w:bookmarkEnd w:id="290"/>
    <w:bookmarkStart w:name="z299" w:id="291"/>
    <w:p>
      <w:pPr>
        <w:spacing w:after="0"/>
        <w:ind w:left="0"/>
        <w:jc w:val="both"/>
      </w:pPr>
      <w:r>
        <w:rPr>
          <w:rFonts w:ascii="Times New Roman"/>
          <w:b w:val="false"/>
          <w:i w:val="false"/>
          <w:color w:val="000000"/>
          <w:sz w:val="28"/>
        </w:rPr>
        <w:t>
      расширение комплексов очистных сооружений – 2 ед. с внедрением современных технологий очистки сточных вод и обработки осадка;</w:t>
      </w:r>
    </w:p>
    <w:bookmarkEnd w:id="291"/>
    <w:bookmarkStart w:name="z300" w:id="292"/>
    <w:p>
      <w:pPr>
        <w:spacing w:after="0"/>
        <w:ind w:left="0"/>
        <w:jc w:val="both"/>
      </w:pPr>
      <w:r>
        <w:rPr>
          <w:rFonts w:ascii="Times New Roman"/>
          <w:b w:val="false"/>
          <w:i w:val="false"/>
          <w:color w:val="000000"/>
          <w:sz w:val="28"/>
        </w:rPr>
        <w:t>
      расширение накопителей очищенных сточных вод;</w:t>
      </w:r>
    </w:p>
    <w:bookmarkEnd w:id="292"/>
    <w:bookmarkStart w:name="z301" w:id="293"/>
    <w:p>
      <w:pPr>
        <w:spacing w:after="0"/>
        <w:ind w:left="0"/>
        <w:jc w:val="both"/>
      </w:pPr>
      <w:r>
        <w:rPr>
          <w:rFonts w:ascii="Times New Roman"/>
          <w:b w:val="false"/>
          <w:i w:val="false"/>
          <w:color w:val="000000"/>
          <w:sz w:val="28"/>
        </w:rPr>
        <w:t>
      проведение мониторинга очистки сточных вод;</w:t>
      </w:r>
    </w:p>
    <w:bookmarkEnd w:id="293"/>
    <w:bookmarkStart w:name="z302" w:id="294"/>
    <w:p>
      <w:pPr>
        <w:spacing w:after="0"/>
        <w:ind w:left="0"/>
        <w:jc w:val="both"/>
      </w:pPr>
      <w:r>
        <w:rPr>
          <w:rFonts w:ascii="Times New Roman"/>
          <w:b w:val="false"/>
          <w:i w:val="false"/>
          <w:color w:val="000000"/>
          <w:sz w:val="28"/>
        </w:rPr>
        <w:t>
      осуществление доступа к централизованному водоотведению для всего населения.</w:t>
      </w:r>
    </w:p>
    <w:bookmarkEnd w:id="294"/>
    <w:bookmarkStart w:name="z303" w:id="295"/>
    <w:p>
      <w:pPr>
        <w:spacing w:after="0"/>
        <w:ind w:left="0"/>
        <w:jc w:val="left"/>
      </w:pPr>
      <w:r>
        <w:rPr>
          <w:rFonts w:ascii="Times New Roman"/>
          <w:b/>
          <w:i w:val="false"/>
          <w:color w:val="000000"/>
        </w:rPr>
        <w:t xml:space="preserve"> Параграф 3. Санитарная очистка</w:t>
      </w:r>
    </w:p>
    <w:bookmarkEnd w:id="295"/>
    <w:bookmarkStart w:name="z304" w:id="296"/>
    <w:p>
      <w:pPr>
        <w:spacing w:after="0"/>
        <w:ind w:left="0"/>
        <w:jc w:val="both"/>
      </w:pPr>
      <w:r>
        <w:rPr>
          <w:rFonts w:ascii="Times New Roman"/>
          <w:b w:val="false"/>
          <w:i w:val="false"/>
          <w:color w:val="000000"/>
          <w:sz w:val="28"/>
        </w:rPr>
        <w:t>
      Генеральным планом предусмотрено строительство в городе Актобе мусороперерабатывающего завода полного цикла. При этом существующий полигон твердых бытовых отходов необходимо будет рекультивировать по истечении срока его эксплуатации. Строительство нового полигона необходимо осуществить к 2032 году, так как к данному сроку заканчивается эксплуатация существующего полигона.</w:t>
      </w:r>
    </w:p>
    <w:bookmarkEnd w:id="296"/>
    <w:bookmarkStart w:name="z305" w:id="297"/>
    <w:p>
      <w:pPr>
        <w:spacing w:after="0"/>
        <w:ind w:left="0"/>
        <w:jc w:val="both"/>
      </w:pPr>
      <w:r>
        <w:rPr>
          <w:rFonts w:ascii="Times New Roman"/>
          <w:b w:val="false"/>
          <w:i w:val="false"/>
          <w:color w:val="000000"/>
          <w:sz w:val="28"/>
        </w:rPr>
        <w:t>
      Новый полигон должен учитывать все экологические требования, чтобы фильтрат не попадал в грунт, не загрязнял грунтовые воды, не было вредных выбросов в атмосферу. Современные технологии учитывают преобразование отходов в производство энергии разных видов, к примеру, это биогаз и компост.</w:t>
      </w:r>
    </w:p>
    <w:bookmarkEnd w:id="297"/>
    <w:bookmarkStart w:name="z306" w:id="298"/>
    <w:p>
      <w:pPr>
        <w:spacing w:after="0"/>
        <w:ind w:left="0"/>
        <w:jc w:val="both"/>
      </w:pPr>
      <w:r>
        <w:rPr>
          <w:rFonts w:ascii="Times New Roman"/>
          <w:b w:val="false"/>
          <w:i w:val="false"/>
          <w:color w:val="000000"/>
          <w:sz w:val="28"/>
        </w:rPr>
        <w:t>
      Кроме того, в 2024 году необходимо осуществить запуск мусоросортировочного комплекса в городе Актобе.</w:t>
      </w:r>
    </w:p>
    <w:bookmarkEnd w:id="298"/>
    <w:bookmarkStart w:name="z307" w:id="299"/>
    <w:p>
      <w:pPr>
        <w:spacing w:after="0"/>
        <w:ind w:left="0"/>
        <w:jc w:val="both"/>
      </w:pPr>
      <w:r>
        <w:rPr>
          <w:rFonts w:ascii="Times New Roman"/>
          <w:b w:val="false"/>
          <w:i w:val="false"/>
          <w:color w:val="000000"/>
          <w:sz w:val="28"/>
        </w:rPr>
        <w:t>
      Расчетный объем образования бытовых отходов на перспективу для города Актобе составит: на первую очередь – 747,916 тыс. т/год, на расчетный срок – 835,556 тыс. т/год.</w:t>
      </w:r>
    </w:p>
    <w:bookmarkEnd w:id="299"/>
    <w:bookmarkStart w:name="z308" w:id="300"/>
    <w:p>
      <w:pPr>
        <w:spacing w:after="0"/>
        <w:ind w:left="0"/>
        <w:jc w:val="both"/>
      </w:pPr>
      <w:r>
        <w:rPr>
          <w:rFonts w:ascii="Times New Roman"/>
          <w:b w:val="false"/>
          <w:i w:val="false"/>
          <w:color w:val="000000"/>
          <w:sz w:val="28"/>
        </w:rPr>
        <w:t>
      Развитие санитарной очистки по Генеральному плану предусматривает следующие мероприятия:</w:t>
      </w:r>
    </w:p>
    <w:bookmarkEnd w:id="300"/>
    <w:bookmarkStart w:name="z309" w:id="301"/>
    <w:p>
      <w:pPr>
        <w:spacing w:after="0"/>
        <w:ind w:left="0"/>
        <w:jc w:val="both"/>
      </w:pPr>
      <w:r>
        <w:rPr>
          <w:rFonts w:ascii="Times New Roman"/>
          <w:b w:val="false"/>
          <w:i w:val="false"/>
          <w:color w:val="000000"/>
          <w:sz w:val="28"/>
        </w:rPr>
        <w:t>
      на первую очередь:</w:t>
      </w:r>
    </w:p>
    <w:bookmarkEnd w:id="301"/>
    <w:bookmarkStart w:name="z310" w:id="302"/>
    <w:p>
      <w:pPr>
        <w:spacing w:after="0"/>
        <w:ind w:left="0"/>
        <w:jc w:val="both"/>
      </w:pPr>
      <w:r>
        <w:rPr>
          <w:rFonts w:ascii="Times New Roman"/>
          <w:b w:val="false"/>
          <w:i w:val="false"/>
          <w:color w:val="000000"/>
          <w:sz w:val="28"/>
        </w:rPr>
        <w:t>
      проектирование полигонов твердых бытовых отходов;</w:t>
      </w:r>
    </w:p>
    <w:bookmarkEnd w:id="302"/>
    <w:bookmarkStart w:name="z311" w:id="303"/>
    <w:p>
      <w:pPr>
        <w:spacing w:after="0"/>
        <w:ind w:left="0"/>
        <w:jc w:val="both"/>
      </w:pPr>
      <w:r>
        <w:rPr>
          <w:rFonts w:ascii="Times New Roman"/>
          <w:b w:val="false"/>
          <w:i w:val="false"/>
          <w:color w:val="000000"/>
          <w:sz w:val="28"/>
        </w:rPr>
        <w:t>
      проектирование мусороперерабатывающего завода;</w:t>
      </w:r>
    </w:p>
    <w:bookmarkEnd w:id="303"/>
    <w:bookmarkStart w:name="z312" w:id="304"/>
    <w:p>
      <w:pPr>
        <w:spacing w:after="0"/>
        <w:ind w:left="0"/>
        <w:jc w:val="both"/>
      </w:pPr>
      <w:r>
        <w:rPr>
          <w:rFonts w:ascii="Times New Roman"/>
          <w:b w:val="false"/>
          <w:i w:val="false"/>
          <w:color w:val="000000"/>
          <w:sz w:val="28"/>
        </w:rPr>
        <w:t>
      установку мусорных контейнеров (V=1,1 м³) – 4492 шт.;</w:t>
      </w:r>
    </w:p>
    <w:bookmarkEnd w:id="304"/>
    <w:bookmarkStart w:name="z313" w:id="305"/>
    <w:p>
      <w:pPr>
        <w:spacing w:after="0"/>
        <w:ind w:left="0"/>
        <w:jc w:val="both"/>
      </w:pPr>
      <w:r>
        <w:rPr>
          <w:rFonts w:ascii="Times New Roman"/>
          <w:b w:val="false"/>
          <w:i w:val="false"/>
          <w:color w:val="000000"/>
          <w:sz w:val="28"/>
        </w:rPr>
        <w:t>
      приобретение автотранспорта (в т.ч. поливомоечные, подметально-уборочные, ассенизационные, мусороуборочные, снегопогрузочные, песко (хлоридно) разбрасывающие автомашины) – не менее 7900 ед.;</w:t>
      </w:r>
    </w:p>
    <w:bookmarkEnd w:id="305"/>
    <w:bookmarkStart w:name="z314" w:id="306"/>
    <w:p>
      <w:pPr>
        <w:spacing w:after="0"/>
        <w:ind w:left="0"/>
        <w:jc w:val="both"/>
      </w:pPr>
      <w:r>
        <w:rPr>
          <w:rFonts w:ascii="Times New Roman"/>
          <w:b w:val="false"/>
          <w:i w:val="false"/>
          <w:color w:val="000000"/>
          <w:sz w:val="28"/>
        </w:rPr>
        <w:t>
      на расчетный срок:</w:t>
      </w:r>
    </w:p>
    <w:bookmarkEnd w:id="306"/>
    <w:bookmarkStart w:name="z315" w:id="307"/>
    <w:p>
      <w:pPr>
        <w:spacing w:after="0"/>
        <w:ind w:left="0"/>
        <w:jc w:val="both"/>
      </w:pPr>
      <w:r>
        <w:rPr>
          <w:rFonts w:ascii="Times New Roman"/>
          <w:b w:val="false"/>
          <w:i w:val="false"/>
          <w:color w:val="000000"/>
          <w:sz w:val="28"/>
        </w:rPr>
        <w:t>
      строительство двух новых полигонов твердых бытовых отходов;</w:t>
      </w:r>
    </w:p>
    <w:bookmarkEnd w:id="307"/>
    <w:bookmarkStart w:name="z316" w:id="308"/>
    <w:p>
      <w:pPr>
        <w:spacing w:after="0"/>
        <w:ind w:left="0"/>
        <w:jc w:val="both"/>
      </w:pPr>
      <w:r>
        <w:rPr>
          <w:rFonts w:ascii="Times New Roman"/>
          <w:b w:val="false"/>
          <w:i w:val="false"/>
          <w:color w:val="000000"/>
          <w:sz w:val="28"/>
        </w:rPr>
        <w:t>
      строительство мусороперерабатывающего завода;</w:t>
      </w:r>
    </w:p>
    <w:bookmarkEnd w:id="308"/>
    <w:bookmarkStart w:name="z317" w:id="309"/>
    <w:p>
      <w:pPr>
        <w:spacing w:after="0"/>
        <w:ind w:left="0"/>
        <w:jc w:val="both"/>
      </w:pPr>
      <w:r>
        <w:rPr>
          <w:rFonts w:ascii="Times New Roman"/>
          <w:b w:val="false"/>
          <w:i w:val="false"/>
          <w:color w:val="000000"/>
          <w:sz w:val="28"/>
        </w:rPr>
        <w:t>
      рекультивацию существующего полигона;</w:t>
      </w:r>
    </w:p>
    <w:bookmarkEnd w:id="309"/>
    <w:bookmarkStart w:name="z318" w:id="310"/>
    <w:p>
      <w:pPr>
        <w:spacing w:after="0"/>
        <w:ind w:left="0"/>
        <w:jc w:val="both"/>
      </w:pPr>
      <w:r>
        <w:rPr>
          <w:rFonts w:ascii="Times New Roman"/>
          <w:b w:val="false"/>
          <w:i w:val="false"/>
          <w:color w:val="000000"/>
          <w:sz w:val="28"/>
        </w:rPr>
        <w:t>
      установку мусорных контейнеров (V=1,1 м³) – до 5583 шт.;</w:t>
      </w:r>
    </w:p>
    <w:bookmarkEnd w:id="310"/>
    <w:bookmarkStart w:name="z319" w:id="311"/>
    <w:p>
      <w:pPr>
        <w:spacing w:after="0"/>
        <w:ind w:left="0"/>
        <w:jc w:val="both"/>
      </w:pPr>
      <w:r>
        <w:rPr>
          <w:rFonts w:ascii="Times New Roman"/>
          <w:b w:val="false"/>
          <w:i w:val="false"/>
          <w:color w:val="000000"/>
          <w:sz w:val="28"/>
        </w:rPr>
        <w:t>
      приобретение автотранспорта (в т.ч. поливомоечные, подметально-уборочные, ассенизационные, мусороуборочные, снегопогрузочные, песко (хлоридно) разбрасывающие автомашины) – не менее 10245 ед.</w:t>
      </w:r>
    </w:p>
    <w:bookmarkEnd w:id="311"/>
    <w:bookmarkStart w:name="z320" w:id="312"/>
    <w:p>
      <w:pPr>
        <w:spacing w:after="0"/>
        <w:ind w:left="0"/>
        <w:jc w:val="left"/>
      </w:pPr>
      <w:r>
        <w:rPr>
          <w:rFonts w:ascii="Times New Roman"/>
          <w:b/>
          <w:i w:val="false"/>
          <w:color w:val="000000"/>
        </w:rPr>
        <w:t xml:space="preserve"> Параграф 4. Электроснабжение</w:t>
      </w:r>
    </w:p>
    <w:bookmarkEnd w:id="312"/>
    <w:bookmarkStart w:name="z321" w:id="313"/>
    <w:p>
      <w:pPr>
        <w:spacing w:after="0"/>
        <w:ind w:left="0"/>
        <w:jc w:val="both"/>
      </w:pPr>
      <w:r>
        <w:rPr>
          <w:rFonts w:ascii="Times New Roman"/>
          <w:b w:val="false"/>
          <w:i w:val="false"/>
          <w:color w:val="000000"/>
          <w:sz w:val="28"/>
        </w:rPr>
        <w:t>
      Согласно прогнозным расчетам ожидается, что рост уровня электропотребления и максимума нагрузки на первую очередь достигнет 4792 млн. кВт.ч. и 850 МВт, на расчетный срок – 5736 млн. кВт.ч. и 1035 МВт, соответственно. Дефицит мощности по городу Актобе на расчетный период составит около 700 МВт (в том числе на первую очередь около 500 МВт).</w:t>
      </w:r>
    </w:p>
    <w:bookmarkEnd w:id="313"/>
    <w:bookmarkStart w:name="z322" w:id="314"/>
    <w:p>
      <w:pPr>
        <w:spacing w:after="0"/>
        <w:ind w:left="0"/>
        <w:jc w:val="both"/>
      </w:pPr>
      <w:r>
        <w:rPr>
          <w:rFonts w:ascii="Times New Roman"/>
          <w:b w:val="false"/>
          <w:i w:val="false"/>
          <w:color w:val="000000"/>
          <w:sz w:val="28"/>
        </w:rPr>
        <w:t>
      Основным генерирующим источником в городе Актобе является Актюбинская ТЭЦ. Развитие генерирующих источников на первую очередь принято в соответствии с прогнозным балансом электроэнергии и мощности на период 2022 – 2028 годы, утвержденным Министерством энергетики в 2022 году, в котором предусматривается расширение Актюбинской ТЭЦ с установкой газотурбинной установки (далее – ГТУ) мощностью 57 МВт.</w:t>
      </w:r>
    </w:p>
    <w:bookmarkEnd w:id="314"/>
    <w:bookmarkStart w:name="z323" w:id="315"/>
    <w:p>
      <w:pPr>
        <w:spacing w:after="0"/>
        <w:ind w:left="0"/>
        <w:jc w:val="both"/>
      </w:pPr>
      <w:r>
        <w:rPr>
          <w:rFonts w:ascii="Times New Roman"/>
          <w:b w:val="false"/>
          <w:i w:val="false"/>
          <w:color w:val="000000"/>
          <w:sz w:val="28"/>
        </w:rPr>
        <w:t>
      На расчетный срок необходимо предусмотреть развитие собственной генерации в городе Актобе суммарно около 300 МВт, которое можно выполнить с учетом реконструкции и увеличения установленной мощности на Актюбинской ТЭЦ дополнительно в размере около 50 МВт, размещения двух ГТУ мощностью ориентировочно 2×125 МВт в восточной и западной части для нужд промышленных потребителей (при условии покрытия тепловых нагрузок от блочно-модульной котельной. В качестве альтернативы могут рассматриваться парогазовая установка (далее – ПГУ) для покрытия тепловых и электрических нагрузок.</w:t>
      </w:r>
    </w:p>
    <w:bookmarkEnd w:id="315"/>
    <w:bookmarkStart w:name="z324" w:id="316"/>
    <w:p>
      <w:pPr>
        <w:spacing w:after="0"/>
        <w:ind w:left="0"/>
        <w:jc w:val="both"/>
      </w:pPr>
      <w:r>
        <w:rPr>
          <w:rFonts w:ascii="Times New Roman"/>
          <w:b w:val="false"/>
          <w:i w:val="false"/>
          <w:color w:val="000000"/>
          <w:sz w:val="28"/>
        </w:rPr>
        <w:t>
      Дефицит мощности и электроэнергии потребителей города Актобе будет покрываться по электрическим сетям 110-220 кВ от возобновляемых источников энергии (далее – ВИЭ), расположенным в Актюбинской области.</w:t>
      </w:r>
    </w:p>
    <w:bookmarkEnd w:id="316"/>
    <w:bookmarkStart w:name="z325" w:id="317"/>
    <w:p>
      <w:pPr>
        <w:spacing w:after="0"/>
        <w:ind w:left="0"/>
        <w:jc w:val="both"/>
      </w:pPr>
      <w:r>
        <w:rPr>
          <w:rFonts w:ascii="Times New Roman"/>
          <w:b w:val="false"/>
          <w:i w:val="false"/>
          <w:color w:val="000000"/>
          <w:sz w:val="28"/>
        </w:rPr>
        <w:t>
      В соответствии с принятым Правительством Республики Казахстан направлением на низкоуглеродное развитие ВИЭ на расчетный период рассматривается рост таких источников в Актюбинской области в широком диапазоне 1000-2000 МВт.</w:t>
      </w:r>
    </w:p>
    <w:bookmarkEnd w:id="317"/>
    <w:bookmarkStart w:name="z326" w:id="318"/>
    <w:p>
      <w:pPr>
        <w:spacing w:after="0"/>
        <w:ind w:left="0"/>
        <w:jc w:val="both"/>
      </w:pPr>
      <w:r>
        <w:rPr>
          <w:rFonts w:ascii="Times New Roman"/>
          <w:b w:val="false"/>
          <w:i w:val="false"/>
          <w:color w:val="000000"/>
          <w:sz w:val="28"/>
        </w:rPr>
        <w:t>
      Перспективы развития газовой генерации связаны с необходимостью увеличения маневренных мощностей для интеграции ВИЭ в Казахстане и все решения по вводу газовой генерации должны приниматься на основе экономических обоснований с разработкой технико-экономического обоснования в увязке в целом энергетического баланса единой энергетической системы Республики Казахстан.</w:t>
      </w:r>
    </w:p>
    <w:bookmarkEnd w:id="318"/>
    <w:bookmarkStart w:name="z327" w:id="319"/>
    <w:p>
      <w:pPr>
        <w:spacing w:after="0"/>
        <w:ind w:left="0"/>
        <w:jc w:val="both"/>
      </w:pPr>
      <w:r>
        <w:rPr>
          <w:rFonts w:ascii="Times New Roman"/>
          <w:b w:val="false"/>
          <w:i w:val="false"/>
          <w:color w:val="000000"/>
          <w:sz w:val="28"/>
        </w:rPr>
        <w:t>
      Основное направление развития системы электроснабжения города Актобе на первую очередь и расчетный срок предусматривает:</w:t>
      </w:r>
    </w:p>
    <w:bookmarkEnd w:id="319"/>
    <w:bookmarkStart w:name="z328" w:id="320"/>
    <w:p>
      <w:pPr>
        <w:spacing w:after="0"/>
        <w:ind w:left="0"/>
        <w:jc w:val="both"/>
      </w:pPr>
      <w:r>
        <w:rPr>
          <w:rFonts w:ascii="Times New Roman"/>
          <w:b w:val="false"/>
          <w:i w:val="false"/>
          <w:color w:val="000000"/>
          <w:sz w:val="28"/>
        </w:rPr>
        <w:t>
      усиление внешних сетей 220 кВ с созданием кольца вокруг города с двумя ПС 220 кВ (Новая-4 Южная, Новая-3 Западная), что позволит исключить межгосударственные транзитные перетоки по сетям 220 кВ (ВЛ 220 кВ Орск - Актюбинская);</w:t>
      </w:r>
    </w:p>
    <w:bookmarkEnd w:id="320"/>
    <w:bookmarkStart w:name="z329" w:id="321"/>
    <w:p>
      <w:pPr>
        <w:spacing w:after="0"/>
        <w:ind w:left="0"/>
        <w:jc w:val="both"/>
      </w:pPr>
      <w:r>
        <w:rPr>
          <w:rFonts w:ascii="Times New Roman"/>
          <w:b w:val="false"/>
          <w:i w:val="false"/>
          <w:color w:val="000000"/>
          <w:sz w:val="28"/>
        </w:rPr>
        <w:t>
      перевод нагрузок потребителей на новые подстанции 110/10 кВ и обеспечение загрузки опорных подстанций 220 кВ (ПС 220 кВ Актюбинская, ПС 220 кВ Акжар, ПС 220 кВ Новая-3 Западная, ПС 220 кВ Новая-4 Южная);</w:t>
      </w:r>
    </w:p>
    <w:bookmarkEnd w:id="321"/>
    <w:bookmarkStart w:name="z330" w:id="322"/>
    <w:p>
      <w:pPr>
        <w:spacing w:after="0"/>
        <w:ind w:left="0"/>
        <w:jc w:val="both"/>
      </w:pPr>
      <w:r>
        <w:rPr>
          <w:rFonts w:ascii="Times New Roman"/>
          <w:b w:val="false"/>
          <w:i w:val="false"/>
          <w:color w:val="000000"/>
          <w:sz w:val="28"/>
        </w:rPr>
        <w:t>
      строительство новых ПС 110/10 кВ по радиальным блочным схемам от опорных ПС 220 (Новая-2 Парасат, Новая-5 Жинишке, Новая-1 Баянаул, Новая-4 Южная с КЛ 110 кВ);</w:t>
      </w:r>
    </w:p>
    <w:bookmarkEnd w:id="322"/>
    <w:bookmarkStart w:name="z331" w:id="323"/>
    <w:p>
      <w:pPr>
        <w:spacing w:after="0"/>
        <w:ind w:left="0"/>
        <w:jc w:val="both"/>
      </w:pPr>
      <w:r>
        <w:rPr>
          <w:rFonts w:ascii="Times New Roman"/>
          <w:b w:val="false"/>
          <w:i w:val="false"/>
          <w:color w:val="000000"/>
          <w:sz w:val="28"/>
        </w:rPr>
        <w:t>
      реконструкцию и техническое перевооружение физически и морально устаревших электросетевых объектов, замену трансформаторов на большую мощность (на ПС 110/10 ПОШ, Заречная, 41 Разъезд, Городская, Саздинская, Илекская, Молзавод), постепенную ликвидацию сетей 35 кВ в центральной части города для снижения потерь и исключения двойной трансформации;</w:t>
      </w:r>
    </w:p>
    <w:bookmarkEnd w:id="323"/>
    <w:bookmarkStart w:name="z332" w:id="324"/>
    <w:p>
      <w:pPr>
        <w:spacing w:after="0"/>
        <w:ind w:left="0"/>
        <w:jc w:val="both"/>
      </w:pPr>
      <w:r>
        <w:rPr>
          <w:rFonts w:ascii="Times New Roman"/>
          <w:b w:val="false"/>
          <w:i w:val="false"/>
          <w:color w:val="000000"/>
          <w:sz w:val="28"/>
        </w:rPr>
        <w:t>
      перевод воздушных линий 110 кВ в кабельные в селитебной части города;</w:t>
      </w:r>
    </w:p>
    <w:bookmarkEnd w:id="324"/>
    <w:bookmarkStart w:name="z333" w:id="325"/>
    <w:p>
      <w:pPr>
        <w:spacing w:after="0"/>
        <w:ind w:left="0"/>
        <w:jc w:val="both"/>
      </w:pPr>
      <w:r>
        <w:rPr>
          <w:rFonts w:ascii="Times New Roman"/>
          <w:b w:val="false"/>
          <w:i w:val="false"/>
          <w:color w:val="000000"/>
          <w:sz w:val="28"/>
        </w:rPr>
        <w:t>
      внедрение концепции "умный город", в основе которой лежит система "умных" счетчиков (Smart Meters), устанавливаемых непосредственно у потребителей, и "умной" сети (Smart Grid);</w:t>
      </w:r>
    </w:p>
    <w:bookmarkEnd w:id="325"/>
    <w:bookmarkStart w:name="z334" w:id="326"/>
    <w:p>
      <w:pPr>
        <w:spacing w:after="0"/>
        <w:ind w:left="0"/>
        <w:jc w:val="both"/>
      </w:pPr>
      <w:r>
        <w:rPr>
          <w:rFonts w:ascii="Times New Roman"/>
          <w:b w:val="false"/>
          <w:i w:val="false"/>
          <w:color w:val="000000"/>
          <w:sz w:val="28"/>
        </w:rPr>
        <w:t>
      усиление вопросов энергоэффективности и энергосбережения;</w:t>
      </w:r>
    </w:p>
    <w:bookmarkEnd w:id="326"/>
    <w:bookmarkStart w:name="z335" w:id="327"/>
    <w:p>
      <w:pPr>
        <w:spacing w:after="0"/>
        <w:ind w:left="0"/>
        <w:jc w:val="both"/>
      </w:pPr>
      <w:r>
        <w:rPr>
          <w:rFonts w:ascii="Times New Roman"/>
          <w:b w:val="false"/>
          <w:i w:val="false"/>
          <w:color w:val="000000"/>
          <w:sz w:val="28"/>
        </w:rPr>
        <w:t>
      внедрение распределенной генерации (крышных установок в распределительных сетях 10 кВ и т.д.).</w:t>
      </w:r>
    </w:p>
    <w:bookmarkEnd w:id="327"/>
    <w:bookmarkStart w:name="z336" w:id="328"/>
    <w:p>
      <w:pPr>
        <w:spacing w:after="0"/>
        <w:ind w:left="0"/>
        <w:jc w:val="left"/>
      </w:pPr>
      <w:r>
        <w:rPr>
          <w:rFonts w:ascii="Times New Roman"/>
          <w:b/>
          <w:i w:val="false"/>
          <w:color w:val="000000"/>
        </w:rPr>
        <w:t xml:space="preserve"> Параграф 5. Теплоснабжение</w:t>
      </w:r>
    </w:p>
    <w:bookmarkEnd w:id="328"/>
    <w:bookmarkStart w:name="z337" w:id="329"/>
    <w:p>
      <w:pPr>
        <w:spacing w:after="0"/>
        <w:ind w:left="0"/>
        <w:jc w:val="both"/>
      </w:pPr>
      <w:r>
        <w:rPr>
          <w:rFonts w:ascii="Times New Roman"/>
          <w:b w:val="false"/>
          <w:i w:val="false"/>
          <w:color w:val="000000"/>
          <w:sz w:val="28"/>
        </w:rPr>
        <w:t>
      Прогнозная оценка теплопотребления промышленности на перспективу до 2050 года выполнена исходя из принятого стратегического направления развития предприятий в границах сложившихся промышленных зон с учетом современных экономических отношений, изменения формы собственности, а также активного внедрения на действующих и вновь создаваемых предприятиях прогрессивных энергосберегающих технологий, установки приборов учета и контроля тепловой энергии.</w:t>
      </w:r>
    </w:p>
    <w:bookmarkEnd w:id="329"/>
    <w:bookmarkStart w:name="z338" w:id="330"/>
    <w:p>
      <w:pPr>
        <w:spacing w:after="0"/>
        <w:ind w:left="0"/>
        <w:jc w:val="both"/>
      </w:pPr>
      <w:r>
        <w:rPr>
          <w:rFonts w:ascii="Times New Roman"/>
          <w:b w:val="false"/>
          <w:i w:val="false"/>
          <w:color w:val="000000"/>
          <w:sz w:val="28"/>
        </w:rPr>
        <w:t>
      В Генеральном плане разработаны принципиальные направления развития системы теплоснабжения города Актобе. Наиболее рациональная система теплоснабжения (в том числе перевод на закрытую систему горячего водоснабжения с установкой групповых теплообменников в жилых домах) определяется сопоставлением возможных вариантов на основании технико-экономических и экологических расчетов на стадии разработки схемы теплоснабжения и технико-экономического обоснования реконструкции и развития тепловых сетей и теплоисточников.</w:t>
      </w:r>
    </w:p>
    <w:bookmarkEnd w:id="330"/>
    <w:bookmarkStart w:name="z339" w:id="331"/>
    <w:p>
      <w:pPr>
        <w:spacing w:after="0"/>
        <w:ind w:left="0"/>
        <w:jc w:val="both"/>
      </w:pPr>
      <w:r>
        <w:rPr>
          <w:rFonts w:ascii="Times New Roman"/>
          <w:b w:val="false"/>
          <w:i w:val="false"/>
          <w:color w:val="000000"/>
          <w:sz w:val="28"/>
        </w:rPr>
        <w:t>
      Следует учитывать, что существующая теплоэлектроцентраль технологически и физически устарела. Однако фактическая подключенная тепловая нагрузка и невозможность ее перераспределения на другие источники теплоснабжения делают невозможным ее закрытие.</w:t>
      </w:r>
    </w:p>
    <w:bookmarkEnd w:id="331"/>
    <w:bookmarkStart w:name="z340" w:id="332"/>
    <w:p>
      <w:pPr>
        <w:spacing w:after="0"/>
        <w:ind w:left="0"/>
        <w:jc w:val="both"/>
      </w:pPr>
      <w:r>
        <w:rPr>
          <w:rFonts w:ascii="Times New Roman"/>
          <w:b w:val="false"/>
          <w:i w:val="false"/>
          <w:color w:val="000000"/>
          <w:sz w:val="28"/>
        </w:rPr>
        <w:t>
      На перспективу развития системы центрального теплоснабжения города Актобе теплоэлектроцентраль предусматривается в границах сложившейся существующей зоны теплоснабжения. К тепловым сетям зоны Актюбинской теплоэлектроцентрали предлагается присоединять объекты, размещаемые в границах действующих тепловых сетей, что не потребует больших капитальных затрат.</w:t>
      </w:r>
    </w:p>
    <w:bookmarkEnd w:id="332"/>
    <w:bookmarkStart w:name="z341" w:id="333"/>
    <w:p>
      <w:pPr>
        <w:spacing w:after="0"/>
        <w:ind w:left="0"/>
        <w:jc w:val="both"/>
      </w:pPr>
      <w:r>
        <w:rPr>
          <w:rFonts w:ascii="Times New Roman"/>
          <w:b w:val="false"/>
          <w:i w:val="false"/>
          <w:color w:val="000000"/>
          <w:sz w:val="28"/>
        </w:rPr>
        <w:t>
      В районах с большой плотностью застройки следует развивать системы централизованного теплоснабжения. Применение крупных источников тепла, газовые выбросы которых содержат меньше концентрации токсичных веществ по сравнению с мелкими отопительными установками, способствует также задаче охраны окружающей среды.</w:t>
      </w:r>
    </w:p>
    <w:bookmarkEnd w:id="333"/>
    <w:bookmarkStart w:name="z342" w:id="334"/>
    <w:p>
      <w:pPr>
        <w:spacing w:after="0"/>
        <w:ind w:left="0"/>
        <w:jc w:val="both"/>
      </w:pPr>
      <w:r>
        <w:rPr>
          <w:rFonts w:ascii="Times New Roman"/>
          <w:b w:val="false"/>
          <w:i w:val="false"/>
          <w:color w:val="000000"/>
          <w:sz w:val="28"/>
        </w:rPr>
        <w:t>
      Теплоснабжение новой многоэтажной застройки, размещаемой на свободных территориях в западной и северо-восточной частях города, рекомендуется в новых групповых котельных тепловой мощностью от 10 Гкал/ч до 100 Гкал/ч.</w:t>
      </w:r>
    </w:p>
    <w:bookmarkEnd w:id="334"/>
    <w:bookmarkStart w:name="z343" w:id="335"/>
    <w:p>
      <w:pPr>
        <w:spacing w:after="0"/>
        <w:ind w:left="0"/>
        <w:jc w:val="both"/>
      </w:pPr>
      <w:r>
        <w:rPr>
          <w:rFonts w:ascii="Times New Roman"/>
          <w:b w:val="false"/>
          <w:i w:val="false"/>
          <w:color w:val="000000"/>
          <w:sz w:val="28"/>
        </w:rPr>
        <w:t>
      Строительство новых котельных должно осуществляться с применением современного высокоэффективного основного и вспомогательного оборудования. Степень экономической эффективности строительства крупных групповых котельных зависит от темпов возведения новой застройки: чем эти темпы выше, тем скорее котельные выйдут на условие нормальной эксплуатации.</w:t>
      </w:r>
    </w:p>
    <w:bookmarkEnd w:id="335"/>
    <w:bookmarkStart w:name="z344" w:id="336"/>
    <w:p>
      <w:pPr>
        <w:spacing w:after="0"/>
        <w:ind w:left="0"/>
        <w:jc w:val="both"/>
      </w:pPr>
      <w:r>
        <w:rPr>
          <w:rFonts w:ascii="Times New Roman"/>
          <w:b w:val="false"/>
          <w:i w:val="false"/>
          <w:color w:val="000000"/>
          <w:sz w:val="28"/>
        </w:rPr>
        <w:t>
      Учитывая вышеизложенное, система теплоснабжения города Актобе в период до 2050 года должна развиваться следующим образом:</w:t>
      </w:r>
    </w:p>
    <w:bookmarkEnd w:id="336"/>
    <w:bookmarkStart w:name="z345" w:id="337"/>
    <w:p>
      <w:pPr>
        <w:spacing w:after="0"/>
        <w:ind w:left="0"/>
        <w:jc w:val="both"/>
      </w:pPr>
      <w:r>
        <w:rPr>
          <w:rFonts w:ascii="Times New Roman"/>
          <w:b w:val="false"/>
          <w:i w:val="false"/>
          <w:color w:val="000000"/>
          <w:sz w:val="28"/>
        </w:rPr>
        <w:t>
      теплоснабжение новых общественных зданий в зоне Актюбинской теплоэлектроцентрали и котельных АО "Aqtobe su-energy group" будет обеспечиваться за счет их реконструкции, модернизации;</w:t>
      </w:r>
    </w:p>
    <w:bookmarkEnd w:id="337"/>
    <w:bookmarkStart w:name="z346" w:id="338"/>
    <w:p>
      <w:pPr>
        <w:spacing w:after="0"/>
        <w:ind w:left="0"/>
        <w:jc w:val="both"/>
      </w:pPr>
      <w:r>
        <w:rPr>
          <w:rFonts w:ascii="Times New Roman"/>
          <w:b w:val="false"/>
          <w:i w:val="false"/>
          <w:color w:val="000000"/>
          <w:sz w:val="28"/>
        </w:rPr>
        <w:t>
      теплоснабжение новых многоэтажных жилых и общественных зданий в районе микрорайона "Нур-Актобе" будет обеспечиваться от расширяемой части котельной "Актобе-Сити";</w:t>
      </w:r>
    </w:p>
    <w:bookmarkEnd w:id="338"/>
    <w:bookmarkStart w:name="z347" w:id="339"/>
    <w:p>
      <w:pPr>
        <w:spacing w:after="0"/>
        <w:ind w:left="0"/>
        <w:jc w:val="both"/>
      </w:pPr>
      <w:r>
        <w:rPr>
          <w:rFonts w:ascii="Times New Roman"/>
          <w:b w:val="false"/>
          <w:i w:val="false"/>
          <w:color w:val="000000"/>
          <w:sz w:val="28"/>
        </w:rPr>
        <w:t>
      в зонах нового строительства компактно расположенных многоэтажных жилых и общественных зданий, не обеспеченных в настоящее время теплоснабжением, предполагается строительство новых групповых блочно-модульных котельных на природном газе;</w:t>
      </w:r>
    </w:p>
    <w:bookmarkEnd w:id="339"/>
    <w:bookmarkStart w:name="z348" w:id="340"/>
    <w:p>
      <w:pPr>
        <w:spacing w:after="0"/>
        <w:ind w:left="0"/>
        <w:jc w:val="both"/>
      </w:pPr>
      <w:r>
        <w:rPr>
          <w:rFonts w:ascii="Times New Roman"/>
          <w:b w:val="false"/>
          <w:i w:val="false"/>
          <w:color w:val="000000"/>
          <w:sz w:val="28"/>
        </w:rPr>
        <w:t>
      теплоснабжение новых отдельно стоящих общественных зданий предполагается осуществлять от новых автономных систем теплоснабжения на базе блочно-модульных котельных небольшой мощности, работающих на природном газе;</w:t>
      </w:r>
    </w:p>
    <w:bookmarkEnd w:id="340"/>
    <w:bookmarkStart w:name="z349" w:id="341"/>
    <w:p>
      <w:pPr>
        <w:spacing w:after="0"/>
        <w:ind w:left="0"/>
        <w:jc w:val="both"/>
      </w:pPr>
      <w:r>
        <w:rPr>
          <w:rFonts w:ascii="Times New Roman"/>
          <w:b w:val="false"/>
          <w:i w:val="false"/>
          <w:color w:val="000000"/>
          <w:sz w:val="28"/>
        </w:rPr>
        <w:t>
      теплоснабжение новых малоэтажных индивидуальных и блокированных домов предполагается в автономных системах отопления и поквартирном оборудовании с использованием автоматизированных котлов полной заводской готовности с герметичной камерой сгорания;</w:t>
      </w:r>
    </w:p>
    <w:bookmarkEnd w:id="341"/>
    <w:bookmarkStart w:name="z350" w:id="342"/>
    <w:p>
      <w:pPr>
        <w:spacing w:after="0"/>
        <w:ind w:left="0"/>
        <w:jc w:val="both"/>
      </w:pPr>
      <w:r>
        <w:rPr>
          <w:rFonts w:ascii="Times New Roman"/>
          <w:b w:val="false"/>
          <w:i w:val="false"/>
          <w:color w:val="000000"/>
          <w:sz w:val="28"/>
        </w:rPr>
        <w:t>
      теплоснабжение существующих и новых промышленных предприятий осуществляется от собственных котельных, размещаемых на площадках предприятий, для теплоснабжения которых они предназначены.</w:t>
      </w:r>
    </w:p>
    <w:bookmarkEnd w:id="342"/>
    <w:bookmarkStart w:name="z351" w:id="343"/>
    <w:p>
      <w:pPr>
        <w:spacing w:after="0"/>
        <w:ind w:left="0"/>
        <w:jc w:val="left"/>
      </w:pPr>
      <w:r>
        <w:rPr>
          <w:rFonts w:ascii="Times New Roman"/>
          <w:b/>
          <w:i w:val="false"/>
          <w:color w:val="000000"/>
        </w:rPr>
        <w:t xml:space="preserve"> Параграф 6. Газоснабжение</w:t>
      </w:r>
    </w:p>
    <w:bookmarkEnd w:id="343"/>
    <w:bookmarkStart w:name="z352" w:id="344"/>
    <w:p>
      <w:pPr>
        <w:spacing w:after="0"/>
        <w:ind w:left="0"/>
        <w:jc w:val="both"/>
      </w:pPr>
      <w:r>
        <w:rPr>
          <w:rFonts w:ascii="Times New Roman"/>
          <w:b w:val="false"/>
          <w:i w:val="false"/>
          <w:color w:val="000000"/>
          <w:sz w:val="28"/>
        </w:rPr>
        <w:t>
      По прогнозной оценке спрос на природный газ со стороны промышленно-индустриального сектора и развития новых жилых массивов, расположенных в зоне Актюбинской агломерации, может достичь к перспективному 2050 году порядка 5,2 млрд м³/год.</w:t>
      </w:r>
    </w:p>
    <w:bookmarkEnd w:id="344"/>
    <w:bookmarkStart w:name="z353" w:id="345"/>
    <w:p>
      <w:pPr>
        <w:spacing w:after="0"/>
        <w:ind w:left="0"/>
        <w:jc w:val="both"/>
      </w:pPr>
      <w:r>
        <w:rPr>
          <w:rFonts w:ascii="Times New Roman"/>
          <w:b w:val="false"/>
          <w:i w:val="false"/>
          <w:color w:val="000000"/>
          <w:sz w:val="28"/>
        </w:rPr>
        <w:t>
      Реализация строительства 3-ей нитки газопровода-отвода в городе Актобе позволит эксплуатировать автоматизированную газораспределительную станцию № 3 на полную мощность.</w:t>
      </w:r>
    </w:p>
    <w:bookmarkEnd w:id="345"/>
    <w:bookmarkStart w:name="z354" w:id="346"/>
    <w:p>
      <w:pPr>
        <w:spacing w:after="0"/>
        <w:ind w:left="0"/>
        <w:jc w:val="both"/>
      </w:pPr>
      <w:r>
        <w:rPr>
          <w:rFonts w:ascii="Times New Roman"/>
          <w:b w:val="false"/>
          <w:i w:val="false"/>
          <w:color w:val="000000"/>
          <w:sz w:val="28"/>
        </w:rPr>
        <w:t>
      Построенная АО "КазТрансГаз" автоматизированная газораспределительная станция № 3 производительностью 300 тысяч кубометров газа в час способна обеспечить бесперебойной подачей газа не только областной центр, но и пригородные и более удаленные населенные пункты. Станция рассчитана на подачу природного газа не только к уже существующим объектам, ее мощности хватит и на перспективу.</w:t>
      </w:r>
    </w:p>
    <w:bookmarkEnd w:id="346"/>
    <w:bookmarkStart w:name="z355" w:id="347"/>
    <w:p>
      <w:pPr>
        <w:spacing w:after="0"/>
        <w:ind w:left="0"/>
        <w:jc w:val="both"/>
      </w:pPr>
      <w:r>
        <w:rPr>
          <w:rFonts w:ascii="Times New Roman"/>
          <w:b w:val="false"/>
          <w:i w:val="false"/>
          <w:color w:val="000000"/>
          <w:sz w:val="28"/>
        </w:rPr>
        <w:t>
      Вследствие развития города и активного жилищного строительства существующая автоматизированная газораспределительная станция № 1 оказалась в окружении жилого сектора. Необходимо магистральный отвод на автоматизированной газораспределительной станции № 1 перевести в режим газопровода высокого давления с давлением 1,2 МПа, а вместо автоматизированной газораспределительной станции № 1 построить новые головные газорегулирующие пункты.</w:t>
      </w:r>
    </w:p>
    <w:bookmarkEnd w:id="347"/>
    <w:bookmarkStart w:name="z356" w:id="348"/>
    <w:p>
      <w:pPr>
        <w:spacing w:after="0"/>
        <w:ind w:left="0"/>
        <w:jc w:val="both"/>
      </w:pPr>
      <w:r>
        <w:rPr>
          <w:rFonts w:ascii="Times New Roman"/>
          <w:b w:val="false"/>
          <w:i w:val="false"/>
          <w:color w:val="000000"/>
          <w:sz w:val="28"/>
        </w:rPr>
        <w:t>
      По мере увеличения жилых кварталов, строительства новых административных и общественных зданий будут строиться и новые ветки внутригородских газораспределительных сетей высокого, среднего и низкого давления.</w:t>
      </w:r>
    </w:p>
    <w:bookmarkEnd w:id="348"/>
    <w:bookmarkStart w:name="z357" w:id="349"/>
    <w:p>
      <w:pPr>
        <w:spacing w:after="0"/>
        <w:ind w:left="0"/>
        <w:jc w:val="both"/>
      </w:pPr>
      <w:r>
        <w:rPr>
          <w:rFonts w:ascii="Times New Roman"/>
          <w:b w:val="false"/>
          <w:i w:val="false"/>
          <w:color w:val="000000"/>
          <w:sz w:val="28"/>
        </w:rPr>
        <w:t>
      Для бесперебойного снабжения газом населения, теплоэнергоцентрали, социально важных объектов необходимо закольцовывать газораспределительные сети всех давлений.</w:t>
      </w:r>
    </w:p>
    <w:bookmarkEnd w:id="349"/>
    <w:bookmarkStart w:name="z358" w:id="350"/>
    <w:p>
      <w:pPr>
        <w:spacing w:after="0"/>
        <w:ind w:left="0"/>
        <w:jc w:val="both"/>
      </w:pPr>
      <w:r>
        <w:rPr>
          <w:rFonts w:ascii="Times New Roman"/>
          <w:b w:val="false"/>
          <w:i w:val="false"/>
          <w:color w:val="000000"/>
          <w:sz w:val="28"/>
        </w:rPr>
        <w:t>
      Общее потребление природного газа на первую очередь составит 1852,0 млн м³/год, на расчетный срок – 2759,80 млн м³/год. Общая протяженность газопроводов высокого, среднего и низкого давления по городу на первую очередь составит 1159,5 км, на расчетный срок – 1393,5 км.</w:t>
      </w:r>
    </w:p>
    <w:bookmarkEnd w:id="350"/>
    <w:bookmarkStart w:name="z359" w:id="351"/>
    <w:p>
      <w:pPr>
        <w:spacing w:after="0"/>
        <w:ind w:left="0"/>
        <w:jc w:val="left"/>
      </w:pPr>
      <w:r>
        <w:rPr>
          <w:rFonts w:ascii="Times New Roman"/>
          <w:b/>
          <w:i w:val="false"/>
          <w:color w:val="000000"/>
        </w:rPr>
        <w:t xml:space="preserve"> Параграф 7. Телекоммуникации и связь</w:t>
      </w:r>
    </w:p>
    <w:bookmarkEnd w:id="351"/>
    <w:bookmarkStart w:name="z360" w:id="352"/>
    <w:p>
      <w:pPr>
        <w:spacing w:after="0"/>
        <w:ind w:left="0"/>
        <w:jc w:val="both"/>
      </w:pPr>
      <w:r>
        <w:rPr>
          <w:rFonts w:ascii="Times New Roman"/>
          <w:b w:val="false"/>
          <w:i w:val="false"/>
          <w:color w:val="000000"/>
          <w:sz w:val="28"/>
        </w:rPr>
        <w:t>
      На вновь осваиваемых и реконструируемых территориях предлагается построить современную телекоммуникационную сеть по технологии G-PON (Gigabit Passive Optical Network). На существующих территориях предлагается предусмотреть постепенный переход на технологию G-PON.</w:t>
      </w:r>
    </w:p>
    <w:bookmarkEnd w:id="352"/>
    <w:bookmarkStart w:name="z361" w:id="353"/>
    <w:p>
      <w:pPr>
        <w:spacing w:after="0"/>
        <w:ind w:left="0"/>
        <w:jc w:val="both"/>
      </w:pPr>
      <w:r>
        <w:rPr>
          <w:rFonts w:ascii="Times New Roman"/>
          <w:b w:val="false"/>
          <w:i w:val="false"/>
          <w:color w:val="000000"/>
          <w:sz w:val="28"/>
        </w:rPr>
        <w:t>
      Предлагаемая телекоммуникационная сеть FTTH позволит предоставить абонентам высокоскоростные услуги доступа к Интернету на уровне мировых лидеров информатизации в неограниченном объеме и высочайшего качества.</w:t>
      </w:r>
    </w:p>
    <w:bookmarkEnd w:id="353"/>
    <w:bookmarkStart w:name="z362" w:id="354"/>
    <w:p>
      <w:pPr>
        <w:spacing w:after="0"/>
        <w:ind w:left="0"/>
        <w:jc w:val="both"/>
      </w:pPr>
      <w:r>
        <w:rPr>
          <w:rFonts w:ascii="Times New Roman"/>
          <w:b w:val="false"/>
          <w:i w:val="false"/>
          <w:color w:val="000000"/>
          <w:sz w:val="28"/>
        </w:rPr>
        <w:t>
      На первую очередь прирост номерной емкости сети составит 29454 номера. Необходимо предусмотреть строительство станционных и линейных сооружений на 29454 номера.</w:t>
      </w:r>
    </w:p>
    <w:bookmarkEnd w:id="354"/>
    <w:bookmarkStart w:name="z363" w:id="355"/>
    <w:p>
      <w:pPr>
        <w:spacing w:after="0"/>
        <w:ind w:left="0"/>
        <w:jc w:val="both"/>
      </w:pPr>
      <w:r>
        <w:rPr>
          <w:rFonts w:ascii="Times New Roman"/>
          <w:b w:val="false"/>
          <w:i w:val="false"/>
          <w:color w:val="000000"/>
          <w:sz w:val="28"/>
        </w:rPr>
        <w:t>
      На расчетный срок предлагается завершить строительство телекоммуникационной сети по технологии G-PON. При ожидаемом приросте численности населения прирост номерной емкости сети составит 78248 номеров. Необходимо предусмотреть расширение станционных и линейных сооружений на 78248 номера. При этом телефонная плотность составит 25 номеров на 100 человек.</w:t>
      </w:r>
    </w:p>
    <w:bookmarkEnd w:id="355"/>
    <w:bookmarkStart w:name="z364" w:id="356"/>
    <w:p>
      <w:pPr>
        <w:spacing w:after="0"/>
        <w:ind w:left="0"/>
        <w:jc w:val="left"/>
      </w:pPr>
      <w:r>
        <w:rPr>
          <w:rFonts w:ascii="Times New Roman"/>
          <w:b/>
          <w:i w:val="false"/>
          <w:color w:val="000000"/>
        </w:rPr>
        <w:t xml:space="preserve"> Глава 12. Инженерная подготовка и защита территории от опасных геологических и техногенных явлений</w:t>
      </w:r>
    </w:p>
    <w:bookmarkEnd w:id="356"/>
    <w:bookmarkStart w:name="z365" w:id="357"/>
    <w:p>
      <w:pPr>
        <w:spacing w:after="0"/>
        <w:ind w:left="0"/>
        <w:jc w:val="both"/>
      </w:pPr>
      <w:r>
        <w:rPr>
          <w:rFonts w:ascii="Times New Roman"/>
          <w:b w:val="false"/>
          <w:i w:val="false"/>
          <w:color w:val="000000"/>
          <w:sz w:val="28"/>
        </w:rPr>
        <w:t>
      Инженерная подготовка Генерального плана города Актобе в зоне возможного воздействия чрезвычайных ситуаций природного и техногенного характера представляет собой комплекс мероприятий и сооружений, необходимых для создания благоприятных условий обеспечения защиты, жизнедеятельности, комфортного проживания населения и устойчивого функционирования в условиях чрезвычайных ситуаций природного и техногенного характера.</w:t>
      </w:r>
    </w:p>
    <w:bookmarkEnd w:id="357"/>
    <w:bookmarkStart w:name="z366" w:id="358"/>
    <w:p>
      <w:pPr>
        <w:spacing w:after="0"/>
        <w:ind w:left="0"/>
        <w:jc w:val="both"/>
      </w:pPr>
      <w:r>
        <w:rPr>
          <w:rFonts w:ascii="Times New Roman"/>
          <w:b w:val="false"/>
          <w:i w:val="false"/>
          <w:color w:val="000000"/>
          <w:sz w:val="28"/>
        </w:rPr>
        <w:t>
      Территория расположена в Актюбинском Приуралье на поверхности крайней восточной части Урало-Эмбенского структурно-денудационного плато, обрамляющего с востока Прикаспийскую низменность, сложенного толщей мезо-кайнозойских отложений и представляющего собой полого-увалистую равнину. Территория расположена на пологоволнистой поверхности I надпойменной террасы реки Илек. Поверхность террасы представляет собой слабоволнистую равнину с общим уклоном на северо-запад и к руслу реки Илек. С поверхности равнина сложена аллювиальными песчано-глинистыми современными и позднечетвертичными отложениями мощностью до 10-15 м. Абсолютные отметки поверхности рельефа колеблются в пределах 371,60 – 205,30 м.</w:t>
      </w:r>
    </w:p>
    <w:bookmarkEnd w:id="358"/>
    <w:bookmarkStart w:name="z367" w:id="359"/>
    <w:p>
      <w:pPr>
        <w:spacing w:after="0"/>
        <w:ind w:left="0"/>
        <w:jc w:val="both"/>
      </w:pPr>
      <w:r>
        <w:rPr>
          <w:rFonts w:ascii="Times New Roman"/>
          <w:b w:val="false"/>
          <w:i w:val="false"/>
          <w:color w:val="000000"/>
          <w:sz w:val="28"/>
        </w:rPr>
        <w:t>
      Инженерная подготовка территории города Актобе, предусмотренная Генеральным планом, включает следующие мероприятия:</w:t>
      </w:r>
    </w:p>
    <w:bookmarkEnd w:id="359"/>
    <w:bookmarkStart w:name="z368" w:id="360"/>
    <w:p>
      <w:pPr>
        <w:spacing w:after="0"/>
        <w:ind w:left="0"/>
        <w:jc w:val="both"/>
      </w:pPr>
      <w:r>
        <w:rPr>
          <w:rFonts w:ascii="Times New Roman"/>
          <w:b w:val="false"/>
          <w:i w:val="false"/>
          <w:color w:val="000000"/>
          <w:sz w:val="28"/>
        </w:rPr>
        <w:t>
      вертикальную планировку территории;</w:t>
      </w:r>
    </w:p>
    <w:bookmarkEnd w:id="360"/>
    <w:bookmarkStart w:name="z369" w:id="361"/>
    <w:p>
      <w:pPr>
        <w:spacing w:after="0"/>
        <w:ind w:left="0"/>
        <w:jc w:val="both"/>
      </w:pPr>
      <w:r>
        <w:rPr>
          <w:rFonts w:ascii="Times New Roman"/>
          <w:b w:val="false"/>
          <w:i w:val="false"/>
          <w:color w:val="000000"/>
          <w:sz w:val="28"/>
        </w:rPr>
        <w:t>
      организацию поверхностного стока;</w:t>
      </w:r>
    </w:p>
    <w:bookmarkEnd w:id="361"/>
    <w:bookmarkStart w:name="z370" w:id="362"/>
    <w:p>
      <w:pPr>
        <w:spacing w:after="0"/>
        <w:ind w:left="0"/>
        <w:jc w:val="both"/>
      </w:pPr>
      <w:r>
        <w:rPr>
          <w:rFonts w:ascii="Times New Roman"/>
          <w:b w:val="false"/>
          <w:i w:val="false"/>
          <w:color w:val="000000"/>
          <w:sz w:val="28"/>
        </w:rPr>
        <w:t>
      организацию полива зеленых насаждений;</w:t>
      </w:r>
    </w:p>
    <w:bookmarkEnd w:id="362"/>
    <w:bookmarkStart w:name="z371" w:id="363"/>
    <w:p>
      <w:pPr>
        <w:spacing w:after="0"/>
        <w:ind w:left="0"/>
        <w:jc w:val="both"/>
      </w:pPr>
      <w:r>
        <w:rPr>
          <w:rFonts w:ascii="Times New Roman"/>
          <w:b w:val="false"/>
          <w:i w:val="false"/>
          <w:color w:val="000000"/>
          <w:sz w:val="28"/>
        </w:rPr>
        <w:t>
      уменьшение расчлененности территорий (борьба с оврагообразованием);</w:t>
      </w:r>
    </w:p>
    <w:bookmarkEnd w:id="363"/>
    <w:bookmarkStart w:name="z372" w:id="364"/>
    <w:p>
      <w:pPr>
        <w:spacing w:after="0"/>
        <w:ind w:left="0"/>
        <w:jc w:val="both"/>
      </w:pPr>
      <w:r>
        <w:rPr>
          <w:rFonts w:ascii="Times New Roman"/>
          <w:b w:val="false"/>
          <w:i w:val="false"/>
          <w:color w:val="000000"/>
          <w:sz w:val="28"/>
        </w:rPr>
        <w:t>
      защиту территории от подтопления грунтовыми водами;</w:t>
      </w:r>
    </w:p>
    <w:bookmarkEnd w:id="364"/>
    <w:bookmarkStart w:name="z373" w:id="365"/>
    <w:p>
      <w:pPr>
        <w:spacing w:after="0"/>
        <w:ind w:left="0"/>
        <w:jc w:val="both"/>
      </w:pPr>
      <w:r>
        <w:rPr>
          <w:rFonts w:ascii="Times New Roman"/>
          <w:b w:val="false"/>
          <w:i w:val="false"/>
          <w:color w:val="000000"/>
          <w:sz w:val="28"/>
        </w:rPr>
        <w:t>
      благоустройство водных объектов и русел водотоков;</w:t>
      </w:r>
    </w:p>
    <w:bookmarkEnd w:id="365"/>
    <w:bookmarkStart w:name="z374" w:id="366"/>
    <w:p>
      <w:pPr>
        <w:spacing w:after="0"/>
        <w:ind w:left="0"/>
        <w:jc w:val="both"/>
      </w:pPr>
      <w:r>
        <w:rPr>
          <w:rFonts w:ascii="Times New Roman"/>
          <w:b w:val="false"/>
          <w:i w:val="false"/>
          <w:color w:val="000000"/>
          <w:sz w:val="28"/>
        </w:rPr>
        <w:t>
      защиту территории от затопления паводковыми водами;</w:t>
      </w:r>
    </w:p>
    <w:bookmarkEnd w:id="366"/>
    <w:bookmarkStart w:name="z375" w:id="367"/>
    <w:p>
      <w:pPr>
        <w:spacing w:after="0"/>
        <w:ind w:left="0"/>
        <w:jc w:val="both"/>
      </w:pPr>
      <w:r>
        <w:rPr>
          <w:rFonts w:ascii="Times New Roman"/>
          <w:b w:val="false"/>
          <w:i w:val="false"/>
          <w:color w:val="000000"/>
          <w:sz w:val="28"/>
        </w:rPr>
        <w:t>
      защиту прибрежных территорий рек от затопления.</w:t>
      </w:r>
    </w:p>
    <w:bookmarkEnd w:id="367"/>
    <w:bookmarkStart w:name="z376" w:id="368"/>
    <w:p>
      <w:pPr>
        <w:spacing w:after="0"/>
        <w:ind w:left="0"/>
        <w:jc w:val="both"/>
      </w:pPr>
      <w:r>
        <w:rPr>
          <w:rFonts w:ascii="Times New Roman"/>
          <w:b w:val="false"/>
          <w:i w:val="false"/>
          <w:color w:val="000000"/>
          <w:sz w:val="28"/>
        </w:rPr>
        <w:t>
      Наличие на территории города Актобе ряда отрицательных физико-геологических процессов и явлений требует проведения ряда мероприятий по инженерной подготовке территории, первостепенной из которых является вертикальная планировка с упорядочением поверхностного стока.</w:t>
      </w:r>
    </w:p>
    <w:bookmarkEnd w:id="368"/>
    <w:bookmarkStart w:name="z377" w:id="369"/>
    <w:p>
      <w:pPr>
        <w:spacing w:after="0"/>
        <w:ind w:left="0"/>
        <w:jc w:val="both"/>
      </w:pPr>
      <w:r>
        <w:rPr>
          <w:rFonts w:ascii="Times New Roman"/>
          <w:b w:val="false"/>
          <w:i w:val="false"/>
          <w:color w:val="000000"/>
          <w:sz w:val="28"/>
        </w:rPr>
        <w:t>
      Вертикальная планировка выполнена путем благоустройства естественных форм рельефа, что обеспечит отвод поверхностных вод с селитебной территории в водоотводящую сеть. Высотное решение как существующей застройки, так и участков проектируемой застройки представлено отметками и уклонами по осям основных магистральных и жилых улиц.</w:t>
      </w:r>
    </w:p>
    <w:bookmarkEnd w:id="369"/>
    <w:bookmarkStart w:name="z378" w:id="370"/>
    <w:p>
      <w:pPr>
        <w:spacing w:after="0"/>
        <w:ind w:left="0"/>
        <w:jc w:val="both"/>
      </w:pPr>
      <w:r>
        <w:rPr>
          <w:rFonts w:ascii="Times New Roman"/>
          <w:b w:val="false"/>
          <w:i w:val="false"/>
          <w:color w:val="000000"/>
          <w:sz w:val="28"/>
        </w:rPr>
        <w:t>
      Наличие рельефа местности с уклоном на северо-запад позволяет при минимальных объемах земляных работ практически на естественном рельефе обеспечить продольные уклоны по проезжей части дорог, удобных для отвода поверхностных вод самотеком. Для преобразования и приспособления рельефа к требованиям застройки и прокладки дорог на отдельных участках намечено осуществить вертикальную планировку территории.</w:t>
      </w:r>
    </w:p>
    <w:bookmarkEnd w:id="370"/>
    <w:bookmarkStart w:name="z379" w:id="371"/>
    <w:p>
      <w:pPr>
        <w:spacing w:after="0"/>
        <w:ind w:left="0"/>
        <w:jc w:val="both"/>
      </w:pPr>
      <w:r>
        <w:rPr>
          <w:rFonts w:ascii="Times New Roman"/>
          <w:b w:val="false"/>
          <w:i w:val="false"/>
          <w:color w:val="000000"/>
          <w:sz w:val="28"/>
        </w:rPr>
        <w:t>
      Проезжие части дорог и внутриквартальные проезды устраиваются двухскатные, с установкой бордюрного камня по обеим сторонам улиц.</w:t>
      </w:r>
    </w:p>
    <w:bookmarkEnd w:id="371"/>
    <w:bookmarkStart w:name="z380" w:id="372"/>
    <w:p>
      <w:pPr>
        <w:spacing w:after="0"/>
        <w:ind w:left="0"/>
        <w:jc w:val="both"/>
      </w:pPr>
      <w:r>
        <w:rPr>
          <w:rFonts w:ascii="Times New Roman"/>
          <w:b w:val="false"/>
          <w:i w:val="false"/>
          <w:color w:val="000000"/>
          <w:sz w:val="28"/>
        </w:rPr>
        <w:t>
      Удаление атмосферных вод с проездов осуществляется по поперечным уклонам в арычную сеть, которая несет функцию по отводу атмосферных вод как водосборная канализация открытого типа. Сброс атмосферных вод осуществляется через разрыв бордюрного камня в арычную сеть. На участках дорог, где отсутствует нормативный уклон, сток ливневых вод производится за счет поперечного уклона.</w:t>
      </w:r>
    </w:p>
    <w:bookmarkEnd w:id="372"/>
    <w:bookmarkStart w:name="z381" w:id="373"/>
    <w:p>
      <w:pPr>
        <w:spacing w:after="0"/>
        <w:ind w:left="0"/>
        <w:jc w:val="both"/>
      </w:pPr>
      <w:r>
        <w:rPr>
          <w:rFonts w:ascii="Times New Roman"/>
          <w:b w:val="false"/>
          <w:i w:val="false"/>
          <w:color w:val="000000"/>
          <w:sz w:val="28"/>
        </w:rPr>
        <w:t>
      Согласно проектным предложениям открытый поверхностный способ позволит атмосферным водам внутри территорий кварталов по спланированной поверхности поступать в водоотводящую (арычную) сеть, по которой далее сток самотеком отводится на локальные очистные сооружения и в пруды-накопители ливневых стоков и используется как техническая вода в орошении зеленых насаждений и поливе дорожных покрытий.</w:t>
      </w:r>
    </w:p>
    <w:bookmarkEnd w:id="373"/>
    <w:bookmarkStart w:name="z382" w:id="374"/>
    <w:p>
      <w:pPr>
        <w:spacing w:after="0"/>
        <w:ind w:left="0"/>
        <w:jc w:val="both"/>
      </w:pPr>
      <w:r>
        <w:rPr>
          <w:rFonts w:ascii="Times New Roman"/>
          <w:b w:val="false"/>
          <w:i w:val="false"/>
          <w:color w:val="000000"/>
          <w:sz w:val="28"/>
        </w:rPr>
        <w:t>
      Поверхностные стоки с особо загрязненных участков, расположенных на коммунальных территориях (бензозаправочные станции, стоянки автомашин, автобусные станции, автомойки), должны подвергаться дополнительной очистке на локальных очистных сооружениях перед сбросом их в арычную сеть ливневой канализации.</w:t>
      </w:r>
    </w:p>
    <w:bookmarkEnd w:id="374"/>
    <w:bookmarkStart w:name="z383" w:id="375"/>
    <w:p>
      <w:pPr>
        <w:spacing w:after="0"/>
        <w:ind w:left="0"/>
        <w:jc w:val="both"/>
      </w:pPr>
      <w:r>
        <w:rPr>
          <w:rFonts w:ascii="Times New Roman"/>
          <w:b w:val="false"/>
          <w:i w:val="false"/>
          <w:color w:val="000000"/>
          <w:sz w:val="28"/>
        </w:rPr>
        <w:t>
      Генеральным планом предусмотрены мероприятия по предотвращению роста, ликвидации и благоустройству оврагов.</w:t>
      </w:r>
    </w:p>
    <w:bookmarkEnd w:id="375"/>
    <w:bookmarkStart w:name="z384" w:id="376"/>
    <w:p>
      <w:pPr>
        <w:spacing w:after="0"/>
        <w:ind w:left="0"/>
        <w:jc w:val="both"/>
      </w:pPr>
      <w:r>
        <w:rPr>
          <w:rFonts w:ascii="Times New Roman"/>
          <w:b w:val="false"/>
          <w:i w:val="false"/>
          <w:color w:val="000000"/>
          <w:sz w:val="28"/>
        </w:rPr>
        <w:t>
      Ликвидации подлежат мелкие, сухие овраги длиной до 300 метров и глубиной до 10 метров, то есть подлежащие полной засыпке. На оврагах, имеющих мелкие и постоянные грунтовые водотоки, предлагается устраивать закрытые водостоки с необходимостью сброса воды.</w:t>
      </w:r>
    </w:p>
    <w:bookmarkEnd w:id="376"/>
    <w:bookmarkStart w:name="z385" w:id="377"/>
    <w:p>
      <w:pPr>
        <w:spacing w:after="0"/>
        <w:ind w:left="0"/>
        <w:jc w:val="both"/>
      </w:pPr>
      <w:r>
        <w:rPr>
          <w:rFonts w:ascii="Times New Roman"/>
          <w:b w:val="false"/>
          <w:i w:val="false"/>
          <w:color w:val="000000"/>
          <w:sz w:val="28"/>
        </w:rPr>
        <w:t>
      Для средних оврагов, характеризующихся длиной до 2000 метров, необходимо обустройство путем уположения или террасирования склонов.</w:t>
      </w:r>
    </w:p>
    <w:bookmarkEnd w:id="377"/>
    <w:bookmarkStart w:name="z386" w:id="378"/>
    <w:p>
      <w:pPr>
        <w:spacing w:after="0"/>
        <w:ind w:left="0"/>
        <w:jc w:val="both"/>
      </w:pPr>
      <w:r>
        <w:rPr>
          <w:rFonts w:ascii="Times New Roman"/>
          <w:b w:val="false"/>
          <w:i w:val="false"/>
          <w:color w:val="000000"/>
          <w:sz w:val="28"/>
        </w:rPr>
        <w:t>
      На крупных оврагах необходимо осуществить планировку, засыпку размоин, подсыпку дна с дальнейшим их использованием при строительстве гаражей, складов, устройстве парков, озелененных территорий и водоемов.</w:t>
      </w:r>
    </w:p>
    <w:bookmarkEnd w:id="378"/>
    <w:bookmarkStart w:name="z387" w:id="379"/>
    <w:p>
      <w:pPr>
        <w:spacing w:after="0"/>
        <w:ind w:left="0"/>
        <w:jc w:val="both"/>
      </w:pPr>
      <w:r>
        <w:rPr>
          <w:rFonts w:ascii="Times New Roman"/>
          <w:b w:val="false"/>
          <w:i w:val="false"/>
          <w:color w:val="000000"/>
          <w:sz w:val="28"/>
        </w:rPr>
        <w:t>
      Если величина откоса до 8 % (малые и средние уклоны), откос или склон необходимо укреплять посадкой растений и деревьев. Когда величина откоса превышает среднее значение, применяются искусственные конструкции: газонные решетки, биоматы, геосетки.</w:t>
      </w:r>
    </w:p>
    <w:bookmarkEnd w:id="379"/>
    <w:bookmarkStart w:name="z388" w:id="380"/>
    <w:p>
      <w:pPr>
        <w:spacing w:after="0"/>
        <w:ind w:left="0"/>
        <w:jc w:val="both"/>
      </w:pPr>
      <w:r>
        <w:rPr>
          <w:rFonts w:ascii="Times New Roman"/>
          <w:b w:val="false"/>
          <w:i w:val="false"/>
          <w:color w:val="000000"/>
          <w:sz w:val="28"/>
        </w:rPr>
        <w:t>
      При более крутых уклонах необходимо использовать габионные конструкции и георешетки. Это позволит увеличить стойкость откоса или склона к различным нагрузкам, а также в случаях, когда они должны иметь декоративно-привлекательный внешний вид. Кроме того, габионы и георешетки могут устанавливаться на каменистых и глинистых откосах или склонах.</w:t>
      </w:r>
    </w:p>
    <w:bookmarkEnd w:id="380"/>
    <w:bookmarkStart w:name="z389" w:id="381"/>
    <w:p>
      <w:pPr>
        <w:spacing w:after="0"/>
        <w:ind w:left="0"/>
        <w:jc w:val="both"/>
      </w:pPr>
      <w:r>
        <w:rPr>
          <w:rFonts w:ascii="Times New Roman"/>
          <w:b w:val="false"/>
          <w:i w:val="false"/>
          <w:color w:val="000000"/>
          <w:sz w:val="28"/>
        </w:rPr>
        <w:t>
      Генеральным планом в качестве проектного предложения предлагается применение горизонтального закрытого дренажа. Предотвращение и устранение вредного воздействия грунтовых вод необходимо обеспечить выполнением комплекса следующих мероприятий:</w:t>
      </w:r>
    </w:p>
    <w:bookmarkEnd w:id="381"/>
    <w:bookmarkStart w:name="z390" w:id="382"/>
    <w:p>
      <w:pPr>
        <w:spacing w:after="0"/>
        <w:ind w:left="0"/>
        <w:jc w:val="both"/>
      </w:pPr>
      <w:r>
        <w:rPr>
          <w:rFonts w:ascii="Times New Roman"/>
          <w:b w:val="false"/>
          <w:i w:val="false"/>
          <w:color w:val="000000"/>
          <w:sz w:val="28"/>
        </w:rPr>
        <w:t>
      строительство закрытой горизонтальной дренажной системы на территориях с залеганием грунтовых вод от 0,5 до 3,0 м;</w:t>
      </w:r>
    </w:p>
    <w:bookmarkEnd w:id="382"/>
    <w:bookmarkStart w:name="z391" w:id="383"/>
    <w:p>
      <w:pPr>
        <w:spacing w:after="0"/>
        <w:ind w:left="0"/>
        <w:jc w:val="both"/>
      </w:pPr>
      <w:r>
        <w:rPr>
          <w:rFonts w:ascii="Times New Roman"/>
          <w:b w:val="false"/>
          <w:i w:val="false"/>
          <w:color w:val="000000"/>
          <w:sz w:val="28"/>
        </w:rPr>
        <w:t>
      для зданий с подвальными помещениями – гидроизоляция подвалов;</w:t>
      </w:r>
    </w:p>
    <w:bookmarkEnd w:id="383"/>
    <w:bookmarkStart w:name="z392" w:id="384"/>
    <w:p>
      <w:pPr>
        <w:spacing w:after="0"/>
        <w:ind w:left="0"/>
        <w:jc w:val="both"/>
      </w:pPr>
      <w:r>
        <w:rPr>
          <w:rFonts w:ascii="Times New Roman"/>
          <w:b w:val="false"/>
          <w:i w:val="false"/>
          <w:color w:val="000000"/>
          <w:sz w:val="28"/>
        </w:rPr>
        <w:t>
      выполнение мероприятий по сбору и отводу поверхностных ливневых и талых вод с проектируемой территории;</w:t>
      </w:r>
    </w:p>
    <w:bookmarkEnd w:id="384"/>
    <w:bookmarkStart w:name="z393" w:id="385"/>
    <w:p>
      <w:pPr>
        <w:spacing w:after="0"/>
        <w:ind w:left="0"/>
        <w:jc w:val="both"/>
      </w:pPr>
      <w:r>
        <w:rPr>
          <w:rFonts w:ascii="Times New Roman"/>
          <w:b w:val="false"/>
          <w:i w:val="false"/>
          <w:color w:val="000000"/>
          <w:sz w:val="28"/>
        </w:rPr>
        <w:t>
      прочистка существующих и строительство новых водовыпусков через полотна автодорог;</w:t>
      </w:r>
    </w:p>
    <w:bookmarkEnd w:id="385"/>
    <w:bookmarkStart w:name="z394" w:id="386"/>
    <w:p>
      <w:pPr>
        <w:spacing w:after="0"/>
        <w:ind w:left="0"/>
        <w:jc w:val="both"/>
      </w:pPr>
      <w:r>
        <w:rPr>
          <w:rFonts w:ascii="Times New Roman"/>
          <w:b w:val="false"/>
          <w:i w:val="false"/>
          <w:color w:val="000000"/>
          <w:sz w:val="28"/>
        </w:rPr>
        <w:t>
      разработка и выполнение предупредительных мероприятий по защите территории от подтопления.</w:t>
      </w:r>
    </w:p>
    <w:bookmarkEnd w:id="386"/>
    <w:bookmarkStart w:name="z395" w:id="387"/>
    <w:p>
      <w:pPr>
        <w:spacing w:after="0"/>
        <w:ind w:left="0"/>
        <w:jc w:val="both"/>
      </w:pPr>
      <w:r>
        <w:rPr>
          <w:rFonts w:ascii="Times New Roman"/>
          <w:b w:val="false"/>
          <w:i w:val="false"/>
          <w:color w:val="000000"/>
          <w:sz w:val="28"/>
        </w:rPr>
        <w:t>
      Что касается благоустройства водных объектов и русел водотоков, на реках, протекающих по территории города Актобе, более мелких водотоках необходимо провести ряд мер по устройству берегоукрепительных работ, произвести спрямление и расширение русел рек, укрепление откосов рек путем благоустройства и озеленения прибрежных полос, а также использования конструкций. Предусматриваются реконструкция старых и строительство новых водоперепускных сооружений. В парковых и зеленых зонах необходимо устройство набережных и спусков к воде.</w:t>
      </w:r>
    </w:p>
    <w:bookmarkEnd w:id="387"/>
    <w:bookmarkStart w:name="z396" w:id="388"/>
    <w:p>
      <w:pPr>
        <w:spacing w:after="0"/>
        <w:ind w:left="0"/>
        <w:jc w:val="both"/>
      </w:pPr>
      <w:r>
        <w:rPr>
          <w:rFonts w:ascii="Times New Roman"/>
          <w:b w:val="false"/>
          <w:i w:val="false"/>
          <w:color w:val="000000"/>
          <w:sz w:val="28"/>
        </w:rPr>
        <w:t>
      Вдоль русла реки Илек необходимо отремонтировать набережную, спуски к воде и облицовку русла там, где это необходимо.</w:t>
      </w:r>
    </w:p>
    <w:bookmarkEnd w:id="388"/>
    <w:bookmarkStart w:name="z397" w:id="389"/>
    <w:p>
      <w:pPr>
        <w:spacing w:after="0"/>
        <w:ind w:left="0"/>
        <w:jc w:val="both"/>
      </w:pPr>
      <w:r>
        <w:rPr>
          <w:rFonts w:ascii="Times New Roman"/>
          <w:b w:val="false"/>
          <w:i w:val="false"/>
          <w:color w:val="000000"/>
          <w:sz w:val="28"/>
        </w:rPr>
        <w:t>
      Берега водохранилищ Актобе и Сазды необходимо очистить от мусора и заносов, произвести берегоукрепительные работы путем очищения берегов, посадки деревьев и кустарников и облицовки берегов бетонными плитами или габионными конструкциями.</w:t>
      </w:r>
    </w:p>
    <w:bookmarkEnd w:id="389"/>
    <w:bookmarkStart w:name="z398" w:id="390"/>
    <w:p>
      <w:pPr>
        <w:spacing w:after="0"/>
        <w:ind w:left="0"/>
        <w:jc w:val="both"/>
      </w:pPr>
      <w:r>
        <w:rPr>
          <w:rFonts w:ascii="Times New Roman"/>
          <w:b w:val="false"/>
          <w:i w:val="false"/>
          <w:color w:val="000000"/>
          <w:sz w:val="28"/>
        </w:rPr>
        <w:t>
      В период активного снеготаяния наблюдается значительный подъем уровня воды в реках, протекающих по проектируемой территории. В связи с этим наблюдаются процессы затопления прибрежных территорий.</w:t>
      </w:r>
    </w:p>
    <w:bookmarkEnd w:id="390"/>
    <w:bookmarkStart w:name="z399" w:id="391"/>
    <w:p>
      <w:pPr>
        <w:spacing w:after="0"/>
        <w:ind w:left="0"/>
        <w:jc w:val="both"/>
      </w:pPr>
      <w:r>
        <w:rPr>
          <w:rFonts w:ascii="Times New Roman"/>
          <w:b w:val="false"/>
          <w:i w:val="false"/>
          <w:color w:val="000000"/>
          <w:sz w:val="28"/>
        </w:rPr>
        <w:t>
      Генеральным планом вдоль русел рек предусмотрено возведение земляных дамб обвалования для защиты прибрежных территорий от затопления при максимальном уровне заполнения русел рек.</w:t>
      </w:r>
    </w:p>
    <w:bookmarkEnd w:id="391"/>
    <w:bookmarkStart w:name="z400" w:id="392"/>
    <w:p>
      <w:pPr>
        <w:spacing w:after="0"/>
        <w:ind w:left="0"/>
        <w:jc w:val="left"/>
      </w:pPr>
      <w:r>
        <w:rPr>
          <w:rFonts w:ascii="Times New Roman"/>
          <w:b/>
          <w:i w:val="false"/>
          <w:color w:val="000000"/>
        </w:rPr>
        <w:t xml:space="preserve"> Глава 13. Охрана окружающей среды</w:t>
      </w:r>
    </w:p>
    <w:bookmarkEnd w:id="392"/>
    <w:bookmarkStart w:name="z401" w:id="393"/>
    <w:p>
      <w:pPr>
        <w:spacing w:after="0"/>
        <w:ind w:left="0"/>
        <w:jc w:val="both"/>
      </w:pPr>
      <w:r>
        <w:rPr>
          <w:rFonts w:ascii="Times New Roman"/>
          <w:b w:val="false"/>
          <w:i w:val="false"/>
          <w:color w:val="000000"/>
          <w:sz w:val="28"/>
        </w:rPr>
        <w:t>
      Общая оценка загрязнения атмосферного воздуха по городу Актобе за 1-е полугодие 2022 года оценивается как очень высокая.</w:t>
      </w:r>
    </w:p>
    <w:bookmarkEnd w:id="393"/>
    <w:bookmarkStart w:name="z402" w:id="394"/>
    <w:p>
      <w:pPr>
        <w:spacing w:after="0"/>
        <w:ind w:left="0"/>
        <w:jc w:val="both"/>
      </w:pPr>
      <w:r>
        <w:rPr>
          <w:rFonts w:ascii="Times New Roman"/>
          <w:b w:val="false"/>
          <w:i w:val="false"/>
          <w:color w:val="000000"/>
          <w:sz w:val="28"/>
        </w:rPr>
        <w:t>
      На перспективу Генеральным планом предполагается дальнейшее форсированное инновационное развитие промышленности города Актобе. Для снижения вредного воздействия выбросов города Актобе проектом предусматриваются комплекс мероприятий:</w:t>
      </w:r>
    </w:p>
    <w:bookmarkEnd w:id="394"/>
    <w:bookmarkStart w:name="z403" w:id="395"/>
    <w:p>
      <w:pPr>
        <w:spacing w:after="0"/>
        <w:ind w:left="0"/>
        <w:jc w:val="both"/>
      </w:pPr>
      <w:r>
        <w:rPr>
          <w:rFonts w:ascii="Times New Roman"/>
          <w:b w:val="false"/>
          <w:i w:val="false"/>
          <w:color w:val="000000"/>
          <w:sz w:val="28"/>
        </w:rPr>
        <w:t>
      строительство новых канализационных очистных сооружений с прудами-накопителями на северо-западной и юго-восточной окраине города, реконструкция старых комплексов очистных сооружений с повторным использованием очищенных сточных вод на полив лесонасаждений;</w:t>
      </w:r>
    </w:p>
    <w:bookmarkEnd w:id="395"/>
    <w:bookmarkStart w:name="z404" w:id="396"/>
    <w:p>
      <w:pPr>
        <w:spacing w:after="0"/>
        <w:ind w:left="0"/>
        <w:jc w:val="both"/>
      </w:pPr>
      <w:r>
        <w:rPr>
          <w:rFonts w:ascii="Times New Roman"/>
          <w:b w:val="false"/>
          <w:i w:val="false"/>
          <w:color w:val="000000"/>
          <w:sz w:val="28"/>
        </w:rPr>
        <w:t>
      соблюдение санитарно-защитных зон от промышленных предприятий города;</w:t>
      </w:r>
    </w:p>
    <w:bookmarkEnd w:id="396"/>
    <w:bookmarkStart w:name="z405" w:id="397"/>
    <w:p>
      <w:pPr>
        <w:spacing w:after="0"/>
        <w:ind w:left="0"/>
        <w:jc w:val="both"/>
      </w:pPr>
      <w:r>
        <w:rPr>
          <w:rFonts w:ascii="Times New Roman"/>
          <w:b w:val="false"/>
          <w:i w:val="false"/>
          <w:color w:val="000000"/>
          <w:sz w:val="28"/>
        </w:rPr>
        <w:t>
      строгое соблюдение санитарно-защитных зон от сибиреязвенных захоронений, скотомогильников и биотермических ям;</w:t>
      </w:r>
    </w:p>
    <w:bookmarkEnd w:id="397"/>
    <w:bookmarkStart w:name="z406" w:id="398"/>
    <w:p>
      <w:pPr>
        <w:spacing w:after="0"/>
        <w:ind w:left="0"/>
        <w:jc w:val="both"/>
      </w:pPr>
      <w:r>
        <w:rPr>
          <w:rFonts w:ascii="Times New Roman"/>
          <w:b w:val="false"/>
          <w:i w:val="false"/>
          <w:color w:val="000000"/>
          <w:sz w:val="28"/>
        </w:rPr>
        <w:t>
      строительство мусороперерабатывающего завода с полигонами компостирования на северо-западной окраине города;</w:t>
      </w:r>
    </w:p>
    <w:bookmarkEnd w:id="398"/>
    <w:bookmarkStart w:name="z407" w:id="399"/>
    <w:p>
      <w:pPr>
        <w:spacing w:after="0"/>
        <w:ind w:left="0"/>
        <w:jc w:val="both"/>
      </w:pPr>
      <w:r>
        <w:rPr>
          <w:rFonts w:ascii="Times New Roman"/>
          <w:b w:val="false"/>
          <w:i w:val="false"/>
          <w:color w:val="000000"/>
          <w:sz w:val="28"/>
        </w:rPr>
        <w:t>
      обеспечение жесткого контроля за реализацией мероприятий по сокращению выбросов загрязняющих веществ, предусмотренных предельно допустимых выбросов промышленных предприятиях города;</w:t>
      </w:r>
    </w:p>
    <w:bookmarkEnd w:id="399"/>
    <w:bookmarkStart w:name="z408" w:id="400"/>
    <w:p>
      <w:pPr>
        <w:spacing w:after="0"/>
        <w:ind w:left="0"/>
        <w:jc w:val="both"/>
      </w:pPr>
      <w:r>
        <w:rPr>
          <w:rFonts w:ascii="Times New Roman"/>
          <w:b w:val="false"/>
          <w:i w:val="false"/>
          <w:color w:val="000000"/>
          <w:sz w:val="28"/>
        </w:rPr>
        <w:t>
      рекомендации природопользователям установить автоматизированную систему мониторинга эмиссий в окружающую среду на источниках загрязнения в соответствии с порядком ведения автоматизированного мониторинга эмиссий в окружающую среду при проведении производственного экологического контроля;</w:t>
      </w:r>
    </w:p>
    <w:bookmarkEnd w:id="400"/>
    <w:bookmarkStart w:name="z409" w:id="401"/>
    <w:p>
      <w:pPr>
        <w:spacing w:after="0"/>
        <w:ind w:left="0"/>
        <w:jc w:val="both"/>
      </w:pPr>
      <w:r>
        <w:rPr>
          <w:rFonts w:ascii="Times New Roman"/>
          <w:b w:val="false"/>
          <w:i w:val="false"/>
          <w:color w:val="000000"/>
          <w:sz w:val="28"/>
        </w:rPr>
        <w:t>
      внедрение современных технологий очистки от выбросов и сбросов в окружающую среду и обеспечение системы автоматизированного мониторинга эмиссий в окружающую среду при проектировании и строительстве новых предприятий;</w:t>
      </w:r>
    </w:p>
    <w:bookmarkEnd w:id="401"/>
    <w:bookmarkStart w:name="z410" w:id="402"/>
    <w:p>
      <w:pPr>
        <w:spacing w:after="0"/>
        <w:ind w:left="0"/>
        <w:jc w:val="both"/>
      </w:pPr>
      <w:r>
        <w:rPr>
          <w:rFonts w:ascii="Times New Roman"/>
          <w:b w:val="false"/>
          <w:i w:val="false"/>
          <w:color w:val="000000"/>
          <w:sz w:val="28"/>
        </w:rPr>
        <w:t>
      запрет на разработку Жилянского месторождения калийно-магниевых солей;</w:t>
      </w:r>
    </w:p>
    <w:bookmarkEnd w:id="402"/>
    <w:bookmarkStart w:name="z411" w:id="403"/>
    <w:p>
      <w:pPr>
        <w:spacing w:after="0"/>
        <w:ind w:left="0"/>
        <w:jc w:val="both"/>
      </w:pPr>
      <w:r>
        <w:rPr>
          <w:rFonts w:ascii="Times New Roman"/>
          <w:b w:val="false"/>
          <w:i w:val="false"/>
          <w:color w:val="000000"/>
          <w:sz w:val="28"/>
        </w:rPr>
        <w:t>
      укрепление берегов рек габионными конструкциями;</w:t>
      </w:r>
    </w:p>
    <w:bookmarkEnd w:id="403"/>
    <w:bookmarkStart w:name="z412" w:id="404"/>
    <w:p>
      <w:pPr>
        <w:spacing w:after="0"/>
        <w:ind w:left="0"/>
        <w:jc w:val="both"/>
      </w:pPr>
      <w:r>
        <w:rPr>
          <w:rFonts w:ascii="Times New Roman"/>
          <w:b w:val="false"/>
          <w:i w:val="false"/>
          <w:color w:val="000000"/>
          <w:sz w:val="28"/>
        </w:rPr>
        <w:t>
      бетонирование русла реки Сазда в черте города;</w:t>
      </w:r>
    </w:p>
    <w:bookmarkEnd w:id="404"/>
    <w:bookmarkStart w:name="z413" w:id="405"/>
    <w:p>
      <w:pPr>
        <w:spacing w:after="0"/>
        <w:ind w:left="0"/>
        <w:jc w:val="both"/>
      </w:pPr>
      <w:r>
        <w:rPr>
          <w:rFonts w:ascii="Times New Roman"/>
          <w:b w:val="false"/>
          <w:i w:val="false"/>
          <w:color w:val="000000"/>
          <w:sz w:val="28"/>
        </w:rPr>
        <w:t>
      очистка пойм всех рек в пределах малой обводной дороги, берегоукрепление с пропуском расчетного 3-процентного расхода воды в пределах водоохранной полосы или зоны и благоустройство согласно регламенту;</w:t>
      </w:r>
    </w:p>
    <w:bookmarkEnd w:id="405"/>
    <w:bookmarkStart w:name="z414" w:id="406"/>
    <w:p>
      <w:pPr>
        <w:spacing w:after="0"/>
        <w:ind w:left="0"/>
        <w:jc w:val="both"/>
      </w:pPr>
      <w:r>
        <w:rPr>
          <w:rFonts w:ascii="Times New Roman"/>
          <w:b w:val="false"/>
          <w:i w:val="false"/>
          <w:color w:val="000000"/>
          <w:sz w:val="28"/>
        </w:rPr>
        <w:t>
      выполнение систем линейных лесозащитных полос с водоотводящими поливными каналами;</w:t>
      </w:r>
    </w:p>
    <w:bookmarkEnd w:id="406"/>
    <w:bookmarkStart w:name="z415" w:id="407"/>
    <w:p>
      <w:pPr>
        <w:spacing w:after="0"/>
        <w:ind w:left="0"/>
        <w:jc w:val="both"/>
      </w:pPr>
      <w:r>
        <w:rPr>
          <w:rFonts w:ascii="Times New Roman"/>
          <w:b w:val="false"/>
          <w:i w:val="false"/>
          <w:color w:val="000000"/>
          <w:sz w:val="28"/>
        </w:rPr>
        <w:t>
      организация лесозащитной полосы со снегозадерживающей конструкцией шириной 250 м с внешней стороны БАКАД (внутри данной полосы необходимо проложить канал, который сможет в период паводка принять талую воду степных массивов с дальнейшим распределением воды на полив зеленых насаждений);</w:t>
      </w:r>
    </w:p>
    <w:bookmarkEnd w:id="407"/>
    <w:bookmarkStart w:name="z416" w:id="408"/>
    <w:p>
      <w:pPr>
        <w:spacing w:after="0"/>
        <w:ind w:left="0"/>
        <w:jc w:val="both"/>
      </w:pPr>
      <w:r>
        <w:rPr>
          <w:rFonts w:ascii="Times New Roman"/>
          <w:b w:val="false"/>
          <w:i w:val="false"/>
          <w:color w:val="000000"/>
          <w:sz w:val="28"/>
        </w:rPr>
        <w:t>
      организация лесозащитной полосы со снегозадерживающей конструкцией шириной 150 м с внешней стороны проектируемой малой обводной дороги (внутри этой полосы также предлагается проложить канал, который сможет в период паводка принять талую воду степных массивов с дальнейшим распределением воды на полив зеленых насаждений);</w:t>
      </w:r>
    </w:p>
    <w:bookmarkEnd w:id="408"/>
    <w:bookmarkStart w:name="z417" w:id="409"/>
    <w:p>
      <w:pPr>
        <w:spacing w:after="0"/>
        <w:ind w:left="0"/>
        <w:jc w:val="both"/>
      </w:pPr>
      <w:r>
        <w:rPr>
          <w:rFonts w:ascii="Times New Roman"/>
          <w:b w:val="false"/>
          <w:i w:val="false"/>
          <w:color w:val="000000"/>
          <w:sz w:val="28"/>
        </w:rPr>
        <w:t>
      улучшение качества бензина с переходом на стандарт Евро-5;</w:t>
      </w:r>
    </w:p>
    <w:bookmarkEnd w:id="409"/>
    <w:bookmarkStart w:name="z418" w:id="410"/>
    <w:p>
      <w:pPr>
        <w:spacing w:after="0"/>
        <w:ind w:left="0"/>
        <w:jc w:val="both"/>
      </w:pPr>
      <w:r>
        <w:rPr>
          <w:rFonts w:ascii="Times New Roman"/>
          <w:b w:val="false"/>
          <w:i w:val="false"/>
          <w:color w:val="000000"/>
          <w:sz w:val="28"/>
        </w:rPr>
        <w:t>
      вынос таких предприятий, как: ТОО "Взрывпром" – склад взрывчатых веществ, расположенный близко к селитебной территории (проектом предлагается к ликвидации), ТОО "Аdm investment" (птицефабрика), ТОО "КТП", мобильный асфальтобетонный завод и др.;</w:t>
      </w:r>
    </w:p>
    <w:bookmarkEnd w:id="410"/>
    <w:bookmarkStart w:name="z419" w:id="411"/>
    <w:p>
      <w:pPr>
        <w:spacing w:after="0"/>
        <w:ind w:left="0"/>
        <w:jc w:val="both"/>
      </w:pPr>
      <w:r>
        <w:rPr>
          <w:rFonts w:ascii="Times New Roman"/>
          <w:b w:val="false"/>
          <w:i w:val="false"/>
          <w:color w:val="000000"/>
          <w:sz w:val="28"/>
        </w:rPr>
        <w:t>
      вынос аэропорта в 20 км от жилых массивов города на площадку Нурбулак-1;</w:t>
      </w:r>
    </w:p>
    <w:bookmarkEnd w:id="411"/>
    <w:bookmarkStart w:name="z420" w:id="412"/>
    <w:p>
      <w:pPr>
        <w:spacing w:after="0"/>
        <w:ind w:left="0"/>
        <w:jc w:val="both"/>
      </w:pPr>
      <w:r>
        <w:rPr>
          <w:rFonts w:ascii="Times New Roman"/>
          <w:b w:val="false"/>
          <w:i w:val="false"/>
          <w:color w:val="000000"/>
          <w:sz w:val="28"/>
        </w:rPr>
        <w:t>
      поощрение использования для теплоснабжения нетрадиционных видов энергии, прежде всего солнечной, в районах малоэтажной застройки.</w:t>
      </w:r>
    </w:p>
    <w:bookmarkEnd w:id="412"/>
    <w:bookmarkStart w:name="z421" w:id="413"/>
    <w:p>
      <w:pPr>
        <w:spacing w:after="0"/>
        <w:ind w:left="0"/>
        <w:jc w:val="both"/>
      </w:pPr>
      <w:r>
        <w:rPr>
          <w:rFonts w:ascii="Times New Roman"/>
          <w:b w:val="false"/>
          <w:i w:val="false"/>
          <w:color w:val="000000"/>
          <w:sz w:val="28"/>
        </w:rPr>
        <w:t>
      Предлагаются максимальное сохранение существующих зеленых насаждений, их реконструкция, а также создание новых насаждений, организация которых обусловлена проектными решениями Генерального плана.</w:t>
      </w:r>
    </w:p>
    <w:bookmarkEnd w:id="413"/>
    <w:bookmarkStart w:name="z422" w:id="414"/>
    <w:p>
      <w:pPr>
        <w:spacing w:after="0"/>
        <w:ind w:left="0"/>
        <w:jc w:val="both"/>
      </w:pPr>
      <w:r>
        <w:rPr>
          <w:rFonts w:ascii="Times New Roman"/>
          <w:b w:val="false"/>
          <w:i w:val="false"/>
          <w:color w:val="000000"/>
          <w:sz w:val="28"/>
        </w:rPr>
        <w:t>
      Генеральным планом предусмотрен снос индивидуальных жилых домов на территории, расположенной южнее промышленной зоны (севернее Жилгородка). Данная мера необходима для создания санитарно-защитной зоны от предприятий первого класса опасности (Актюбинский завод хромовых соединений и завод ферросплавов), а также обеспечения безопасности проживания населения в данной зоне. На последующей стадии проектирования необходимо разработать ассортимент защитных растений и конструкции санитарно-защитной зеленой полосы. Данная мера позволит в определенной мере остановить распространение неприятного запаха, идущего от промышленных предприятий.</w:t>
      </w:r>
    </w:p>
    <w:bookmarkEnd w:id="414"/>
    <w:bookmarkStart w:name="z423" w:id="415"/>
    <w:p>
      <w:pPr>
        <w:spacing w:after="0"/>
        <w:ind w:left="0"/>
        <w:jc w:val="both"/>
      </w:pPr>
      <w:r>
        <w:rPr>
          <w:rFonts w:ascii="Times New Roman"/>
          <w:b w:val="false"/>
          <w:i w:val="false"/>
          <w:color w:val="000000"/>
          <w:sz w:val="28"/>
        </w:rPr>
        <w:t>
      Также предусматривается снос жилья и прочих строений, незаконно построенных в пределах водоохранных зон и полос поверхностных водных объектов.</w:t>
      </w:r>
    </w:p>
    <w:bookmarkEnd w:id="415"/>
    <w:bookmarkStart w:name="z424" w:id="416"/>
    <w:p>
      <w:pPr>
        <w:spacing w:after="0"/>
        <w:ind w:left="0"/>
        <w:jc w:val="both"/>
      </w:pPr>
      <w:r>
        <w:rPr>
          <w:rFonts w:ascii="Times New Roman"/>
          <w:b w:val="false"/>
          <w:i w:val="false"/>
          <w:color w:val="000000"/>
          <w:sz w:val="28"/>
        </w:rPr>
        <w:t>
      В целях комфортного проживания людей и охраны окружающей среды проектом предусмотрены:</w:t>
      </w:r>
    </w:p>
    <w:bookmarkEnd w:id="416"/>
    <w:bookmarkStart w:name="z425" w:id="417"/>
    <w:p>
      <w:pPr>
        <w:spacing w:after="0"/>
        <w:ind w:left="0"/>
        <w:jc w:val="both"/>
      </w:pPr>
      <w:r>
        <w:rPr>
          <w:rFonts w:ascii="Times New Roman"/>
          <w:b w:val="false"/>
          <w:i w:val="false"/>
          <w:color w:val="000000"/>
          <w:sz w:val="28"/>
        </w:rPr>
        <w:t>
      защита территорий природного комплекса от загрязнений воздушного бассейна;</w:t>
      </w:r>
    </w:p>
    <w:bookmarkEnd w:id="417"/>
    <w:bookmarkStart w:name="z426" w:id="418"/>
    <w:p>
      <w:pPr>
        <w:spacing w:after="0"/>
        <w:ind w:left="0"/>
        <w:jc w:val="both"/>
      </w:pPr>
      <w:r>
        <w:rPr>
          <w:rFonts w:ascii="Times New Roman"/>
          <w:b w:val="false"/>
          <w:i w:val="false"/>
          <w:color w:val="000000"/>
          <w:sz w:val="28"/>
        </w:rPr>
        <w:t>
      защита поверхностных и подземных водных ресурсов от загрязнений и истощения;</w:t>
      </w:r>
    </w:p>
    <w:bookmarkEnd w:id="418"/>
    <w:bookmarkStart w:name="z427" w:id="419"/>
    <w:p>
      <w:pPr>
        <w:spacing w:after="0"/>
        <w:ind w:left="0"/>
        <w:jc w:val="both"/>
      </w:pPr>
      <w:r>
        <w:rPr>
          <w:rFonts w:ascii="Times New Roman"/>
          <w:b w:val="false"/>
          <w:i w:val="false"/>
          <w:color w:val="000000"/>
          <w:sz w:val="28"/>
        </w:rPr>
        <w:t>
      защита урбанизированных территорий от воздействия физических факторов (шум, вибрация, электромагнитное излучение);</w:t>
      </w:r>
    </w:p>
    <w:bookmarkEnd w:id="419"/>
    <w:bookmarkStart w:name="z428" w:id="420"/>
    <w:p>
      <w:pPr>
        <w:spacing w:after="0"/>
        <w:ind w:left="0"/>
        <w:jc w:val="both"/>
      </w:pPr>
      <w:r>
        <w:rPr>
          <w:rFonts w:ascii="Times New Roman"/>
          <w:b w:val="false"/>
          <w:i w:val="false"/>
          <w:color w:val="000000"/>
          <w:sz w:val="28"/>
        </w:rPr>
        <w:t>
      защита почвенно-растительного покрова от выбросов вредных веществ в атмосферу и образования твердых бытовых отходов;</w:t>
      </w:r>
    </w:p>
    <w:bookmarkEnd w:id="420"/>
    <w:bookmarkStart w:name="z429" w:id="421"/>
    <w:p>
      <w:pPr>
        <w:spacing w:after="0"/>
        <w:ind w:left="0"/>
        <w:jc w:val="both"/>
      </w:pPr>
      <w:r>
        <w:rPr>
          <w:rFonts w:ascii="Times New Roman"/>
          <w:b w:val="false"/>
          <w:i w:val="false"/>
          <w:color w:val="000000"/>
          <w:sz w:val="28"/>
        </w:rPr>
        <w:t>
      защита животного и растительного мира;</w:t>
      </w:r>
    </w:p>
    <w:bookmarkEnd w:id="421"/>
    <w:bookmarkStart w:name="z430" w:id="422"/>
    <w:p>
      <w:pPr>
        <w:spacing w:after="0"/>
        <w:ind w:left="0"/>
        <w:jc w:val="both"/>
      </w:pPr>
      <w:r>
        <w:rPr>
          <w:rFonts w:ascii="Times New Roman"/>
          <w:b w:val="false"/>
          <w:i w:val="false"/>
          <w:color w:val="000000"/>
          <w:sz w:val="28"/>
        </w:rPr>
        <w:t>
      защита территорий от опасных процессов техногенного и природного характера;</w:t>
      </w:r>
    </w:p>
    <w:bookmarkEnd w:id="422"/>
    <w:bookmarkStart w:name="z431" w:id="423"/>
    <w:p>
      <w:pPr>
        <w:spacing w:after="0"/>
        <w:ind w:left="0"/>
        <w:jc w:val="both"/>
      </w:pP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p>
    <w:bookmarkEnd w:id="423"/>
    <w:bookmarkStart w:name="z432" w:id="424"/>
    <w:p>
      <w:pPr>
        <w:spacing w:after="0"/>
        <w:ind w:left="0"/>
        <w:jc w:val="both"/>
      </w:pPr>
      <w:r>
        <w:rPr>
          <w:rFonts w:ascii="Times New Roman"/>
          <w:b w:val="false"/>
          <w:i w:val="false"/>
          <w:color w:val="000000"/>
          <w:sz w:val="28"/>
        </w:rPr>
        <w:t>
      Для обеспечения нормальных социальных и санитарно-гигиенических условий жизнедеятельности населения производственное и социально-экономическое развитие населенного пункта должно быть связано с осуществлением мероприятий по защите и оздоровлению окружающей среды.</w:t>
      </w:r>
    </w:p>
    <w:bookmarkEnd w:id="424"/>
    <w:bookmarkStart w:name="z433" w:id="425"/>
    <w:p>
      <w:pPr>
        <w:spacing w:after="0"/>
        <w:ind w:left="0"/>
        <w:jc w:val="both"/>
      </w:pPr>
      <w:r>
        <w:rPr>
          <w:rFonts w:ascii="Times New Roman"/>
          <w:b w:val="false"/>
          <w:i w:val="false"/>
          <w:color w:val="000000"/>
          <w:sz w:val="28"/>
        </w:rPr>
        <w:t>
      При выполнении предложенных мероприятий по каждому компоненту окружающей среды возможны предотвращение ухудшения экологической обстановки, улучшение условий проживания населения и оздоровление окружающей среды и человека в соответствии с нормативными требованиями.</w:t>
      </w:r>
    </w:p>
    <w:bookmarkEnd w:id="425"/>
    <w:bookmarkStart w:name="z434" w:id="426"/>
    <w:p>
      <w:pPr>
        <w:spacing w:after="0"/>
        <w:ind w:left="0"/>
        <w:jc w:val="left"/>
      </w:pPr>
      <w:r>
        <w:rPr>
          <w:rFonts w:ascii="Times New Roman"/>
          <w:b/>
          <w:i w:val="false"/>
          <w:color w:val="000000"/>
        </w:rPr>
        <w:t xml:space="preserve"> Глава 14. Основные технико-экономические показатели Генерального плана</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автотранспортных предприятий,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природных 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многолетних насаждений, лесного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 зелени общего пользования, рекреационных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режимных территорий, зоны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резервные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не занятые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7"/>
          <w:p>
            <w:pPr>
              <w:spacing w:after="20"/>
              <w:ind w:left="20"/>
              <w:jc w:val="both"/>
            </w:pPr>
            <w:r>
              <w:rPr>
                <w:rFonts w:ascii="Times New Roman"/>
                <w:b w:val="false"/>
                <w:i w:val="false"/>
                <w:color w:val="000000"/>
                <w:sz w:val="20"/>
              </w:rPr>
              <w:t>
тыс.кв.м</w:t>
            </w:r>
          </w:p>
          <w:bookmarkEnd w:id="427"/>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тыс.кв.м</w:t>
            </w:r>
          </w:p>
          <w:bookmarkEnd w:id="428"/>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тыс.кв.м</w:t>
            </w:r>
          </w:p>
          <w:bookmarkEnd w:id="429"/>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0"/>
          <w:p>
            <w:pPr>
              <w:spacing w:after="20"/>
              <w:ind w:left="20"/>
              <w:jc w:val="both"/>
            </w:pPr>
            <w:r>
              <w:rPr>
                <w:rFonts w:ascii="Times New Roman"/>
                <w:b w:val="false"/>
                <w:i w:val="false"/>
                <w:color w:val="000000"/>
                <w:sz w:val="20"/>
              </w:rPr>
              <w:t>
тыс.кв.м</w:t>
            </w:r>
          </w:p>
          <w:bookmarkEnd w:id="430"/>
          <w:p>
            <w:pPr>
              <w:spacing w:after="20"/>
              <w:ind w:left="20"/>
              <w:jc w:val="both"/>
            </w:pPr>
            <w:r>
              <w:rPr>
                <w:rFonts w:ascii="Times New Roman"/>
                <w:b w:val="false"/>
                <w:i w:val="false"/>
                <w:color w:val="000000"/>
                <w:sz w:val="20"/>
              </w:rPr>
              <w:t>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1"/>
          <w:p>
            <w:pPr>
              <w:spacing w:after="20"/>
              <w:ind w:left="20"/>
              <w:jc w:val="both"/>
            </w:pPr>
            <w:r>
              <w:rPr>
                <w:rFonts w:ascii="Times New Roman"/>
                <w:b w:val="false"/>
                <w:i w:val="false"/>
                <w:color w:val="000000"/>
                <w:sz w:val="20"/>
              </w:rPr>
              <w:t>
нет</w:t>
            </w:r>
          </w:p>
          <w:bookmarkEnd w:id="431"/>
          <w:p>
            <w:pPr>
              <w:spacing w:after="20"/>
              <w:ind w:left="20"/>
              <w:jc w:val="both"/>
            </w:pPr>
            <w:r>
              <w:rPr>
                <w:rFonts w:ascii="Times New Roman"/>
                <w:b w:val="false"/>
                <w:i w:val="false"/>
                <w:color w:val="000000"/>
                <w:sz w:val="20"/>
              </w:rPr>
              <w:t>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2"/>
          <w:p>
            <w:pPr>
              <w:spacing w:after="20"/>
              <w:ind w:left="20"/>
              <w:jc w:val="both"/>
            </w:pPr>
            <w:r>
              <w:rPr>
                <w:rFonts w:ascii="Times New Roman"/>
                <w:b w:val="false"/>
                <w:i w:val="false"/>
                <w:color w:val="000000"/>
                <w:sz w:val="20"/>
              </w:rPr>
              <w:t>
нет</w:t>
            </w:r>
          </w:p>
          <w:bookmarkEnd w:id="432"/>
          <w:p>
            <w:pPr>
              <w:spacing w:after="20"/>
              <w:ind w:left="20"/>
              <w:jc w:val="both"/>
            </w:pPr>
            <w:r>
              <w:rPr>
                <w:rFonts w:ascii="Times New Roman"/>
                <w:b w:val="false"/>
                <w:i w:val="false"/>
                <w:color w:val="000000"/>
                <w:sz w:val="20"/>
              </w:rPr>
              <w:t>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3"/>
          <w:p>
            <w:pPr>
              <w:spacing w:after="20"/>
              <w:ind w:left="20"/>
              <w:jc w:val="both"/>
            </w:pPr>
            <w:r>
              <w:rPr>
                <w:rFonts w:ascii="Times New Roman"/>
                <w:b w:val="false"/>
                <w:i w:val="false"/>
                <w:color w:val="000000"/>
                <w:sz w:val="20"/>
              </w:rPr>
              <w:t>
нет</w:t>
            </w:r>
          </w:p>
          <w:bookmarkEnd w:id="433"/>
          <w:p>
            <w:pPr>
              <w:spacing w:after="20"/>
              <w:ind w:left="20"/>
              <w:jc w:val="both"/>
            </w:pPr>
            <w:r>
              <w:rPr>
                <w:rFonts w:ascii="Times New Roman"/>
                <w:b w:val="false"/>
                <w:i w:val="false"/>
                <w:color w:val="000000"/>
                <w:sz w:val="20"/>
              </w:rPr>
              <w:t>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блокированные малоэтажные жилые дома (1-3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Среднеэтажный</w:t>
            </w:r>
          </w:p>
          <w:bookmarkEnd w:id="434"/>
          <w:p>
            <w:pPr>
              <w:spacing w:after="20"/>
              <w:ind w:left="20"/>
              <w:jc w:val="both"/>
            </w:pPr>
            <w:r>
              <w:rPr>
                <w:rFonts w:ascii="Times New Roman"/>
                <w:b w:val="false"/>
                <w:i w:val="false"/>
                <w:color w:val="000000"/>
                <w:sz w:val="20"/>
              </w:rPr>
              <w:t>
(4-8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блокированные малоэтажные жилые дома (1-3 этажа)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(4-8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отоплением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горячим водоснабжением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5655/</w:t>
            </w:r>
          </w:p>
          <w:bookmarkEnd w:id="435"/>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6955/</w:t>
            </w:r>
          </w:p>
          <w:bookmarkEnd w:id="436"/>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7"/>
          <w:p>
            <w:pPr>
              <w:spacing w:after="20"/>
              <w:ind w:left="20"/>
              <w:jc w:val="both"/>
            </w:pPr>
            <w:r>
              <w:rPr>
                <w:rFonts w:ascii="Times New Roman"/>
                <w:b w:val="false"/>
                <w:i w:val="false"/>
                <w:color w:val="000000"/>
                <w:sz w:val="20"/>
              </w:rPr>
              <w:t>
10955/</w:t>
            </w:r>
          </w:p>
          <w:bookmarkEnd w:id="437"/>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престарелых),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(лагеря для школьников и т.п.),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общей площади крытых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скорой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интернаты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Межшкольные учебно-производственные комбинаты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учреждения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 дороги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тыс.пас.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стоянки для хранения легковых автомобилей,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автопаркинги для постоянного хранения автомобилей (для проживающего населения),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под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(отдельностоящие)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водопотребление,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в среднем на 1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образующихся твердых бытовых отходов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мусорных контейнеров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уборочных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завод ферросплавов АО "ТНК "Казхром"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8"/>
          <w:p>
            <w:pPr>
              <w:spacing w:after="20"/>
              <w:ind w:left="20"/>
              <w:jc w:val="both"/>
            </w:pPr>
            <w:r>
              <w:rPr>
                <w:rFonts w:ascii="Times New Roman"/>
                <w:b w:val="false"/>
                <w:i w:val="false"/>
                <w:color w:val="000000"/>
                <w:sz w:val="20"/>
              </w:rPr>
              <w:t>
промышленность,</w:t>
            </w:r>
          </w:p>
          <w:bookmarkEnd w:id="438"/>
          <w:p>
            <w:pPr>
              <w:spacing w:after="20"/>
              <w:ind w:left="20"/>
              <w:jc w:val="both"/>
            </w:pPr>
            <w:r>
              <w:rPr>
                <w:rFonts w:ascii="Times New Roman"/>
                <w:b w:val="false"/>
                <w:i w:val="false"/>
                <w:color w:val="000000"/>
                <w:sz w:val="20"/>
              </w:rPr>
              <w:t>
строительство, транспорт, прочее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 (без Актюбинского завода ферросплавов АО "ТНК "Казхром")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(ГТУ),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горячего водоснабжения,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межпоселковых газораспределительных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Установленное количество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линейных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автоматическая телефонная станция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Мультисервисный абонентский доступ (МАД)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радиодоступа WLL CDMA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Оптический распределительный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 (арычная 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 (дренажные трубопроводы)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Отстойники ливневых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 накопители ливневых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Поливочный водопровод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поливочного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Пруды-накопители паводковых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водоотводной коллектор в железобетонной облицовке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bookmarkStart w:name="z447" w:id="439"/>
    <w:p>
      <w:pPr>
        <w:spacing w:after="0"/>
        <w:ind w:left="0"/>
        <w:jc w:val="both"/>
      </w:pPr>
      <w:r>
        <w:rPr>
          <w:rFonts w:ascii="Times New Roman"/>
          <w:b w:val="false"/>
          <w:i w:val="false"/>
          <w:color w:val="000000"/>
          <w:sz w:val="28"/>
        </w:rPr>
        <w:t>
      __________________________</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 города</w:t>
            </w:r>
            <w:r>
              <w:br/>
            </w:r>
            <w:r>
              <w:rPr>
                <w:rFonts w:ascii="Times New Roman"/>
                <w:b w:val="false"/>
                <w:i w:val="false"/>
                <w:color w:val="000000"/>
                <w:sz w:val="20"/>
              </w:rPr>
              <w:t>Актобе Актюбинской области</w:t>
            </w:r>
            <w:r>
              <w:br/>
            </w:r>
            <w:r>
              <w:rPr>
                <w:rFonts w:ascii="Times New Roman"/>
                <w:b w:val="false"/>
                <w:i w:val="false"/>
                <w:color w:val="000000"/>
                <w:sz w:val="20"/>
              </w:rPr>
              <w:t>(включая основные положения)</w:t>
            </w:r>
          </w:p>
        </w:tc>
      </w:tr>
    </w:tbl>
    <w:bookmarkStart w:name="z449"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41"/>
    <w:p>
      <w:pPr>
        <w:spacing w:after="0"/>
        <w:ind w:left="0"/>
        <w:jc w:val="both"/>
      </w:pPr>
      <w:r>
        <w:rPr>
          <w:rFonts w:ascii="Times New Roman"/>
          <w:b w:val="false"/>
          <w:i w:val="false"/>
          <w:color w:val="000000"/>
          <w:sz w:val="28"/>
        </w:rPr>
        <w:t>
      _______________________</w:t>
      </w:r>
    </w:p>
    <w:bookmarkEnd w:id="4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