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a611" w14:textId="d02a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w:t>
      </w:r>
    </w:p>
    <w:p>
      <w:pPr>
        <w:spacing w:after="0"/>
        <w:ind w:left="0"/>
        <w:jc w:val="both"/>
      </w:pPr>
      <w:r>
        <w:rPr>
          <w:rFonts w:ascii="Times New Roman"/>
          <w:b w:val="false"/>
          <w:i w:val="false"/>
          <w:color w:val="000000"/>
          <w:sz w:val="28"/>
        </w:rPr>
        <w:t>Постановление Правительства Республики Казахстан от 27 марта 2024 года № 232.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классификации</w:t>
      </w:r>
      <w:r>
        <w:rPr>
          <w:rFonts w:ascii="Times New Roman"/>
          <w:b w:val="false"/>
          <w:i w:val="false"/>
          <w:color w:val="000000"/>
          <w:sz w:val="28"/>
        </w:rPr>
        <w:t xml:space="preserve"> (таксономии) "зеленых" проектов, подлежащих финансированию через "зеленые" облигации и "зеленые" кредиты, утвержденной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Настоящая классификация (таксономия) "зеленых" проектов, подлежащих финансированию через "зеленые" облигации и "зеленые" кредиты (далее – таксономия),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130 Экологического кодекса Республики Казахстан (далее – Кодекс) и представляет собой систему классификации категорий "зеленых" проектов, подлежащих финансированию через "зеленые" облигации и "зеленые" кредиты (включая количественные и качественные пороговые значения) и направленных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приведенную в приложении к настоящей таксономии.";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Таксономия включает следующие категории:</w:t>
      </w:r>
    </w:p>
    <w:bookmarkEnd w:id="4"/>
    <w:bookmarkStart w:name="z11" w:id="5"/>
    <w:p>
      <w:pPr>
        <w:spacing w:after="0"/>
        <w:ind w:left="0"/>
        <w:jc w:val="both"/>
      </w:pPr>
      <w:r>
        <w:rPr>
          <w:rFonts w:ascii="Times New Roman"/>
          <w:b w:val="false"/>
          <w:i w:val="false"/>
          <w:color w:val="000000"/>
          <w:sz w:val="28"/>
        </w:rPr>
        <w:t>
      1) возобновляемую энергию (ветряная, солнечная, геотермальная, гидро-, биоэнергия, цепочка поставок и вспомогательная инфраструктура для возобновляемых источников энергии, производство водорода);</w:t>
      </w:r>
    </w:p>
    <w:bookmarkEnd w:id="5"/>
    <w:bookmarkStart w:name="z12" w:id="6"/>
    <w:p>
      <w:pPr>
        <w:spacing w:after="0"/>
        <w:ind w:left="0"/>
        <w:jc w:val="both"/>
      </w:pPr>
      <w:r>
        <w:rPr>
          <w:rFonts w:ascii="Times New Roman"/>
          <w:b w:val="false"/>
          <w:i w:val="false"/>
          <w:color w:val="000000"/>
          <w:sz w:val="28"/>
        </w:rPr>
        <w:t>
      2) энергоэффективность (повышение энергоэффективности на существующих и строящихся промышленных объектах и в агропромышленном секторе, повышение энергоэффективности в бюджетном и коммунальном секторах, энергоэффективные здания, строения и сооружения);</w:t>
      </w:r>
    </w:p>
    <w:bookmarkEnd w:id="6"/>
    <w:bookmarkStart w:name="z13" w:id="7"/>
    <w:p>
      <w:pPr>
        <w:spacing w:after="0"/>
        <w:ind w:left="0"/>
        <w:jc w:val="both"/>
      </w:pPr>
      <w:r>
        <w:rPr>
          <w:rFonts w:ascii="Times New Roman"/>
          <w:b w:val="false"/>
          <w:i w:val="false"/>
          <w:color w:val="000000"/>
          <w:sz w:val="28"/>
        </w:rPr>
        <w:t>
      3) "зеленые" здания ("зеленые" здания, сопутствующие системы и строительные материалы, "зеленая" инфраструктура);</w:t>
      </w:r>
    </w:p>
    <w:bookmarkEnd w:id="7"/>
    <w:bookmarkStart w:name="z14" w:id="8"/>
    <w:p>
      <w:pPr>
        <w:spacing w:after="0"/>
        <w:ind w:left="0"/>
        <w:jc w:val="both"/>
      </w:pPr>
      <w:r>
        <w:rPr>
          <w:rFonts w:ascii="Times New Roman"/>
          <w:b w:val="false"/>
          <w:i w:val="false"/>
          <w:color w:val="000000"/>
          <w:sz w:val="28"/>
        </w:rPr>
        <w:t>
      4) предотвращение и контроль загрязнения (качество воздуха, почвы);</w:t>
      </w:r>
    </w:p>
    <w:bookmarkEnd w:id="8"/>
    <w:bookmarkStart w:name="z15" w:id="9"/>
    <w:p>
      <w:pPr>
        <w:spacing w:after="0"/>
        <w:ind w:left="0"/>
        <w:jc w:val="both"/>
      </w:pPr>
      <w:r>
        <w:rPr>
          <w:rFonts w:ascii="Times New Roman"/>
          <w:b w:val="false"/>
          <w:i w:val="false"/>
          <w:color w:val="000000"/>
          <w:sz w:val="28"/>
        </w:rPr>
        <w:t>
      5) устойчивое использование воды, отходов (устойчивое использование воды и водосбережение, отходы и сточные воды, сохранение и восстановление ресурсов);</w:t>
      </w:r>
    </w:p>
    <w:bookmarkEnd w:id="9"/>
    <w:bookmarkStart w:name="z16" w:id="10"/>
    <w:p>
      <w:pPr>
        <w:spacing w:after="0"/>
        <w:ind w:left="0"/>
        <w:jc w:val="both"/>
      </w:pPr>
      <w:r>
        <w:rPr>
          <w:rFonts w:ascii="Times New Roman"/>
          <w:b w:val="false"/>
          <w:i w:val="false"/>
          <w:color w:val="000000"/>
          <w:sz w:val="28"/>
        </w:rPr>
        <w:t>
      6) устойчивое сельское хозяйство, землепользование, лесное хозяйство, сохранение биоразнообразия и экологический туризм (устойчивое сельское хозяйство, устойчивое управление лесами и сохранение биоразнообразия и экосистем, устойчивый туризм);</w:t>
      </w:r>
    </w:p>
    <w:bookmarkEnd w:id="10"/>
    <w:bookmarkStart w:name="z17" w:id="11"/>
    <w:p>
      <w:pPr>
        <w:spacing w:after="0"/>
        <w:ind w:left="0"/>
        <w:jc w:val="both"/>
      </w:pPr>
      <w:r>
        <w:rPr>
          <w:rFonts w:ascii="Times New Roman"/>
          <w:b w:val="false"/>
          <w:i w:val="false"/>
          <w:color w:val="000000"/>
          <w:sz w:val="28"/>
        </w:rPr>
        <w:t>
      7) чистый транспорт (низкоуглеродные транспортные средства, низкоуглеродные грузоперевозки, чистая транспортная инфраструктура, чистые транспортные информационные и коммуникационные технологии);</w:t>
      </w:r>
    </w:p>
    <w:bookmarkEnd w:id="11"/>
    <w:bookmarkStart w:name="z18" w:id="12"/>
    <w:p>
      <w:pPr>
        <w:spacing w:after="0"/>
        <w:ind w:left="0"/>
        <w:jc w:val="both"/>
      </w:pPr>
      <w:r>
        <w:rPr>
          <w:rFonts w:ascii="Times New Roman"/>
          <w:b w:val="false"/>
          <w:i w:val="false"/>
          <w:color w:val="000000"/>
          <w:sz w:val="28"/>
        </w:rPr>
        <w:t>
      8) переходную энергетику (производство электроэнергии и тепла из газообразного ископаемого топлива, замена топлива, производство оборудования для атомной энергетики, строительство и эксплуатация атомных электростанций).";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таксономии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20" w:id="1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2024 года №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классификации (таксономии)</w:t>
            </w:r>
            <w:r>
              <w:br/>
            </w:r>
            <w:r>
              <w:rPr>
                <w:rFonts w:ascii="Times New Roman"/>
                <w:b w:val="false"/>
                <w:i w:val="false"/>
                <w:color w:val="000000"/>
                <w:sz w:val="20"/>
              </w:rPr>
              <w:t>"зеленых" проектов,</w:t>
            </w:r>
            <w:r>
              <w:br/>
            </w:r>
            <w:r>
              <w:rPr>
                <w:rFonts w:ascii="Times New Roman"/>
                <w:b w:val="false"/>
                <w:i w:val="false"/>
                <w:color w:val="000000"/>
                <w:sz w:val="20"/>
              </w:rPr>
              <w:t>подлежащих финансированию</w:t>
            </w:r>
            <w:r>
              <w:br/>
            </w:r>
            <w:r>
              <w:rPr>
                <w:rFonts w:ascii="Times New Roman"/>
                <w:b w:val="false"/>
                <w:i w:val="false"/>
                <w:color w:val="000000"/>
                <w:sz w:val="20"/>
              </w:rPr>
              <w:t>через "зеленые" облигации и</w:t>
            </w:r>
            <w:r>
              <w:br/>
            </w:r>
            <w:r>
              <w:rPr>
                <w:rFonts w:ascii="Times New Roman"/>
                <w:b w:val="false"/>
                <w:i w:val="false"/>
                <w:color w:val="000000"/>
                <w:sz w:val="20"/>
              </w:rPr>
              <w:t>"зеленые" кредиты</w:t>
            </w:r>
          </w:p>
        </w:tc>
      </w:tr>
    </w:tbl>
    <w:bookmarkStart w:name="z24" w:id="14"/>
    <w:p>
      <w:pPr>
        <w:spacing w:after="0"/>
        <w:ind w:left="0"/>
        <w:jc w:val="left"/>
      </w:pPr>
      <w:r>
        <w:rPr>
          <w:rFonts w:ascii="Times New Roman"/>
          <w:b/>
          <w:i w:val="false"/>
          <w:color w:val="000000"/>
        </w:rPr>
        <w:t xml:space="preserve"> Система классификации категорий "зеленых" проектов, подлежащих финансированию через "зеленые" облигации и "зеленые" кредиты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2: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3: Подсектор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Возобновляемая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Ветряная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Энергетические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ветрогенераторы, ветронасосы, ветряные турбины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Солнечная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Объекты производства электроэнергии (PV &amp; CSP)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и децентрализованные солнечные электростанции, в том числе концентрированные солнечные электростанции (CSP), солнечная фотоэлектрическая (PV) энергия, децентрализованная солнечная фотоэлектрическая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Небольшие распределенные солнечные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небольшие портативные солнечные домашние системы, мини-сети и другие типы автономных систем для питания небольших домохозяйств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Солнечные тепловые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применения и производства солнечной тепловой энергии, в том числе солнечного нагрева воды и других тепловых применений солнечной энергии во всех секторах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Геотермальная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Объекты производства электроэнергии и тепла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28.92.1, 35.11.9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электроэнергии и теплового применения геотермальной энергии во всех секторах; геотермальные тепловые насосы для отопления помещений и централизованного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использования электрических тепловых насосов – потенциал глобального потепления хладагента не превышает значения 700, в остальных случаях –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Гидро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Малые гидроэлектростанции (до 10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гидроэлектростанции с установками, расположенными в одном гидроузле, суммарной мощностью до десяти мегаватт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Средние гидроэлектростанции (до100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гидроэлектростанции с общей установленной мощностью от 10 до 100 мегаватт (МВт), гидроэлектростанция с насосом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мощность (отношение номинальной мощности объекта к площади поверхности водохранилища)&gt;10 Bт/м2 либо выбросы CO2 в течение жизненного цикла не выше 100 g CO2 e/кВт ч. Также требуется заключение экологической экспертизы о допустимости реализации проекта либо заключение скрининга воздействий намечаемой деятельности об отсутствии необходимости проведения обязательной оценки воздействия на окружающую среду (ОВОС), либо заключение ОВОС о допустимости реализации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Другие объекты по производству теплоэнергии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насосы, использующие градиенты температуры почвы, воды и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использования электрических тепловых насосов – потенциал глобального потепления хладагента не превышает значения 700, в остальных случаях –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Биоэнергия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Объекты биоэнергетических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38.21.0, 72.11.0, 35.30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производства биотоплива, биомассы, биогаза и других биоэнергетических продуктов, включая установки для подготовки топлива, установки для предварительной обработки и установки для биопереработки, установки для производства газообразного, жидкого и твердого (лесного) биотоплива (включая установки для анаэробного сбраживания). Оборудование для переработки осадков после очистки сточных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 выбросы парниковых газов в течение жизненного цикла на 70 % ниже базового уровня угля (т.е. выбросов угольной электрогенерации или уровня международно признанного компаратора (сравнительного бенчмарка) ископаемого топлива);</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биомасса должна быть получена из сырья, образованного экологически устойчивыми методами (древесина может быть представлена только отходами древесины; исключается сырье, полученное за счет земель с высоким уровнем биоразнообразия и (или) высоким запасом углерода, имеется оценка воздействия на качество почвы и запасы углерода, высокая (свыше 50 %) минимальная доля отходов и др.);</w:t>
            </w:r>
          </w:p>
          <w:p>
            <w:pPr>
              <w:spacing w:after="20"/>
              <w:ind w:left="20"/>
              <w:jc w:val="both"/>
            </w:pPr>
            <w:r>
              <w:rPr>
                <w:rFonts w:ascii="Times New Roman"/>
                <w:b w:val="false"/>
                <w:i w:val="false"/>
                <w:color w:val="000000"/>
                <w:sz w:val="20"/>
              </w:rPr>
              <w:t>
3) для крупных установок – соответствие требованиям справочника НДТ (BREF**) для крупных топливосжигающих установок, применительно к сжиганию твердой биомассы и (или) торфа в части управления отходами, использования материалов, выполнения порогов по выбросам SO2, NOx и CO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Производство тепла и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тепла и электричества; системы отопления; электростанции на биомассе, биогазе; теплоэлектроцентрали на биомассе; улучшенные печи для биомассы; использование сельскохозяйственных и лесных отходов, а также отходов сельскохозяйственных культур для электрификации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 выбросы парниковых газов в течение жизненного цикла на 70 % ниже базового уровня угля (т.е. выбросов угольной электрогенерации или уровня международно признанного компаратора (сравнительного бенчмарка) ископаемого топлива);</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биомасса должна быть получена из сырья, образованного экологически устойчивыми методами (древесина может быть представлена только отходами древесины; исключается сырье, полученное за счет земель с высоким уровнем биоразнообразия и (или) высоким запасом углерода, имеется оценка воздействия на качество почвы и запасы углерода, высокая (свыше 50 %) минимальная доля отходов и др.);</w:t>
            </w:r>
          </w:p>
          <w:p>
            <w:pPr>
              <w:spacing w:after="20"/>
              <w:ind w:left="20"/>
              <w:jc w:val="both"/>
            </w:pPr>
            <w:r>
              <w:rPr>
                <w:rFonts w:ascii="Times New Roman"/>
                <w:b w:val="false"/>
                <w:i w:val="false"/>
                <w:color w:val="000000"/>
                <w:sz w:val="20"/>
              </w:rPr>
              <w:t>
3) для крупных установок – соответствие требованиям справочника НДТ (BREF**) для крупных топливосжигающих установок, применительно к сжиганию твердой биомассы и (или) торфа в части управления отходами, использования материалов, выполнения порогов по выбросам SO2, NOx и CO</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Цепочка поставок и вспомогательная инфраструктура для возобновляемых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Производство оборудования для возобновляемых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28.11.2, 28.12.0, 28.13.1, 28.13.2, 28.14.0, 25, 27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заводы по производству или сборке ветряных, гидро- и геотермальных турбин, фотоэлектрических элементов и компонентов, солнечных коллекторов (т.н. тарелок или блюд), желобов и компонентов, геотермальных насосов.</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продуктов, ключевых компонентов, оборудования и автоматизированной техники для следующего применения возобновляемой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геотермальная энергия;</w:t>
            </w:r>
          </w:p>
          <w:p>
            <w:pPr>
              <w:spacing w:after="20"/>
              <w:ind w:left="20"/>
              <w:jc w:val="both"/>
            </w:pPr>
            <w:r>
              <w:rPr>
                <w:rFonts w:ascii="Times New Roman"/>
                <w:b w:val="false"/>
                <w:i w:val="false"/>
                <w:color w:val="000000"/>
                <w:sz w:val="20"/>
              </w:rPr>
              <w:t>
гидроэнергия солнечная, концентрированная энергия (CSP), солнечная фотоэлектрическая энергия (PV) , энергия ветра, "зелҰный" водород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Линии электропередачи и поддерживающая инфраструктура для систем возобновляемой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26.11.0, 27.11.0, 27.12.0, 27.20.0, 33.14.1, 35.13.0, 42.22.0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расширенные и улучшенные системы передачи (линии, подстанции), системы хранения (аккумуляторные, механические, гидроаккумулирующие) и новые информационные и коммуникационные технологии (интеллектуальная сеть и мини-сеть) для масштабирования использования возобновляемых источников энергии; выделенные линии электропередачи; крупные и мелкие хранилища; интеллектуальные электросети; счетчики и датчики тепла и электричества; инверторы/контроллеры; трансформаторы; регуляторы напряжения; распределительные устройства; пути для транспортировки экологически чистых технологий; системы хранения "зелҰного" водорода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Системы хранения возобновляемой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27.20.0, 27.90.9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конденсаторы, хранилище сжатого воздуха и маховики; крупномасштабное хранение энергии, а также производственные мощности, предназначенные для вышеперечисленного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Производство водорода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Производство "зелҰного" водорода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20.11.0, 25, 27, 28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по производству водорода с использованием возобновляемой энергии ("зелҰный" водород)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прямые выбросы эквивалента CO2 при производстве водорода в течение жизненного цикла составляют 3 тонны CO2 е/тонну водорода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Энергоэффективность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Повышение энергоэффективности на существующих и строящихся промышленных объектах и в агропромышленном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Энергоэффективное оборудование и совершенствование технологий, включая изменение технологических процессов, снижающее выбросы парниковых газов и (или) обеспечивающее оптимизацию потребления ТЭР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22, 23, 25, 27, 28, 33, 35, 43.22.0, 46.61-46.64, 46.66, 46.69, 71, 77.39, 95.21, 95.22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повышение энергоэффективности в промышленности за счет установки более эффективного оборудования, изменений в процессах и управлении, снижения тепловых потерь и (или) использования остаточного тепла и давления; установка машин, оборудования, приборов, снижающих выбросы парниковых газов и (или) обеспечивающих оптимизацию потребления ТЭР;</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меры по повышению энергоэффективности, основанные на заключении энергетического аудита;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энергоэффективные двигатели, частотно-регулируемые приводы (VFD drives) для компрессоров, насосов и систем вентиляции. Котлы с высокой энергоэффективностью.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 утилизации отходящего тепла и газов технологических процессов (котлы-утилизаторы и др.) в промышленности и коммунальных системах.</w:t>
            </w:r>
          </w:p>
          <w:p>
            <w:pPr>
              <w:spacing w:after="20"/>
              <w:ind w:left="20"/>
              <w:jc w:val="both"/>
            </w:pPr>
            <w:r>
              <w:rPr>
                <w:rFonts w:ascii="Times New Roman"/>
                <w:b w:val="false"/>
                <w:i w:val="false"/>
                <w:color w:val="000000"/>
                <w:sz w:val="20"/>
              </w:rPr>
              <w:t>
Установка энергоэффективных машин и оборудования в сельскохозяйственном секторе. Список возможного подходящего оборудования можно также найти на онлайн-платформе "Селектора зеленых технологий" в рамках механизма финансирования "зеленой" экономики ЕБРР (GEFF) https://​tec​hsel​ecto​r.​com/​kaz​akhs​tan-​en/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снижение энергопотребления на 10 % и (или) минимальное снижение выбросов парниковых газов и (или) обеспечивающее оптимизацию потребления ТЭР на 20 % по сравнению с базовым уровнем (до реализации проекта) исключаются установки, использующие уголь в качестве топлива. Применительно к утилизации отходящего тепла и газов технологических процессов насосы и оборудование (котлы-утилизаторы и т.п.) имеют наивысший класс энергоэффективности, а также соответствуют НДТ, при этом исключается утилизация газов и тепла от генерации на основе угля, а в случае генерации на природном газе должны также соблюдаться критерии, установленные в категории 8 по подсектору 8.1.1 "Производство электроэнергии и тепла из газообразного ископаемого топлива, замена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Установка оборудования теплоэлектроцентрали /когенерационные или тригенерационные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35.11.1, 35.30.5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эксплуатация когенерационных и комбинированного цикла установок, вырабатывающих электричество в дополнение к отоплению; теплоэлектроцентрали; электростанции комбинированного цикла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снижение энергопотребления на 10 % и (или) минимальное снижение выбросов парниковых газов на 20 % по сравнению с базовым уровнем (до реализации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Энергоэффективность в системах производства, передачи и распределения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27.11.0, 35.12, 42.22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линий электропередачи или строительство новых подстанций и (или) распределительных систем для снижения энергопотребления и (или) технических потерь, включая повышение стабильности/надежности сети; умные сети; высоковольтные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снижение потерь электроэнергии на 10 % по сравнению с базовым уровнем (до реализации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Центральное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25.21.0, 33.11.2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 централизованного теплоснабжения с использованием станций малой (распределенной) генерации или других технологий. Станция малой (распределенной) генерации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снижение энергопотребления на 20 % по сравнению с базовым уровнем (до реализации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Повышение энергоэффективности в бюджетном и коммунальном секторах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Энергосберегающее освещение или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энергоэффективности в коммунальных и государственных услугах за счет установки более эффективного освещения или оборудования; система светодиодного уличного освещения, улучшение освещения коммерческих, торговых, оптовых, офисных зданий и других непромышленных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энергозатрат на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Энергоэффективные продукты (конечный пользователь)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25.21, 25.29, 27.51, 27.90, 28.13, 28.14, 33.20, 46.43, 46.61, 46.62, 46.63, 46.64, 46.69, 47.54, 77.31, 77.32, 77.33, 77.34, 77.35, 77.39</w:t>
            </w:r>
          </w:p>
          <w:bookmarkEnd w:id="19"/>
          <w:p>
            <w:pPr>
              <w:spacing w:after="20"/>
              <w:ind w:left="20"/>
              <w:jc w:val="both"/>
            </w:pPr>
            <w:r>
              <w:rPr>
                <w:rFonts w:ascii="Times New Roman"/>
                <w:b w:val="false"/>
                <w:i w:val="false"/>
                <w:color w:val="000000"/>
                <w:sz w:val="20"/>
              </w:rPr>
              <w:t>
(для производителей), любой код ОКЭД (для покупателей юр.лиц), для физ. лиц (коды ОКЭД неприменимы)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либо покупка и применение более энергоэффективных продуктов, включая энергоэффективные машины и оборудование; энергосберегающие холодильники, кондиционеры, стиральные машины, обогреватели и прочие электрические энергопотребляющие устройства (в соответствии с повышенным классом маркировки продукции). Список возможного подходящего оборудования можно найти на онлайн-платформе "Селектора зеленых технологий" в рамках механизма финансирования "зеленой" экономики ЕБРР (GEFF) https://​tec​hsel​ecto​r.​com/​kaz​akhs​tan-​en/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наивысший класс энергоэффективности для типа продукта, в том числе в соответствии с энергетической маркировкой в соответствии с национальными или межгосударственными стандартами, а также международной рейтинговой оценкой энергоэффективности потребительских товаров Energy Star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Услуги по энергосбережению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33.12, 33.14, 33.15, 33.16, 33.17, 33.19, 33.20, 35.12, 35.13, 35.30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энергосбережению для конечных потребителей энергии, в том числе промышленных объектов, зданий и транспортных систем, включая энергоаудит, оказание энергосервисных услуг, управление энергопотреблением (энергоменеджмент) по контракту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СТ РК ISO 50001 "Системы энергетического менеджмента. Требования и руководство по использованию" или международно признанными аналогичными стандартами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Энергоэффективные здания, строения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Энергоэффективное строительство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16.23, 23.11, 23.20, 23.31, 23.32, 23.43, 23.61, 25.11, 25.12, 25.21, 25.29, 25.93, 27.31, 27.32, 27.33, 27.40, 27.51, 28.11, 28.12, 28.13, 28.14, 33.20.0, 41.10.0, 41.20.1, 41.20.2, 41.20.3, 41.20.4, 43.22, 43.29.8, 43.32, 46.43, 46.74, 47.54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использование энергоэффективных архитектурных проектов, приборов и оборудования, а также строительных технологий, снижающих потребление энергии в зданиях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рейтинговых оценок в области "зеленого" строительства: LEED, EDGE, BREEAM, DGNB, OMIR и (или) маркировки энергоэффективности (высокого класса энергоэффективности)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Повышение эффективности в существующих коммерческих, общественных, жилых и промышленных зданиях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16.23, 23.11, 23.20, 23.31, 23.32, 23.43, 23.61, 25.11, 25.12, 25.21, 25.29, 25.93, 27.31, 27.32, 27.33, 27.40, 27.51, 28.11, 28.12, 28.13, 28.14, 33.20.0, 36.00.0, 37.00, 41.10.0, 41.20.1, 41.20.2, 41.20.3, 41.20, 42.21, 42.91, 42.99, 43.22, 43.29.8, 43.32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энергетика: освещение, приборы и оборудование, системы отопления/охлаждения, архитектурные изменения или изменения в строительстве, позволяющие снизить потребление энергии;</w:t>
            </w:r>
          </w:p>
          <w:bookmarkEnd w:id="20"/>
          <w:p>
            <w:pPr>
              <w:spacing w:after="20"/>
              <w:ind w:left="20"/>
              <w:jc w:val="both"/>
            </w:pPr>
            <w:r>
              <w:rPr>
                <w:rFonts w:ascii="Times New Roman"/>
                <w:b w:val="false"/>
                <w:i w:val="false"/>
                <w:color w:val="000000"/>
                <w:sz w:val="20"/>
              </w:rPr>
              <w:t>
вода: водопроводная арматура, системы рециркуляции/сбора дождевой воды, изменения в строительстве зданий, которые позволяют снизить потребление воды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"Зеленые"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"Зеленые"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Строительство новых "зеленых" зданий (коммерческих, общественных, промышленных и жилых)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16.23, 23.11, 23.20, 23.31, 23.32, 23.43, 23.61, 25.11, 25.12, 25.21, 25.29, 25.93, 27.31, 27.32, 27.33, 27.40, 27.51, 28.11, 28.12, 28.13, 28.14, 33.20.0, 36.00.0, 41.10.0, 41.20, 42.21, 42.91, 42.99, 43.22, 43.29.8, 43.31, 43.32, 43.34, 43.39, 43.91, 43.99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энергетика: использование высокоэффективных архитектурных проектов, энергоэффективных приборов и оборудования, а также методов строительства, которые снижают энергопотребление здания, превышая имеющиеся стандарты и соответствуя сертификатам или рейтингам высокой энергоэффективности;</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вода: использование водосберегающих приспособлений и оборудования, а также методов строительства, которые снижают потребление воды в зданиях, превышая имеющиеся стандарты и соответствуя сертификатам или рейтингам водосбережения;</w:t>
            </w:r>
          </w:p>
          <w:p>
            <w:pPr>
              <w:spacing w:after="20"/>
              <w:ind w:left="20"/>
              <w:jc w:val="both"/>
            </w:pPr>
            <w:r>
              <w:rPr>
                <w:rFonts w:ascii="Times New Roman"/>
                <w:b w:val="false"/>
                <w:i w:val="false"/>
                <w:color w:val="000000"/>
                <w:sz w:val="20"/>
              </w:rPr>
              <w:t>
материалы: использование строительного материала, который минимизирует количество компонентов, требующих большого количества энергии для производства стали или цемента, или компонентов, использующих повторно используемые/переработанные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рейтинговых оценок в области "зеленого" строительства: LEED, EDGE, BREEAM, DGNB, OMIR знаков энергетического рейтинга, таких как US Energy Star, и соответствия схеме энергетической маркировки, такой как Energy Performance Certifications, используемой в Европейском союзе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Сопутствующие системы и строительные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Производство и применение систем, "зеленых" строительных материалов и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 23.31.0, 23.32.0, 23.65.0, 23.99.2, 23.99.3, 26.51, 27.11, 27.12, 27.31, 27.32, 27.33, 27.40, 27.51, 27.90, 28.11, 28.12, 28.13, 28.14, 33.20.0, 36.00, 37.00, 41.10.0, 41.20.1, 41.20.2, 41.20.3, 41.20.4, 42.21, 42.91, 42.99, 43.22, 43.29, 43.31, 43.32.0, 43.34, 43.39, 43.91, 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и низкоуглеродные строительные системы (освещение, отопление, кондиционирование воздуха, лифты, эскалаторы, счетчики, наземные тепловые насосы и т. д.) и материалы с низким энергопотреблением или низким углеродным следом; изоляционные материалы из органической ваты, материалы, произведенные из вторичного сырья и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наличие (опционно):</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 рейтинговых оценок в области "зеленого" строительства: LEED, EDGE, BREEAM, DGNB, OMIR;</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маркировки энергоэффективности (высокого класса энергоэффективности);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знаков энергетического рейтинга, таких как US Energy Star, или соответствия схеме энергетической маркировки, такой как Energy Performance Certifications, используемой в Европейском союзе, или сертификации по серии стандартов ИСО в области энергоэффективности зданий (ISO 52003, 52010, 52016, 52018)</w:t>
            </w:r>
          </w:p>
          <w:p>
            <w:pPr>
              <w:spacing w:after="20"/>
              <w:ind w:left="20"/>
              <w:jc w:val="both"/>
            </w:pPr>
            <w:r>
              <w:rPr>
                <w:rFonts w:ascii="Times New Roman"/>
                <w:b w:val="false"/>
                <w:i w:val="false"/>
                <w:color w:val="000000"/>
                <w:sz w:val="20"/>
              </w:rPr>
              <w:t>
4) сертификации по схемам сертификации отдельных строительных материалов (цемента, бетона, керамики, стали и т.п.), таких как Concrete Sustainability Council (CSC) Certification, либо наличие верифицированной экологической декларации продукции (EPD), подготовленной в соответствии со стандартом ИСО 14025, в котором демонстрируется более низкий уровень негативного экологического следа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"Зеленая"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"Зеленая"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42.11.1, 42.99, 43.21, 52.21, 81.30.0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многоцелевые "зеленые" зоны (задержка воды, затенение, отдых, коридоры биоразнообразия, мягкая подкладка для пешеходных и велосипедных дорожек);</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защита от наводнений (ограждения от перенапряжений, насосные станции, дамбы, ворота);</w:t>
            </w:r>
          </w:p>
          <w:p>
            <w:pPr>
              <w:spacing w:after="20"/>
              <w:ind w:left="20"/>
              <w:jc w:val="both"/>
            </w:pPr>
            <w:r>
              <w:rPr>
                <w:rFonts w:ascii="Times New Roman"/>
                <w:b w:val="false"/>
                <w:i w:val="false"/>
                <w:color w:val="000000"/>
                <w:sz w:val="20"/>
              </w:rPr>
              <w:t>
сооружения для сбора талой и дождевой воды; уличное освещение; благоустройство участков по сбору и сортировке отходов при зданиях.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рейтинговых оценок в области "зеленого" строительства: LEED, BREEAM, DGNB, OMIR и(или) маркировки энергоэффективности (высокого класса энергоэффективности)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Строительство и модернизация частных жилых домов и прилегающих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35.11.5, 35.22.0, 36.00.0, 37.00, 38.11.0, 38.21.0, 38.32.3, 41.20.1, 43.21.1, 43.21.9, 43.22.0, 43.29.1, 43.29.8, 43.31.0, 43.32.0, 43.33.0 43.34.0, 43.91.0, 43.99.9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4"/>
          <w:p>
            <w:pPr>
              <w:spacing w:after="20"/>
              <w:ind w:left="20"/>
              <w:jc w:val="both"/>
            </w:pPr>
            <w:r>
              <w:rPr>
                <w:rFonts w:ascii="Times New Roman"/>
                <w:b w:val="false"/>
                <w:i w:val="false"/>
                <w:color w:val="000000"/>
                <w:sz w:val="20"/>
              </w:rPr>
              <w:t>
строительство новых энергоэффективных и "зеленых" домов;</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модернизация существующих домов;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улучшение санитарных условий (септик, утилизация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подведение электричества;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альтернативных видов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тепловых насосов или подключение к центральному отоплению;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хранение энергии, сбор дождевой воды;</w:t>
            </w:r>
          </w:p>
          <w:p>
            <w:pPr>
              <w:spacing w:after="20"/>
              <w:ind w:left="20"/>
              <w:jc w:val="both"/>
            </w:pPr>
            <w:r>
              <w:rPr>
                <w:rFonts w:ascii="Times New Roman"/>
                <w:b w:val="false"/>
                <w:i w:val="false"/>
                <w:color w:val="000000"/>
                <w:sz w:val="20"/>
              </w:rPr>
              <w:t>
переработка серой и черной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потребления воды не ниже 15 %; применение ВИЭ3; минимальное снижение потребления энергии не ниже 15 %; маркировка энергоэффективности (высокого класса энергоэффективности) (если применимо); или наличие следующих рейтинговых оценок в области "зеленого" строительства: LEED, EDGE, BREEAM, DGNB, OMIR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Автономные и экосанитарные туалеты для частных домов, туристических лагерей и малого бизнеса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37.00, 39.00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5"/>
          <w:p>
            <w:pPr>
              <w:spacing w:after="20"/>
              <w:ind w:left="20"/>
              <w:jc w:val="both"/>
            </w:pPr>
            <w:r>
              <w:rPr>
                <w:rFonts w:ascii="Times New Roman"/>
                <w:b w:val="false"/>
                <w:i w:val="false"/>
                <w:color w:val="000000"/>
                <w:sz w:val="20"/>
              </w:rPr>
              <w:t>
установка автономных и экосанитарных туалетов, которые способствуют снижению загрязнения почвы;</w:t>
            </w:r>
          </w:p>
          <w:bookmarkEnd w:id="25"/>
          <w:p>
            <w:pPr>
              <w:spacing w:after="20"/>
              <w:ind w:left="20"/>
              <w:jc w:val="both"/>
            </w:pPr>
            <w:r>
              <w:rPr>
                <w:rFonts w:ascii="Times New Roman"/>
                <w:b w:val="false"/>
                <w:i w:val="false"/>
                <w:color w:val="000000"/>
                <w:sz w:val="20"/>
              </w:rPr>
              <w:t>
биотуалеты, контейнерные туалеты, сухие туалеты, септические системы, мочеотводящий сухой туалет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утилизация отходов без нанесения ущерба экосистемам, повторное использование воды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Предотвращение и контроль загрязнения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Качество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Очистка воздуха от промышленных загрязнений и загрязнения городского атмосферного воздуха, оборудование для рециркуляции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28.11.2, 28.13.1, 28.13, 28.25, 33.12.2, 35.30, 43.22, 43.29.8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6"/>
          <w:p>
            <w:pPr>
              <w:spacing w:after="20"/>
              <w:ind w:left="20"/>
              <w:jc w:val="both"/>
            </w:pPr>
            <w:r>
              <w:rPr>
                <w:rFonts w:ascii="Times New Roman"/>
                <w:b w:val="false"/>
                <w:i w:val="false"/>
                <w:color w:val="000000"/>
                <w:sz w:val="20"/>
              </w:rPr>
              <w:t>
очистные сооружения от промышленного загрязнения воздуха и загрязнения городского атмосферного воздуха, выхлопных газов;</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сокращения промстоков;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рециркуляции воздуха;</w:t>
            </w:r>
          </w:p>
          <w:p>
            <w:pPr>
              <w:spacing w:after="20"/>
              <w:ind w:left="20"/>
              <w:jc w:val="both"/>
            </w:pPr>
            <w:r>
              <w:rPr>
                <w:rFonts w:ascii="Times New Roman"/>
                <w:b w:val="false"/>
                <w:i w:val="false"/>
                <w:color w:val="000000"/>
                <w:sz w:val="20"/>
              </w:rPr>
              <w:t>
обессеривание и денитрификация, использование фильтр-пакетов, горелок выхлопных газов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в атмосферу находятся в пределах диапазонов уровня связанных выбросов – НДТ (BAT-AELs), установленных в справочниках НДТ (BREF), в том числе в рамках Директивы о промышленных выбросах (применительно к промышленным загрязнениям)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Производство и установка чистых отопительных приборов для домашних хозяйств и малого и среднего бизнеса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25.21, 25.30, 27.52.0, 28.21.1, 43.22, 46.74, 43.33.0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закупка и установка чистых отопительных приборов для снижения загрязнения воздуха; электрический радиатор (обогреватель воздуха), электрический картриджный обогреватель, ночной обогреватель, электрический пол с подогревом, теплые стены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снижение выбросов парниковых газов на 20 % по сравнению с базовым уровнем (до реализации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Улавливание и хранение углерода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35.11, 35.30, 39.00.0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продукты для улавливания и хранения углерода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соответствие требованиям справочника НДТ "Улавливание углекислого газа после сжигания" (Post-combustion carbon dioxide capture: best available techniques)</w:t>
            </w:r>
          </w:p>
          <w:bookmarkEnd w:id="27"/>
          <w:p>
            <w:pPr>
              <w:spacing w:after="20"/>
              <w:ind w:left="20"/>
              <w:jc w:val="both"/>
            </w:pPr>
            <w:r>
              <w:rPr>
                <w:rFonts w:ascii="Times New Roman"/>
                <w:b w:val="false"/>
                <w:i w:val="false"/>
                <w:color w:val="000000"/>
                <w:sz w:val="20"/>
              </w:rPr>
              <w:t>
или справочника НДТ (BREF) по эмиссиям при хранении в рамках комплексного предотвращения и контроля загрязнения в части управления отходами и использования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Почва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Cнижение загрязнения почвы; оборудование и инфраструктура для ее восстановления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 до 01.30.0, 28.30.4, 39.00.0, 42.99, 43.12.3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оборудование и инфраструктура, использующие технологии и продукты восстановления почвы от загрязнения и деградации, улучшение плодородия почвы; устойчивое земледелие, переход на устойчивые системы земледелия, включая органические системы земледелия;</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фитомелиоративных и механических методов защиты почв;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нулевых и щадящих технологий в обработке почвы;</w:t>
            </w:r>
          </w:p>
          <w:p>
            <w:pPr>
              <w:spacing w:after="20"/>
              <w:ind w:left="20"/>
              <w:jc w:val="both"/>
            </w:pPr>
            <w:r>
              <w:rPr>
                <w:rFonts w:ascii="Times New Roman"/>
                <w:b w:val="false"/>
                <w:i w:val="false"/>
                <w:color w:val="000000"/>
                <w:sz w:val="20"/>
              </w:rPr>
              <w:t>
возделывание адаптированных к местным условиям культур и сортов; очищение от техногенных и антропогенных загрязнений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Устойчивое использование воды, отходов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Устойчивое использование воды и водосбережение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Производство, приобретение и установка технологий и систем водосбережения, хранения и распределения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01.61.2, 36.00.0, 42.21.2, 42.91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производство, приобретение и установка технологий и систем водосбережения, хранения и распределения;</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технологии и оборудование для очистки питьевой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резервуары грунтовых вод для сбора талого снега или паводков, а также для регулирования уровня воды в реке;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шахтных и карьерных вод для промышленного, сельскохозяйственного, рекреационного или иного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промышленные водосберегающие технологии и измерительное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сельскохозяйственное водосберегающее орошение;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сбора дождевой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подпитки подземных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каналы и системы распределения;</w:t>
            </w:r>
          </w:p>
          <w:p>
            <w:pPr>
              <w:spacing w:after="20"/>
              <w:ind w:left="20"/>
              <w:jc w:val="both"/>
            </w:pPr>
            <w:r>
              <w:rPr>
                <w:rFonts w:ascii="Times New Roman"/>
                <w:b w:val="false"/>
                <w:i w:val="false"/>
                <w:color w:val="000000"/>
                <w:sz w:val="20"/>
              </w:rPr>
              <w:t>
управление ливневыми стоками, системы водооборотов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потребления свежей (природной) воды не ниже 40 % на хозяйственно-питьевые нужды, 30 % на орошение и 70 % для производственных и технических нужд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Предотвращение и устранение последствий засухи, наводнений и селей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 36.00, 42.21, 84.25, 42.11.1-42.99.0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0"/>
          <w:p>
            <w:pPr>
              <w:spacing w:after="20"/>
              <w:ind w:left="20"/>
              <w:jc w:val="both"/>
            </w:pPr>
            <w:r>
              <w:rPr>
                <w:rFonts w:ascii="Times New Roman"/>
                <w:b w:val="false"/>
                <w:i w:val="false"/>
                <w:color w:val="000000"/>
                <w:sz w:val="20"/>
              </w:rPr>
              <w:t>
разработка ирригационных систем для борьбы с засухой;</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и эксплуатация подключений к водным системам, водоохранных сооружений и других объектов по предотвращению и реагированию на водные бедствия;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противонагонных барьеров, насосных станций, дамб, затворов, дамб для береговой эрозионной инфраструктуры, ливневой канализации, противоселевых систем, дренажных систем в транспортной и энергетической инфраструктуре;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автоматизированные и SMART-системы мониторинга, раннего оповещения о штормах, засухах, наводнениях или разрушениях плотин;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процессы мониторинга и измерения качества или количества воды;</w:t>
            </w:r>
          </w:p>
          <w:p>
            <w:pPr>
              <w:spacing w:after="20"/>
              <w:ind w:left="20"/>
              <w:jc w:val="both"/>
            </w:pPr>
            <w:r>
              <w:rPr>
                <w:rFonts w:ascii="Times New Roman"/>
                <w:b w:val="false"/>
                <w:i w:val="false"/>
                <w:color w:val="000000"/>
                <w:sz w:val="20"/>
              </w:rPr>
              <w:t>
интеллектуальные сети для мониторинга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Сооружения подготовки воды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36.00, 42.91, 43.22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1"/>
          <w:p>
            <w:pPr>
              <w:spacing w:after="20"/>
              <w:ind w:left="20"/>
              <w:jc w:val="both"/>
            </w:pPr>
            <w:r>
              <w:rPr>
                <w:rFonts w:ascii="Times New Roman"/>
                <w:b w:val="false"/>
                <w:i w:val="false"/>
                <w:color w:val="000000"/>
                <w:sz w:val="20"/>
              </w:rPr>
              <w:t>
оборудование или инфраструктура для использования воды;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воды;</w:t>
            </w:r>
          </w:p>
          <w:p>
            <w:pPr>
              <w:spacing w:after="20"/>
              <w:ind w:left="20"/>
              <w:jc w:val="both"/>
            </w:pPr>
            <w:r>
              <w:rPr>
                <w:rFonts w:ascii="Times New Roman"/>
                <w:b w:val="false"/>
                <w:i w:val="false"/>
                <w:color w:val="000000"/>
                <w:sz w:val="20"/>
              </w:rPr>
              <w:t>
опреснительные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2"/>
          <w:p>
            <w:pPr>
              <w:spacing w:after="20"/>
              <w:ind w:left="20"/>
              <w:jc w:val="both"/>
            </w:pPr>
            <w:r>
              <w:rPr>
                <w:rFonts w:ascii="Times New Roman"/>
                <w:b w:val="false"/>
                <w:i w:val="false"/>
                <w:color w:val="000000"/>
                <w:sz w:val="20"/>
              </w:rPr>
              <w:t>
питьевая вода: вода должна соответствовать санитарным требованиям/нормам, действующим на момент проведения оценки соответствия порогу таксономии;</w:t>
            </w:r>
          </w:p>
          <w:bookmarkEnd w:id="32"/>
          <w:p>
            <w:pPr>
              <w:spacing w:after="20"/>
              <w:ind w:left="20"/>
              <w:jc w:val="both"/>
            </w:pPr>
            <w:r>
              <w:rPr>
                <w:rFonts w:ascii="Times New Roman"/>
                <w:b w:val="false"/>
                <w:i w:val="false"/>
                <w:color w:val="000000"/>
                <w:sz w:val="20"/>
              </w:rPr>
              <w:t>
техническая вода: вода должна соответствовать паспортам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Установки по очистке сточных вод для дальнейшего вторичного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36.00, 37.00, 42.91, 43.22, 52.21.5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3"/>
          <w:p>
            <w:pPr>
              <w:spacing w:after="20"/>
              <w:ind w:left="20"/>
              <w:jc w:val="both"/>
            </w:pPr>
            <w:r>
              <w:rPr>
                <w:rFonts w:ascii="Times New Roman"/>
                <w:b w:val="false"/>
                <w:i w:val="false"/>
                <w:color w:val="000000"/>
                <w:sz w:val="20"/>
              </w:rPr>
              <w:t>
оборудование для очистки сточных вод;</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заводы по очистке сточных вод; очистка шахтных и карьерных вод, канализационные/дренажные сети с отделением ливневой воды от других сточных вод, системы повторного использования и рециркуляции бытовых и производственных сточных вод;</w:t>
            </w:r>
          </w:p>
          <w:p>
            <w:pPr>
              <w:spacing w:after="20"/>
              <w:ind w:left="20"/>
              <w:jc w:val="both"/>
            </w:pPr>
            <w:r>
              <w:rPr>
                <w:rFonts w:ascii="Times New Roman"/>
                <w:b w:val="false"/>
                <w:i w:val="false"/>
                <w:color w:val="000000"/>
                <w:sz w:val="20"/>
              </w:rPr>
              <w:t>
использование замкнутого цикла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очищенных вод по целевому использованию на вторичное водопользование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Отходы и сточные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Оборудование для сбора, сортировки коммунальных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28.12, 28.22.2, 28.22.3, 28.22.5, 28.22.9, 38.11, 38.21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сбора и сортировки коммунальных отходов, включая приемные пункты вторичного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должны быть собраны раздельно и вторичное сырье направлено на переработку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Утилизация и переработка отходов, оборудование для восстановления, повторного использования и переработки вторичного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28.22.9, 33.12.2, 33.20.0, 38.21, 38.32.1, 38.32.2, 38.32.3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4"/>
          <w:p>
            <w:pPr>
              <w:spacing w:after="20"/>
              <w:ind w:left="20"/>
              <w:jc w:val="both"/>
            </w:pPr>
            <w:r>
              <w:rPr>
                <w:rFonts w:ascii="Times New Roman"/>
                <w:b w:val="false"/>
                <w:i w:val="false"/>
                <w:color w:val="000000"/>
                <w:sz w:val="20"/>
              </w:rPr>
              <w:t>
создание экологичной инфраструктуры обращения с твердыми коммунальными отходами, инфраструктуры для переработки и повторного применения отходов, образующихся при строительстве и ремонте зданий, сооружений и инфраструктурных объектов;</w:t>
            </w:r>
          </w:p>
          <w:bookmarkEnd w:id="34"/>
          <w:p>
            <w:pPr>
              <w:spacing w:after="20"/>
              <w:ind w:left="20"/>
              <w:jc w:val="both"/>
            </w:pPr>
            <w:r>
              <w:rPr>
                <w:rFonts w:ascii="Times New Roman"/>
                <w:b w:val="false"/>
                <w:i w:val="false"/>
                <w:color w:val="000000"/>
                <w:sz w:val="20"/>
              </w:rPr>
              <w:t>
оборудование для восстановления вторичного сырья (исключая сжигание), повторного использования и переработки вторичного сырья, в том числе оборудование для переработки строительных материалов, металлического лома, пластмасс, стекла, бумаги, электроники (исключая опасные компоненты), отработанных шин и золошлаковых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собранного вторичного сырья не менее 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Объекты для сбора, сортировки, восстановления, повторного использования, переработки и утилизации промышленных и опасных отходов, за исключением оборудования по сжиганию опасных отходов и энергетической утилизации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5"/>
          <w:p>
            <w:pPr>
              <w:spacing w:after="20"/>
              <w:ind w:left="20"/>
              <w:jc w:val="both"/>
            </w:pPr>
            <w:r>
              <w:rPr>
                <w:rFonts w:ascii="Times New Roman"/>
                <w:b w:val="false"/>
                <w:i w:val="false"/>
                <w:color w:val="000000"/>
                <w:sz w:val="20"/>
              </w:rPr>
              <w:t>
28.22.9, 28.95.0, 28.96.0, 33.20.0, 38.11, 38.12, 38.21, 38.22.0,</w:t>
            </w:r>
          </w:p>
          <w:bookmarkEnd w:id="35"/>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сбора, сортировки, восстановления, повторного использования, переработки и утилизации промышленных и опасных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справочнику НДТ (BREF) по обработке отходов в части управления отходами и побочными продуктами, особенно опасными промышленными отходами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Строительство и модернизация полигонов и заводов по переработке отходов, запрещенных к захоронению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38.11, 38.21.0, 38.22.0, 38.31, 38.32, 39.00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модернизация полигонов; строительство заводов по переработке отходов, запрещенных к захоронению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установленным требованиям и нормам Республики Казахстан, действующим на момент проведения оценки соответствия порогу таксономии (до 2030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Оборудование и техника для компостирования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28.15.2, 28.22.3, 28.22.9, 38.21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техника по производству компоста из биологически разлагаемых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6"/>
          <w:p>
            <w:pPr>
              <w:spacing w:after="20"/>
              <w:ind w:left="20"/>
              <w:jc w:val="both"/>
            </w:pPr>
            <w:r>
              <w:rPr>
                <w:rFonts w:ascii="Times New Roman"/>
                <w:b w:val="false"/>
                <w:i w:val="false"/>
                <w:color w:val="000000"/>
                <w:sz w:val="20"/>
              </w:rPr>
              <w:t>
полученный компост используется для удобрения почвы;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пластика, стекла и металла в готовом компосте;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компоста</w:t>
            </w:r>
          </w:p>
          <w:p>
            <w:pPr>
              <w:spacing w:after="20"/>
              <w:ind w:left="20"/>
              <w:jc w:val="both"/>
            </w:pPr>
            <w:r>
              <w:rPr>
                <w:rFonts w:ascii="Times New Roman"/>
                <w:b w:val="false"/>
                <w:i w:val="false"/>
                <w:color w:val="000000"/>
                <w:sz w:val="20"/>
              </w:rPr>
              <w:t>
национальным стандартам для биоудобрений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Установка по очистке сточных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37.00, 38, 39.00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сбора, хранения, очистки и удаления сточных вод; заводы по очистке сточных вод; сооружения по очистке шлама; оборудование для очистки питьевой воды; опреснительные установки; очистные сооружения для навоза и навозной жижи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в атмосферу и воду находятся в пределах диапазонов уровня связанных выбросов – НДТ (BAT-AELs или пороговых значений), установленных в справочнике НДТ (BREF) для анаэробной обработки отходов (если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Сохранение и восстановление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Замена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токсичного сырья на нетоксичное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Использование вторичного сырья для производства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38.11.0, 38.32.1, 38.32.2, 38.32.3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природных ресурсов на вторичное сырье, выпуск продукции с применением вторичного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 вторичного сырья в составе продукции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Устойчивое сельское хозяйство, землепользование, лесное хозяйство, сохранение биоразнообразия и экологический туризм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Устойчивое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Продукция органического сельского хозяйства (растениеводство и животноводство) (кроме текстильной)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01.1, 01.2, 01.4, 01.6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сельскохозяйственных, земледельческих и рыбных органических продуктов (включая строительство и эксплуатацию объектов), соответствующих стандартам чистого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7"/>
          <w:p>
            <w:pPr>
              <w:spacing w:after="20"/>
              <w:ind w:left="20"/>
              <w:jc w:val="both"/>
            </w:pPr>
            <w:r>
              <w:rPr>
                <w:rFonts w:ascii="Times New Roman"/>
                <w:b w:val="false"/>
                <w:i w:val="false"/>
                <w:color w:val="000000"/>
                <w:sz w:val="20"/>
              </w:rPr>
              <w:t>
1) соответствующие международные, межгосударственные или национальные стандарты для органических продуктов, а также маркировка приобретенных органических или "зеленых" продуктов;</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экологические стандарты и стандарты качества для использования пестицидов, удобрений, ветеринарных препаратов, кормов и кормовых добавок, пищевых добавок и гигиены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устойчивые методы ведения сельского хозяйства, такие как управление отходами и эффективность использования воды, в том числе с использованием дождевой воды;</w:t>
            </w:r>
          </w:p>
          <w:p>
            <w:pPr>
              <w:spacing w:after="20"/>
              <w:ind w:left="20"/>
              <w:jc w:val="both"/>
            </w:pPr>
            <w:r>
              <w:rPr>
                <w:rFonts w:ascii="Times New Roman"/>
                <w:b w:val="false"/>
                <w:i w:val="false"/>
                <w:color w:val="000000"/>
                <w:sz w:val="20"/>
              </w:rPr>
              <w:t>
4) устойчивые методы цепочки поставок (например, предотвращение потери продуктов питания); производство органической продукции, получившей международный, межгосударственный либо признанный национальный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Климатически умное сельское хозяйство (устойчивое управление пастбищами и животноводством)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01.1, 01.2, 01.4, 01.6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использования энергии и воды в тяговых, ирригационных и других сельскохозяйственных или животноводческих процессах, а также уменьшение использования земли, т.е. внедрение ротационного использования пастбищных угодий (консервация деградированных пастбищ) для снижения деградации и сохранения экосистемы; применение стандартов по животноводству для устойчивого управления пастбищными угодьями и содействия производству/управлению животноводством на основе качества (высокой урожайности); эффективная обработка почвы (предотвращение засухи), аквакультура, пастухи/скотоводческие общины, уменьшающие размеры своего стада и внедряющие более устойчивые методы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8"/>
          <w:p>
            <w:pPr>
              <w:spacing w:after="20"/>
              <w:ind w:left="20"/>
              <w:jc w:val="both"/>
            </w:pPr>
            <w:r>
              <w:rPr>
                <w:rFonts w:ascii="Times New Roman"/>
                <w:b w:val="false"/>
                <w:i w:val="false"/>
                <w:color w:val="000000"/>
                <w:sz w:val="20"/>
              </w:rPr>
              <w:t>
сокращение потребления свежей (природной) воды не ниже 30 %;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вторичное использование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ВИЭ;</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минимальное снижение потребления энергии или выбросов парниковых газов не ниже 20 %;</w:t>
            </w:r>
          </w:p>
          <w:p>
            <w:pPr>
              <w:spacing w:after="20"/>
              <w:ind w:left="20"/>
              <w:jc w:val="both"/>
            </w:pPr>
            <w:r>
              <w:rPr>
                <w:rFonts w:ascii="Times New Roman"/>
                <w:b w:val="false"/>
                <w:i w:val="false"/>
                <w:color w:val="000000"/>
                <w:sz w:val="20"/>
              </w:rPr>
              <w:t>
применительно к проектам, предусматривающим уменьшение использования земли, консервацию деградированных пастбищ, внедрение методов устойчивого сельского хозяйства и (или) животноводства, применимы альтернативные критерии – демонстрация повышения продуктивности без увеличения нагрузки на экосистемы, уменьшения пищевых и сельскохозяйственных отходов либо повышения адаптации к изменению климата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Устойчивое управление лесами и сохранение биоразнообразия и экосистем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Облесение и лесовосстановление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9"/>
          <w:p>
            <w:pPr>
              <w:spacing w:after="20"/>
              <w:ind w:left="20"/>
              <w:jc w:val="both"/>
            </w:pPr>
            <w:r>
              <w:rPr>
                <w:rFonts w:ascii="Times New Roman"/>
                <w:b w:val="false"/>
                <w:i w:val="false"/>
                <w:color w:val="000000"/>
                <w:sz w:val="20"/>
              </w:rPr>
              <w:t>
посадка лесных культур;</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лесных плантаций, в том числе проекты, соответствующие стандартам REDD+, VERRA;</w:t>
            </w:r>
          </w:p>
          <w:p>
            <w:pPr>
              <w:spacing w:after="20"/>
              <w:ind w:left="20"/>
              <w:jc w:val="both"/>
            </w:pPr>
            <w:r>
              <w:rPr>
                <w:rFonts w:ascii="Times New Roman"/>
                <w:b w:val="false"/>
                <w:i w:val="false"/>
                <w:color w:val="000000"/>
                <w:sz w:val="20"/>
              </w:rPr>
              <w:t>
создание зеленых зон вокруг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Устойчивое управление лесами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02.10, 02.40.0, 71.12.4, 71.12.5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увеличивающие функцию лесов по депонированию углерода или снижающие воздействие лесохозяйственной деятельности за счет соответствующих практик устойчивого управления лесными экосистемами, информационных систем и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0"/>
          <w:p>
            <w:pPr>
              <w:spacing w:after="20"/>
              <w:ind w:left="20"/>
              <w:jc w:val="both"/>
            </w:pPr>
            <w:r>
              <w:rPr>
                <w:rFonts w:ascii="Times New Roman"/>
                <w:b w:val="false"/>
                <w:i w:val="false"/>
                <w:color w:val="000000"/>
                <w:sz w:val="20"/>
              </w:rPr>
              <w:t>
применительно к управлению лесами высокой природоохранной ценности – наличие добровольной международной сертификации, например, сертификации Лесного попечительского совета – (Forest Stewardship Council-FSC), Программы одобрения схем лесной сертификации (Program for the Endorsement of Forest Certification schemes-PEFC) либо добровольной сертификации по национальному стандарту устойчивого лесоуправления;</w:t>
            </w:r>
          </w:p>
          <w:bookmarkEnd w:id="40"/>
          <w:p>
            <w:pPr>
              <w:spacing w:after="20"/>
              <w:ind w:left="20"/>
              <w:jc w:val="both"/>
            </w:pPr>
            <w:r>
              <w:rPr>
                <w:rFonts w:ascii="Times New Roman"/>
                <w:b w:val="false"/>
                <w:i w:val="false"/>
                <w:color w:val="000000"/>
                <w:sz w:val="20"/>
              </w:rPr>
              <w:t>
в остальных случаях – без ограничений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Сохранение биоразнообразия и экосистем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91.04.2, 93.19.0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1"/>
          <w:p>
            <w:pPr>
              <w:spacing w:after="20"/>
              <w:ind w:left="20"/>
              <w:jc w:val="both"/>
            </w:pPr>
            <w:r>
              <w:rPr>
                <w:rFonts w:ascii="Times New Roman"/>
                <w:b w:val="false"/>
                <w:i w:val="false"/>
                <w:color w:val="000000"/>
                <w:sz w:val="20"/>
              </w:rPr>
              <w:t>
проекты по сохранению биосферы посредством защиты и (или) восстановления деградированных экосистем;</w:t>
            </w:r>
          </w:p>
          <w:bookmarkEnd w:id="41"/>
          <w:p>
            <w:pPr>
              <w:spacing w:after="20"/>
              <w:ind w:left="20"/>
              <w:jc w:val="both"/>
            </w:pPr>
            <w:r>
              <w:rPr>
                <w:rFonts w:ascii="Times New Roman"/>
                <w:b w:val="false"/>
                <w:i w:val="false"/>
                <w:color w:val="000000"/>
                <w:sz w:val="20"/>
              </w:rPr>
              <w:t>
строительство и поддержание экологической функциональной зоны, такой как конкретная среда обитания диких животных, водно-болотные угодья, торфяники, пустыни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Устойчивый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Продукты и услуги, способствующие развитию экотуризма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64.19, 64.20, 64.92, 64.99, 84.13, 85.10, 79, 55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направленных на развитие экологического туризма, вовлечение местного населения (программы микрокредитования, субсидии), экологическое просвещение, создание инфраструктуры для экологического туризма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законодательными нормами Республики Казахстан (по туристской деятельности), а также национальными, международными, межгосударственными экологическими стандартами или стандартами экомаркировки в сфере туристических услуг и экологически чистых маршрутов, включая или признанные стандарты экомаркировки иностранного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Устойчивое управление гостиницей и лагерем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55.10, 55.20, 55.30, 55.90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 отелей и лагерей в соответствии с национальными, международными или межгосударственными стандартами устойчивого гостиничного бизнеса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национальным, международным, межгосударственным экологическими стандартами или стандартом экомаркировки в сфере услуг средств размещения и экологических требований к гостиницам, хостелам либо признанным стандартам иностранного государства для гостиничного сектора, например, "Листок жизни", EU Eco-labelling, Nordic Swan и др.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Чистый транспорт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Низкоуглеродные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Покупка, аренда низкоуглеродных автомобилей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2"/>
          <w:p>
            <w:pPr>
              <w:spacing w:after="20"/>
              <w:ind w:left="20"/>
              <w:jc w:val="both"/>
            </w:pPr>
            <w:r>
              <w:rPr>
                <w:rFonts w:ascii="Times New Roman"/>
                <w:b w:val="false"/>
                <w:i w:val="false"/>
                <w:color w:val="000000"/>
                <w:sz w:val="20"/>
              </w:rPr>
              <w:t>
любой код ОКЭД для покупателя (вид деятельности компании может быть любой)</w:t>
            </w:r>
          </w:p>
          <w:bookmarkEnd w:id="42"/>
          <w:p>
            <w:pPr>
              <w:spacing w:after="20"/>
              <w:ind w:left="20"/>
              <w:jc w:val="both"/>
            </w:pPr>
            <w:r>
              <w:rPr>
                <w:rFonts w:ascii="Times New Roman"/>
                <w:b w:val="false"/>
                <w:i w:val="false"/>
                <w:color w:val="000000"/>
                <w:sz w:val="20"/>
              </w:rPr>
              <w:t>
77.1, 77.3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аренда низкоуглеродных автомобилей, в том числе электромобилей, транспортных средств на водородных, гибридных двигателях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3"/>
          <w:p>
            <w:pPr>
              <w:spacing w:after="20"/>
              <w:ind w:left="20"/>
              <w:jc w:val="both"/>
            </w:pPr>
            <w:r>
              <w:rPr>
                <w:rFonts w:ascii="Times New Roman"/>
                <w:b w:val="false"/>
                <w:i w:val="false"/>
                <w:color w:val="000000"/>
                <w:sz w:val="20"/>
              </w:rPr>
              <w:t>
прямые выбросы &lt;50 граммов CO2е / км;</w:t>
            </w:r>
          </w:p>
          <w:bookmarkEnd w:id="43"/>
          <w:p>
            <w:pPr>
              <w:spacing w:after="20"/>
              <w:ind w:left="20"/>
              <w:jc w:val="both"/>
            </w:pPr>
            <w:r>
              <w:rPr>
                <w:rFonts w:ascii="Times New Roman"/>
                <w:b w:val="false"/>
                <w:i w:val="false"/>
                <w:color w:val="000000"/>
                <w:sz w:val="20"/>
              </w:rPr>
              <w:t>
для мусороуборочной и сельскохозяйственной техники допускается альтернативный порог – соответствие стандарту Euro V или VI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Производственные цепочки поставок для низкоуглеродных автомобилей, безмоторного и микроэлектротранспорта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27.20.0, 27.90, 29.10, 29.3, 30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4"/>
          <w:p>
            <w:pPr>
              <w:spacing w:after="20"/>
              <w:ind w:left="20"/>
              <w:jc w:val="both"/>
            </w:pPr>
            <w:r>
              <w:rPr>
                <w:rFonts w:ascii="Times New Roman"/>
                <w:b w:val="false"/>
                <w:i w:val="false"/>
                <w:color w:val="000000"/>
                <w:sz w:val="20"/>
              </w:rPr>
              <w:t>
специализированные производственные мощности для транспортных средств и ключевых компонентов;</w:t>
            </w:r>
          </w:p>
          <w:bookmarkEnd w:id="44"/>
          <w:p>
            <w:pPr>
              <w:spacing w:after="20"/>
              <w:ind w:left="20"/>
              <w:jc w:val="both"/>
            </w:pPr>
            <w:r>
              <w:rPr>
                <w:rFonts w:ascii="Times New Roman"/>
                <w:b w:val="false"/>
                <w:i w:val="false"/>
                <w:color w:val="000000"/>
                <w:sz w:val="20"/>
              </w:rPr>
              <w:t>
батареи, используемые в соответствующих транспортных средствах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выбросы &lt;50 граммов CO2е / км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Низкоуглеродные грузоперевозки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Низкоуглеродные грузоперевозки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30.20, 49.20, 49.3, 49.41, 50, 51, 77.12, 77.34, 77.35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5"/>
          <w:p>
            <w:pPr>
              <w:spacing w:after="20"/>
              <w:ind w:left="20"/>
              <w:jc w:val="both"/>
            </w:pPr>
            <w:r>
              <w:rPr>
                <w:rFonts w:ascii="Times New Roman"/>
                <w:b w:val="false"/>
                <w:i w:val="false"/>
                <w:color w:val="000000"/>
                <w:sz w:val="20"/>
              </w:rPr>
              <w:t>
подвижной состав для электрифицированных и неэлектрифицированных грузовых железнодорожных перевозок; воздушно транспортные средства на альтернативных источниках топлива;</w:t>
            </w:r>
          </w:p>
          <w:bookmarkEnd w:id="45"/>
          <w:p>
            <w:pPr>
              <w:spacing w:after="20"/>
              <w:ind w:left="20"/>
              <w:jc w:val="both"/>
            </w:pPr>
            <w:r>
              <w:rPr>
                <w:rFonts w:ascii="Times New Roman"/>
                <w:b w:val="false"/>
                <w:i w:val="false"/>
                <w:color w:val="000000"/>
                <w:sz w:val="20"/>
              </w:rPr>
              <w:t>
низкоуглеродные грузовые автомобильные перевозки; низкоуглеродный водный и речной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6"/>
          <w:p>
            <w:pPr>
              <w:spacing w:after="20"/>
              <w:ind w:left="20"/>
              <w:jc w:val="both"/>
            </w:pPr>
            <w:r>
              <w:rPr>
                <w:rFonts w:ascii="Times New Roman"/>
                <w:b w:val="false"/>
                <w:i w:val="false"/>
                <w:color w:val="000000"/>
                <w:sz w:val="20"/>
              </w:rPr>
              <w:t>
для автомобильных перевозок – прямые выбросы 50 граммов CO2е / тонна * км или соответствие стандарту Euro V или VI;</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для железнодорожных перевозок – прямые выбросы 40 граммов CO2е / тонна * км;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водного транспорта – судно имеет нулевые прямые выбросы CO2e либо получает 100 % энергии из топлива или иных энергоносителей, обеспечивающих снижение выбросов парниковых газов как минимум на 80 % по сравнению с эквивалентом ископаемого топлива, при этом суда не предназначены для перевозки ископаемого топлива;</w:t>
            </w:r>
          </w:p>
          <w:p>
            <w:pPr>
              <w:spacing w:after="20"/>
              <w:ind w:left="20"/>
              <w:jc w:val="both"/>
            </w:pPr>
            <w:r>
              <w:rPr>
                <w:rFonts w:ascii="Times New Roman"/>
                <w:b w:val="false"/>
                <w:i w:val="false"/>
                <w:color w:val="000000"/>
                <w:sz w:val="20"/>
              </w:rPr>
              <w:t>
для воздушного транспорта – источник энергии имеет нулевые прямые выбросы CO2 (например, водород или электричество), либо в качестве топлива применяется SAF (экологически чистое авиационное топливо), обеспечивающее существенное снижение выбросов CO2е на тонна*км или пассажир-км, при этом сырье для SAF должно быть признано ИКАО соответствующим требованиям в рамках схемы компенсации и сокращения выбросов углерода для международной авиации (CORSIA) и (или) сертифицирован в рамках Директивы ЕС по возобновляемой энергии (EU RED)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Чистая транспортная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Инфраструктура общественного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42.1, 49.10, 49.20, 49.31, 49.39, 72.19.1, 77.11, 77.21, 77.39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7"/>
          <w:p>
            <w:pPr>
              <w:spacing w:after="20"/>
              <w:ind w:left="20"/>
              <w:jc w:val="both"/>
            </w:pPr>
            <w:r>
              <w:rPr>
                <w:rFonts w:ascii="Times New Roman"/>
                <w:b w:val="false"/>
                <w:i w:val="false"/>
                <w:color w:val="000000"/>
                <w:sz w:val="20"/>
              </w:rPr>
              <w:t>
общественный автомобильный, железнодорожный, водный и воздушный транспорт и транспортная инфраструктура; системы скоростных автобусных перевозок (BRT systems);</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обособленная полоса для общественного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парковки для общественного транспорта в конечном пункте;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остановочные пункты, транспортно-пересадочный узел;</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общественная велосипедная инфраструктура;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общественная велосипедная инфраструктура и инфраструктура для использования электросамокатов, моноколҰс и прочих средств индивидуальной мобильности, в том числе связанная с созданием данной инфраструктуры;</w:t>
            </w:r>
          </w:p>
          <w:p>
            <w:pPr>
              <w:spacing w:after="20"/>
              <w:ind w:left="20"/>
              <w:jc w:val="both"/>
            </w:pPr>
            <w:r>
              <w:rPr>
                <w:rFonts w:ascii="Times New Roman"/>
                <w:b w:val="false"/>
                <w:i w:val="false"/>
                <w:color w:val="000000"/>
                <w:sz w:val="20"/>
              </w:rPr>
              <w:t>
покупка парка безмоторного и микроэлектротранспорта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8"/>
          <w:p>
            <w:pPr>
              <w:spacing w:after="20"/>
              <w:ind w:left="20"/>
              <w:jc w:val="both"/>
            </w:pPr>
            <w:r>
              <w:rPr>
                <w:rFonts w:ascii="Times New Roman"/>
                <w:b w:val="false"/>
                <w:i w:val="false"/>
                <w:color w:val="000000"/>
                <w:sz w:val="20"/>
              </w:rPr>
              <w:t>
для общественного транспорта – прямые выбросы 50 граммов CO2е / пассажир - км;</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без ограничений для велосипедной инфраструктуры и инфраструктуры для использования средств индивидуальной мобильности;</w:t>
            </w:r>
          </w:p>
          <w:p>
            <w:pPr>
              <w:spacing w:after="20"/>
              <w:ind w:left="20"/>
              <w:jc w:val="both"/>
            </w:pPr>
            <w:r>
              <w:rPr>
                <w:rFonts w:ascii="Times New Roman"/>
                <w:b w:val="false"/>
                <w:i w:val="false"/>
                <w:color w:val="000000"/>
                <w:sz w:val="20"/>
              </w:rPr>
              <w:t>
для водного и воздушного транспорта – см. пороговые критерии для подсектора по низкоуглеродным перевозкам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Низкоуглеродная транспортная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42, 52.21, 45.20.2, 45.20.3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инфраструктура для зарядных станций и альтернативного топлива (в случае, когда зарядные станции альтернативного топлива находятся отдельно от заправочных станций и гаражей ископаемого топлива); экотопливная станция, зарядная станция для электромобилей, троллейбусов, трамваев, электрических автобусов и соответствующей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Планирование низкоуглеродного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42, 49.3, 52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9"/>
          <w:p>
            <w:pPr>
              <w:spacing w:after="20"/>
              <w:ind w:left="20"/>
              <w:jc w:val="both"/>
            </w:pPr>
            <w:r>
              <w:rPr>
                <w:rFonts w:ascii="Times New Roman"/>
                <w:b w:val="false"/>
                <w:i w:val="false"/>
                <w:color w:val="000000"/>
                <w:sz w:val="20"/>
              </w:rPr>
              <w:t>
интеграция транспортного и градостроительного планирования, ведущая к сокращению использования легковых автомобилей;</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плотная застройка;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многократное использование земли;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переход на пешее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транзитное сообщение;</w:t>
            </w:r>
          </w:p>
          <w:p>
            <w:pPr>
              <w:spacing w:after="20"/>
              <w:ind w:left="20"/>
              <w:jc w:val="both"/>
            </w:pPr>
            <w:r>
              <w:rPr>
                <w:rFonts w:ascii="Times New Roman"/>
                <w:b w:val="false"/>
                <w:i w:val="false"/>
                <w:color w:val="000000"/>
                <w:sz w:val="20"/>
              </w:rPr>
              <w:t>
умные системы грузоперевозки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Чистые транспортные ИКТ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ИКТ, которые улучшают использование активов, поток и модальное улучшение, независимо от вида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61, 62, 63.1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0"/>
          <w:p>
            <w:pPr>
              <w:spacing w:after="20"/>
              <w:ind w:left="20"/>
              <w:jc w:val="both"/>
            </w:pPr>
            <w:r>
              <w:rPr>
                <w:rFonts w:ascii="Times New Roman"/>
                <w:b w:val="false"/>
                <w:i w:val="false"/>
                <w:color w:val="000000"/>
                <w:sz w:val="20"/>
              </w:rPr>
              <w:t>
информация об общественном транспорте, система регулирования дорожного потока и умный светофор;</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GPS навигатор с датчиком определения геопозиции;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центральное диспетчерское управление;</w:t>
            </w:r>
          </w:p>
          <w:p>
            <w:pPr>
              <w:spacing w:after="20"/>
              <w:ind w:left="20"/>
              <w:jc w:val="both"/>
            </w:pPr>
            <w:r>
              <w:rPr>
                <w:rFonts w:ascii="Times New Roman"/>
                <w:b w:val="false"/>
                <w:i w:val="false"/>
                <w:color w:val="000000"/>
                <w:sz w:val="20"/>
              </w:rPr>
              <w:t>
электронная система оплаты проезда, схемы совместного использования автомобилей, смарт-карты, системы дорожной зарядки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соответствия сериям стандартов СТ РК ISO/IEC 30134 "Информационные технологии. Центры обработки данных. Ключевые показатели эффективности", СТ РК ISO 14001 "Системы экологического менеджмента. Требования и руководство по применению", СТ РК ISO 50001 "Системы энергетического менеджмента. Требования и руководство по использованию"</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Переходная энергетика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Альтернативные источники, замена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Производство электроэнергии и тепла из газообразного ископаемого топлива, замена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35.11.9, 35.21.0, 35.30.2, 42.22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1"/>
          <w:p>
            <w:pPr>
              <w:spacing w:after="20"/>
              <w:ind w:left="20"/>
              <w:jc w:val="both"/>
            </w:pPr>
            <w:r>
              <w:rPr>
                <w:rFonts w:ascii="Times New Roman"/>
                <w:b w:val="false"/>
                <w:i w:val="false"/>
                <w:color w:val="000000"/>
                <w:sz w:val="20"/>
              </w:rPr>
              <w:t>
утилизация отработанного тепла, полученного при выработке электроэнергии на газообразном ископаемом топливе;</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установки для выработки тепла и электроэнергии с использованием природного газа (электростанция на природном газе, распределенная станция на природном газе, ТЭЦ, печи на природном газе), метана угольных пластов (CBM), метана угольных шахт (CMM), сланцевого газа, сжиженного газа (LPG), сжиженного природного газа (LNG), сжатого природного газа (CNG), диметилового эфира (DME) в качестве заменителя угля или дополнения к возобновляемым источникам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переход на электрическое отопление или отопление на сжиженном газе (LPG);</w:t>
            </w:r>
          </w:p>
          <w:p>
            <w:pPr>
              <w:spacing w:after="20"/>
              <w:ind w:left="20"/>
              <w:jc w:val="both"/>
            </w:pPr>
            <w:r>
              <w:rPr>
                <w:rFonts w:ascii="Times New Roman"/>
                <w:b w:val="false"/>
                <w:i w:val="false"/>
                <w:color w:val="000000"/>
                <w:sz w:val="20"/>
              </w:rPr>
              <w:t>
установки для выработки тепла с использованием отходящих газов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2"/>
          <w:p>
            <w:pPr>
              <w:spacing w:after="20"/>
              <w:ind w:left="20"/>
              <w:jc w:val="both"/>
            </w:pPr>
            <w:r>
              <w:rPr>
                <w:rFonts w:ascii="Times New Roman"/>
                <w:b w:val="false"/>
                <w:i w:val="false"/>
                <w:color w:val="000000"/>
                <w:sz w:val="20"/>
              </w:rPr>
              <w:t>
прямые выбросы парниковых газов в результате использования природного газа ниже 270 г CO2е / кВтч отпускаемой энергии или ежегодные прямые выбросы парниковых газов в результате деятельности не превышают в среднем 550 кг CO2 е / кВт мощности объекта за 20 лет;</w:t>
            </w:r>
          </w:p>
          <w:bookmarkEnd w:id="52"/>
          <w:p>
            <w:pPr>
              <w:spacing w:after="20"/>
              <w:ind w:left="20"/>
              <w:jc w:val="both"/>
            </w:pPr>
            <w:r>
              <w:rPr>
                <w:rFonts w:ascii="Times New Roman"/>
                <w:b w:val="false"/>
                <w:i w:val="false"/>
                <w:color w:val="000000"/>
                <w:sz w:val="20"/>
              </w:rPr>
              <w:t>
исключаются установки, использующие уголь в качестве исходного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Производство оборудования для атомной энергетики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атомных электростанций, материалы радиационной защиты, устройства безопасности и контроля; оборудование для производства по добыче урана, очистке и конверсии урана, обогащению урана и производству топливных элементов; обращение с выводимыми из эксплуатации ядерными объектами и радиоактивными отходами, изготовление соответствующего очистного оборудования и оборудования для комплексной утилизации урановых рудников.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Строительство и эксплуатация атомных электростанций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3"/>
          <w:p>
            <w:pPr>
              <w:spacing w:after="20"/>
              <w:ind w:left="20"/>
              <w:jc w:val="both"/>
            </w:pPr>
            <w:r>
              <w:rPr>
                <w:rFonts w:ascii="Times New Roman"/>
                <w:b w:val="false"/>
                <w:i w:val="false"/>
                <w:color w:val="000000"/>
                <w:sz w:val="20"/>
              </w:rPr>
              <w:t>
строительство и эксплуатация объектов, выделяющих тепло от управляемого деления ядер и вырабатывающих электроэнергию с использованием ядерных технологий третьего, четвертого поколений и выше, с учетом обеспечения экологической безопасности;</w:t>
            </w:r>
          </w:p>
          <w:bookmarkEnd w:id="53"/>
          <w:p>
            <w:pPr>
              <w:spacing w:after="20"/>
              <w:ind w:left="20"/>
              <w:jc w:val="both"/>
            </w:pPr>
            <w:r>
              <w:rPr>
                <w:rFonts w:ascii="Times New Roman"/>
                <w:b w:val="false"/>
                <w:i w:val="false"/>
                <w:color w:val="000000"/>
                <w:sz w:val="20"/>
              </w:rPr>
              <w:t>
строительство инфраструктуры, обеспечивающей устойчивую и безопасную эксплуатацию атомных электростанций, в том числе по утилизации отходов – продуктов ядерной энергетической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4"/>
          <w:p>
            <w:pPr>
              <w:spacing w:after="20"/>
              <w:ind w:left="20"/>
              <w:jc w:val="both"/>
            </w:pPr>
            <w:r>
              <w:rPr>
                <w:rFonts w:ascii="Times New Roman"/>
                <w:b w:val="false"/>
                <w:i w:val="false"/>
                <w:color w:val="000000"/>
                <w:sz w:val="20"/>
              </w:rPr>
              <w:t>
наличие заключения ОВОС о допустимости реализации проекта;</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плана обращения как с нерадиоактивными, так и с радиоактивными отходами, обеспечивающим максимальное повторное использование или переработку таких отходов в конце срока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нерадиоактивные выбросы находятся в пределах уровней выбросов в рамках НДТ (BREF) (BAT-AEL или пороговых значений) для крупных топливосжигающих установок;</w:t>
            </w:r>
          </w:p>
          <w:p>
            <w:pPr>
              <w:spacing w:after="20"/>
              <w:ind w:left="20"/>
              <w:jc w:val="both"/>
            </w:pPr>
            <w:r>
              <w:rPr>
                <w:rFonts w:ascii="Times New Roman"/>
                <w:b w:val="false"/>
                <w:i w:val="false"/>
                <w:color w:val="000000"/>
                <w:sz w:val="20"/>
              </w:rPr>
              <w:t>
сооответствие национальным законодательным и нормативным правовым требованиям в области использовании атомной энергии, организации хранения и захоронения радиоактивных отходов и отработавшего ядерного топлива</w:t>
            </w:r>
          </w:p>
        </w:tc>
      </w:tr>
    </w:tbl>
    <w:bookmarkStart w:name="z127" w:id="55"/>
    <w:p>
      <w:pPr>
        <w:spacing w:after="0"/>
        <w:ind w:left="0"/>
        <w:jc w:val="both"/>
      </w:pPr>
      <w:r>
        <w:rPr>
          <w:rFonts w:ascii="Times New Roman"/>
          <w:b w:val="false"/>
          <w:i w:val="false"/>
          <w:color w:val="000000"/>
          <w:sz w:val="28"/>
        </w:rPr>
        <w:t>
      Примечания:</w:t>
      </w:r>
    </w:p>
    <w:bookmarkEnd w:id="55"/>
    <w:bookmarkStart w:name="z128" w:id="56"/>
    <w:p>
      <w:pPr>
        <w:spacing w:after="0"/>
        <w:ind w:left="0"/>
        <w:jc w:val="both"/>
      </w:pPr>
      <w:r>
        <w:rPr>
          <w:rFonts w:ascii="Times New Roman"/>
          <w:b w:val="false"/>
          <w:i w:val="false"/>
          <w:color w:val="000000"/>
          <w:sz w:val="28"/>
        </w:rPr>
        <w:t xml:space="preserve">
      * коды Общего классификатора видов экономической деятельности (ОКЭД), соответствующие определенному подсектору проектов, приведены с целью упрощения применения "зеленой" таксономии организациями, деятельность которых предусматривает учет классификации экономической деятельности. Следует принимать во внимание, что коды ОКЭД не являются самостоятельным критерием отнесения проектов к категории экологически устойчивых проектов, поскольку они могут включать в себя, помимо прочего, виды товаров, услуг и работ, не отражающих содержания соответствующей категории, сектора или подсектора таксономии, а также то, что соответствие установленным в таксономии пороговым критериям является условием отнесения проектов к "зеленым". </w:t>
      </w:r>
    </w:p>
    <w:bookmarkEnd w:id="56"/>
    <w:bookmarkStart w:name="z129" w:id="57"/>
    <w:p>
      <w:pPr>
        <w:spacing w:after="0"/>
        <w:ind w:left="0"/>
        <w:jc w:val="both"/>
      </w:pPr>
      <w:r>
        <w:rPr>
          <w:rFonts w:ascii="Times New Roman"/>
          <w:b w:val="false"/>
          <w:i w:val="false"/>
          <w:color w:val="000000"/>
          <w:sz w:val="28"/>
        </w:rPr>
        <w:t>
      Если проект или деятельность, рассматриваемые на предмет соответствия таксономии в целях классификации в качестве "зеленого" проекта, отвечают по своему существу и характеру применяемых технологий содержательной части таксономии (наименованиям категорий, секторов, подсекторов, приведенным примерам и пороговым критериям), то отсутствие в таксономии в рамках рассматриваемой категории соответствующего кода ОКЭД, под который предположительно подпадает данный проект или деятельность, не может служить основанием для отказа в его классификации как соответствующего таксономии.</w:t>
      </w:r>
    </w:p>
    <w:bookmarkEnd w:id="57"/>
    <w:bookmarkStart w:name="z130" w:id="58"/>
    <w:p>
      <w:pPr>
        <w:spacing w:after="0"/>
        <w:ind w:left="0"/>
        <w:jc w:val="both"/>
      </w:pPr>
      <w:r>
        <w:rPr>
          <w:rFonts w:ascii="Times New Roman"/>
          <w:b w:val="false"/>
          <w:i w:val="false"/>
          <w:color w:val="000000"/>
          <w:sz w:val="28"/>
        </w:rPr>
        <w:t>
      Указанная классификация ОКЭД применима к производителям товаров, работ и услуг и не распространяется на физических и юридических лиц, приобретающих соответствующие товары, работы и услуги;</w:t>
      </w:r>
    </w:p>
    <w:bookmarkEnd w:id="58"/>
    <w:bookmarkStart w:name="z131" w:id="59"/>
    <w:p>
      <w:pPr>
        <w:spacing w:after="0"/>
        <w:ind w:left="0"/>
        <w:jc w:val="both"/>
      </w:pPr>
      <w:r>
        <w:rPr>
          <w:rFonts w:ascii="Times New Roman"/>
          <w:b w:val="false"/>
          <w:i w:val="false"/>
          <w:color w:val="000000"/>
          <w:sz w:val="28"/>
        </w:rPr>
        <w:t>
      ** здесь и далее под НДТ подразумеваются прежде всего национальные справочники наилучших доступных техник (НДТ РК). При отсутствии национального справочника наилучших доступных техник Республики Казахстан следует ссылаться на соответствующие справочники НДТ Европейского Союза (BREF);</w:t>
      </w:r>
    </w:p>
    <w:bookmarkEnd w:id="59"/>
    <w:bookmarkStart w:name="z132" w:id="60"/>
    <w:p>
      <w:pPr>
        <w:spacing w:after="0"/>
        <w:ind w:left="0"/>
        <w:jc w:val="both"/>
      </w:pPr>
      <w:r>
        <w:rPr>
          <w:rFonts w:ascii="Times New Roman"/>
          <w:b w:val="false"/>
          <w:i w:val="false"/>
          <w:color w:val="000000"/>
          <w:sz w:val="28"/>
        </w:rPr>
        <w:t>
      *** действует до 31 декабря 2035 года.</w:t>
      </w:r>
    </w:p>
    <w:bookmarkEnd w:id="60"/>
    <w:bookmarkStart w:name="z133" w:id="61"/>
    <w:p>
      <w:pPr>
        <w:spacing w:after="0"/>
        <w:ind w:left="0"/>
        <w:jc w:val="both"/>
      </w:pPr>
      <w:r>
        <w:rPr>
          <w:rFonts w:ascii="Times New Roman"/>
          <w:b w:val="false"/>
          <w:i w:val="false"/>
          <w:color w:val="000000"/>
          <w:sz w:val="28"/>
        </w:rPr>
        <w:t>
      Расшифровка аббревиатур:</w:t>
      </w:r>
    </w:p>
    <w:bookmarkEnd w:id="61"/>
    <w:bookmarkStart w:name="z134" w:id="62"/>
    <w:p>
      <w:pPr>
        <w:spacing w:after="0"/>
        <w:ind w:left="0"/>
        <w:jc w:val="both"/>
      </w:pPr>
      <w:r>
        <w:rPr>
          <w:rFonts w:ascii="Times New Roman"/>
          <w:b w:val="false"/>
          <w:i w:val="false"/>
          <w:color w:val="000000"/>
          <w:sz w:val="28"/>
        </w:rPr>
        <w:t>
      ИКТ – информационные и коммуникационные технологии</w:t>
      </w:r>
    </w:p>
    <w:bookmarkEnd w:id="62"/>
    <w:bookmarkStart w:name="z135" w:id="63"/>
    <w:p>
      <w:pPr>
        <w:spacing w:after="0"/>
        <w:ind w:left="0"/>
        <w:jc w:val="both"/>
      </w:pPr>
      <w:r>
        <w:rPr>
          <w:rFonts w:ascii="Times New Roman"/>
          <w:b w:val="false"/>
          <w:i w:val="false"/>
          <w:color w:val="000000"/>
          <w:sz w:val="28"/>
        </w:rPr>
        <w:t>
      ВИЭ – возобновляемые источники энергии</w:t>
      </w:r>
    </w:p>
    <w:bookmarkEnd w:id="63"/>
    <w:bookmarkStart w:name="z136" w:id="64"/>
    <w:p>
      <w:pPr>
        <w:spacing w:after="0"/>
        <w:ind w:left="0"/>
        <w:jc w:val="both"/>
      </w:pPr>
      <w:r>
        <w:rPr>
          <w:rFonts w:ascii="Times New Roman"/>
          <w:b w:val="false"/>
          <w:i w:val="false"/>
          <w:color w:val="000000"/>
          <w:sz w:val="28"/>
        </w:rPr>
        <w:t xml:space="preserve">
      НДТ – наилучшие доступные техники </w:t>
      </w:r>
    </w:p>
    <w:bookmarkEnd w:id="64"/>
    <w:bookmarkStart w:name="z137" w:id="65"/>
    <w:p>
      <w:pPr>
        <w:spacing w:after="0"/>
        <w:ind w:left="0"/>
        <w:jc w:val="both"/>
      </w:pPr>
      <w:r>
        <w:rPr>
          <w:rFonts w:ascii="Times New Roman"/>
          <w:b w:val="false"/>
          <w:i w:val="false"/>
          <w:color w:val="000000"/>
          <w:sz w:val="28"/>
        </w:rPr>
        <w:t>
      СТ РК – национальный стандарт Республики Казахстан</w:t>
      </w:r>
    </w:p>
    <w:bookmarkEnd w:id="65"/>
    <w:bookmarkStart w:name="z138" w:id="66"/>
    <w:p>
      <w:pPr>
        <w:spacing w:after="0"/>
        <w:ind w:left="0"/>
        <w:jc w:val="both"/>
      </w:pPr>
      <w:r>
        <w:rPr>
          <w:rFonts w:ascii="Times New Roman"/>
          <w:b w:val="false"/>
          <w:i w:val="false"/>
          <w:color w:val="000000"/>
          <w:sz w:val="28"/>
        </w:rPr>
        <w:t>
      BAT-AELs – сопутствующие уровни выбросов, приведенные в справочниках BREF</w:t>
      </w:r>
    </w:p>
    <w:bookmarkEnd w:id="66"/>
    <w:bookmarkStart w:name="z139" w:id="67"/>
    <w:p>
      <w:pPr>
        <w:spacing w:after="0"/>
        <w:ind w:left="0"/>
        <w:jc w:val="both"/>
      </w:pPr>
      <w:r>
        <w:rPr>
          <w:rFonts w:ascii="Times New Roman"/>
          <w:b w:val="false"/>
          <w:i w:val="false"/>
          <w:color w:val="000000"/>
          <w:sz w:val="28"/>
        </w:rPr>
        <w:t>
      BREEAM, LEED, EDGE, DGNB – признанные международные системы рейтинговой оценки и стандарты экологической эффективности зданий и экологического строительства</w:t>
      </w:r>
    </w:p>
    <w:bookmarkEnd w:id="67"/>
    <w:bookmarkStart w:name="z140" w:id="68"/>
    <w:p>
      <w:pPr>
        <w:spacing w:after="0"/>
        <w:ind w:left="0"/>
        <w:jc w:val="both"/>
      </w:pPr>
      <w:r>
        <w:rPr>
          <w:rFonts w:ascii="Times New Roman"/>
          <w:b w:val="false"/>
          <w:i w:val="false"/>
          <w:color w:val="000000"/>
          <w:sz w:val="28"/>
        </w:rPr>
        <w:t>
      BREF (Best Available Techniques Reference Document) – справочники по наилучшим доступным техникам Европейского Союза (представляют собой серию справочных документов, имеющих отношение к промышленной деятельности, условиям эксплуатации оборудования и нормам сбросов и выбросов загрязняющих веществ в окружающую среду)</w:t>
      </w:r>
    </w:p>
    <w:bookmarkEnd w:id="68"/>
    <w:bookmarkStart w:name="z141" w:id="69"/>
    <w:p>
      <w:pPr>
        <w:spacing w:after="0"/>
        <w:ind w:left="0"/>
        <w:jc w:val="both"/>
      </w:pPr>
      <w:r>
        <w:rPr>
          <w:rFonts w:ascii="Times New Roman"/>
          <w:b w:val="false"/>
          <w:i w:val="false"/>
          <w:color w:val="000000"/>
          <w:sz w:val="28"/>
        </w:rPr>
        <w:t>
      CO – монооксид углерода (угарный газ)</w:t>
      </w:r>
    </w:p>
    <w:bookmarkEnd w:id="69"/>
    <w:bookmarkStart w:name="z142" w:id="70"/>
    <w:p>
      <w:pPr>
        <w:spacing w:after="0"/>
        <w:ind w:left="0"/>
        <w:jc w:val="both"/>
      </w:pPr>
      <w:r>
        <w:rPr>
          <w:rFonts w:ascii="Times New Roman"/>
          <w:b w:val="false"/>
          <w:i w:val="false"/>
          <w:color w:val="000000"/>
          <w:sz w:val="28"/>
        </w:rPr>
        <w:t>
      CO2е (CO2 – эквивалент) – условная единица, используемая для оценки объемов выбросов парниковых газов (представляет собой объем выброса углекислого газа (CO2), имеющий радиационное воздействие, эквивалентное воздействию объема выброса идеально перемешанного парникового газа или смеси идеально перемешанных парниковых газов; при этом объем выброса каждого газа смеси умножают на соответствующий ему потенциал глобального потепления)</w:t>
      </w:r>
    </w:p>
    <w:bookmarkEnd w:id="70"/>
    <w:bookmarkStart w:name="z143" w:id="71"/>
    <w:p>
      <w:pPr>
        <w:spacing w:after="0"/>
        <w:ind w:left="0"/>
        <w:jc w:val="both"/>
      </w:pPr>
      <w:r>
        <w:rPr>
          <w:rFonts w:ascii="Times New Roman"/>
          <w:b w:val="false"/>
          <w:i w:val="false"/>
          <w:color w:val="000000"/>
          <w:sz w:val="28"/>
        </w:rPr>
        <w:t>
      CSP – технология концентрации солнечной энергии</w:t>
      </w:r>
    </w:p>
    <w:bookmarkEnd w:id="71"/>
    <w:bookmarkStart w:name="z144" w:id="72"/>
    <w:p>
      <w:pPr>
        <w:spacing w:after="0"/>
        <w:ind w:left="0"/>
        <w:jc w:val="both"/>
      </w:pPr>
      <w:r>
        <w:rPr>
          <w:rFonts w:ascii="Times New Roman"/>
          <w:b w:val="false"/>
          <w:i w:val="false"/>
          <w:color w:val="000000"/>
          <w:sz w:val="28"/>
        </w:rPr>
        <w:t>
      NOx – оксиды азота NO и NO2</w:t>
      </w:r>
    </w:p>
    <w:bookmarkEnd w:id="72"/>
    <w:bookmarkStart w:name="z145" w:id="73"/>
    <w:p>
      <w:pPr>
        <w:spacing w:after="0"/>
        <w:ind w:left="0"/>
        <w:jc w:val="both"/>
      </w:pPr>
      <w:r>
        <w:rPr>
          <w:rFonts w:ascii="Times New Roman"/>
          <w:b w:val="false"/>
          <w:i w:val="false"/>
          <w:color w:val="000000"/>
          <w:sz w:val="28"/>
        </w:rPr>
        <w:t>
      PV – модуль фотоэлектрических элементов (для производства солнечной энергии)</w:t>
      </w:r>
    </w:p>
    <w:bookmarkEnd w:id="73"/>
    <w:bookmarkStart w:name="z146" w:id="74"/>
    <w:p>
      <w:pPr>
        <w:spacing w:after="0"/>
        <w:ind w:left="0"/>
        <w:jc w:val="both"/>
      </w:pPr>
      <w:r>
        <w:rPr>
          <w:rFonts w:ascii="Times New Roman"/>
          <w:b w:val="false"/>
          <w:i w:val="false"/>
          <w:color w:val="000000"/>
          <w:sz w:val="28"/>
        </w:rPr>
        <w:t>
      SO2 – диоксид серы (IV)</w:t>
      </w:r>
    </w:p>
    <w:bookmarkEnd w:id="74"/>
    <w:bookmarkStart w:name="z147" w:id="75"/>
    <w:p>
      <w:pPr>
        <w:spacing w:after="0"/>
        <w:ind w:left="0"/>
        <w:jc w:val="both"/>
      </w:pPr>
      <w:r>
        <w:rPr>
          <w:rFonts w:ascii="Times New Roman"/>
          <w:b w:val="false"/>
          <w:i w:val="false"/>
          <w:color w:val="000000"/>
          <w:sz w:val="28"/>
        </w:rPr>
        <w:t>
      VFD drive – частотно-регулируемый привод</w:t>
      </w:r>
    </w:p>
    <w:bookmarkEnd w:id="75"/>
    <w:bookmarkStart w:name="z148" w:id="76"/>
    <w:p>
      <w:pPr>
        <w:spacing w:after="0"/>
        <w:ind w:left="0"/>
        <w:jc w:val="both"/>
      </w:pPr>
      <w:r>
        <w:rPr>
          <w:rFonts w:ascii="Times New Roman"/>
          <w:b w:val="false"/>
          <w:i w:val="false"/>
          <w:color w:val="000000"/>
          <w:sz w:val="28"/>
        </w:rPr>
        <w:t>
      ________________________________</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