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3cc4" w14:textId="62a3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2023 года № 1148.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496-1), 496-2), 496-3), 496-4), 496-5), 496-6), 496-7), 496-8) и 496-9)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"496-1) разработка и утверждение формы решения, принятого по результатам рассмотрения петиции;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496-2) разработка и утверждение правил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496-3) разработка и утверждение стандарта открытости обладателей информации;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496-4) разработка и утверждение правил регистрации и учета петиций;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496-5) определение интернет-ресурса для подачи петиции;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496-6) разработка и утверждение формы письменного заявления о размещении петиции на интернет-ресурсе;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496-7) разработка и утверждение правил присоединения к петиции и формы письменного заявления о присоединении к петиции;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496-8) осуществление проверки петиции на соответствие условиям, установленным законодательством;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496-9) информирование средств массовой информации, поставленных на учет в уполномоченном органе в области средств массовой информации, о начале присоединения к петиции;".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но не ранее 4 апреля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