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3fe2" w14:textId="b8e3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экспортируемую сырую нефть и газовый конденсат при их реализации недропользователями, осуществляющими деятельность по контракту на недропользование, утвержденному Президентом Республики Казахстан, либо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прошедшими обязательную налоговую экспертизу, с использованием портов Средиземного моря по маршруту железнодорожная станция Республики Казахстан и (или) порт Актау – Баку – Джейхан</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2023 года № 944.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 трансфертном ценообразовании"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экспортируемую сырую нефть и газовый конденсат при их реализации недропользователями, осуществляющими деятельность по контракту на недропользование, утвержденному Президентом Республики Казахстан, либо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прошедшими обязательную налоговую экспертизу, с использованием портов Средиземного моря по маршруту железнодорожная станция Республики Казахстан и (или) порт Актау – Баку – Джейхан.</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февраля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944</w:t>
            </w:r>
          </w:p>
        </w:tc>
      </w:tr>
    </w:tbl>
    <w:bookmarkStart w:name="z10" w:id="3"/>
    <w:p>
      <w:pPr>
        <w:spacing w:after="0"/>
        <w:ind w:left="0"/>
        <w:jc w:val="left"/>
      </w:pPr>
      <w:r>
        <w:rPr>
          <w:rFonts w:ascii="Times New Roman"/>
          <w:b/>
          <w:i w:val="false"/>
          <w:color w:val="000000"/>
        </w:rPr>
        <w:t xml:space="preserve"> Правила (методика) ценообразования на экспортируемую сырую нефть и газовый конденсат при их реализации недропользователями, осуществляющими деятельность по контракту на недропользование, утвержденному Президентом Республики Казахстан, либо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прошедшими обязательную налоговую экспертизу, с использованием портов Средиземного моря по маршруту железнодорожная станция Республики Казахстан и (или) порт Актау – Баку – Джейхан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(методика) ценообразования на экспортируемую сырую нефть и газовый конденсат при их реализации недропользователями, осуществляющими деятельность по контракту на недропользование, утвержденному Президентом Республики Казахстан, либо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прошедшими обязательную налоговую экспертизу, с использованием портов Средиземного моря по маршруту железнодорожная станция Республики Казахстан и (или) порт Актау – Баку – Джейхан (далее – методика) разработаны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10 статьи 10 Закона Республики Казахстан "О трансфертном ценообразовании" (далее – Закон) и определяют методику ценообразования на сырую нефть, газовый конденсат, в том числе при их реализации с использованием портов Средиземного моря по маршруту железнодорожная станция Республики Казахстан и (или) порт Актау – Баку – Джейхан и портов Каспийского моря на условиях FOB* порт Каспийского моря.</w:t>
      </w:r>
    </w:p>
    <w:bookmarkEnd w:id="5"/>
    <w:bookmarkStart w:name="z13" w:id="6"/>
    <w:p>
      <w:pPr>
        <w:spacing w:after="0"/>
        <w:ind w:left="0"/>
        <w:jc w:val="both"/>
      </w:pPr>
      <w:r>
        <w:rPr>
          <w:rFonts w:ascii="Times New Roman"/>
          <w:b w:val="false"/>
          <w:i w:val="false"/>
          <w:color w:val="000000"/>
          <w:sz w:val="28"/>
        </w:rPr>
        <w:t xml:space="preserve">
      Настоящая методика распространяется на сделки с сырой нефтью и газовым конденсатом, добытыми недропользователями по контракту на недропользование, утвержденному Президентом Республики Казахстан, либо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прошедшими обязательную налоговую экспертизу. </w:t>
      </w:r>
    </w:p>
    <w:bookmarkEnd w:id="6"/>
    <w:bookmarkStart w:name="z14" w:id="7"/>
    <w:p>
      <w:pPr>
        <w:spacing w:after="0"/>
        <w:ind w:left="0"/>
        <w:jc w:val="both"/>
      </w:pPr>
      <w:r>
        <w:rPr>
          <w:rFonts w:ascii="Times New Roman"/>
          <w:b w:val="false"/>
          <w:i w:val="false"/>
          <w:color w:val="000000"/>
          <w:sz w:val="28"/>
        </w:rPr>
        <w:t>
      Для определения рыночной цены сырой нефти и газового конденсата (далее – товар) используются официальные источники информации, которые были определены в контракте купли-продажи.</w:t>
      </w:r>
    </w:p>
    <w:bookmarkEnd w:id="7"/>
    <w:bookmarkStart w:name="z15" w:id="8"/>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8"/>
    <w:bookmarkStart w:name="z16" w:id="9"/>
    <w:p>
      <w:pPr>
        <w:spacing w:after="0"/>
        <w:ind w:left="0"/>
        <w:jc w:val="both"/>
      </w:pPr>
      <w:r>
        <w:rPr>
          <w:rFonts w:ascii="Times New Roman"/>
          <w:b w:val="false"/>
          <w:i w:val="false"/>
          <w:color w:val="000000"/>
          <w:sz w:val="28"/>
        </w:rPr>
        <w:t>
      1) предоплата – предварительная оплата за планируемую, но еще не отгруженную поставку товара;</w:t>
      </w:r>
    </w:p>
    <w:bookmarkEnd w:id="9"/>
    <w:bookmarkStart w:name="z17" w:id="10"/>
    <w:p>
      <w:pPr>
        <w:spacing w:after="0"/>
        <w:ind w:left="0"/>
        <w:jc w:val="both"/>
      </w:pPr>
      <w:r>
        <w:rPr>
          <w:rFonts w:ascii="Times New Roman"/>
          <w:b w:val="false"/>
          <w:i w:val="false"/>
          <w:color w:val="000000"/>
          <w:sz w:val="28"/>
        </w:rPr>
        <w:t>
      2) котировальный период –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p>
    <w:bookmarkEnd w:id="10"/>
    <w:bookmarkStart w:name="z18" w:id="11"/>
    <w:p>
      <w:pPr>
        <w:spacing w:after="0"/>
        <w:ind w:left="0"/>
        <w:jc w:val="both"/>
      </w:pPr>
      <w:r>
        <w:rPr>
          <w:rFonts w:ascii="Times New Roman"/>
          <w:b w:val="false"/>
          <w:i w:val="false"/>
          <w:color w:val="000000"/>
          <w:sz w:val="28"/>
        </w:rPr>
        <w:t>
      3) дифференциал – размер корректировки, применяемый для приведения в сопоставимые экономические условия цены сделки или цены из источника информации;</w:t>
      </w:r>
    </w:p>
    <w:bookmarkEnd w:id="11"/>
    <w:bookmarkStart w:name="z19" w:id="12"/>
    <w:p>
      <w:pPr>
        <w:spacing w:after="0"/>
        <w:ind w:left="0"/>
        <w:jc w:val="both"/>
      </w:pPr>
      <w:r>
        <w:rPr>
          <w:rFonts w:ascii="Times New Roman"/>
          <w:b w:val="false"/>
          <w:i w:val="false"/>
          <w:color w:val="000000"/>
          <w:sz w:val="28"/>
        </w:rPr>
        <w:t>
      4) коносамент – документ на отгруженный товар, который подтверждает его получение судном;</w:t>
      </w:r>
    </w:p>
    <w:bookmarkEnd w:id="12"/>
    <w:bookmarkStart w:name="z20" w:id="13"/>
    <w:p>
      <w:pPr>
        <w:spacing w:after="0"/>
        <w:ind w:left="0"/>
        <w:jc w:val="both"/>
      </w:pPr>
      <w:r>
        <w:rPr>
          <w:rFonts w:ascii="Times New Roman"/>
          <w:b w:val="false"/>
          <w:i w:val="false"/>
          <w:color w:val="000000"/>
          <w:sz w:val="28"/>
        </w:rPr>
        <w:t>
      5) цена сделки (реализации) – стоимость товара за одну единицу измерения в соответствии с контрактами купли-продажи товара, выраженная в валюте контракта купли-продажи товара и рассчитанная в соответствии с настоящей методикой;</w:t>
      </w:r>
    </w:p>
    <w:bookmarkEnd w:id="13"/>
    <w:bookmarkStart w:name="z21" w:id="14"/>
    <w:p>
      <w:pPr>
        <w:spacing w:after="0"/>
        <w:ind w:left="0"/>
        <w:jc w:val="both"/>
      </w:pPr>
      <w:r>
        <w:rPr>
          <w:rFonts w:ascii="Times New Roman"/>
          <w:b w:val="false"/>
          <w:i w:val="false"/>
          <w:color w:val="000000"/>
          <w:sz w:val="28"/>
        </w:rPr>
        <w:t>
      6) ранняя оплата – оплата за отгруженный товар ранее сроков платежа, указанных в контрактах купли-продажи;</w:t>
      </w:r>
    </w:p>
    <w:bookmarkEnd w:id="14"/>
    <w:bookmarkStart w:name="z22" w:id="15"/>
    <w:p>
      <w:pPr>
        <w:spacing w:after="0"/>
        <w:ind w:left="0"/>
        <w:jc w:val="both"/>
      </w:pPr>
      <w:r>
        <w:rPr>
          <w:rFonts w:ascii="Times New Roman"/>
          <w:b w:val="false"/>
          <w:i w:val="false"/>
          <w:color w:val="000000"/>
          <w:sz w:val="28"/>
        </w:rPr>
        <w:t>
      7) котировка нефти – ценовая котировка, публикуемая в официальных источниках информации;</w:t>
      </w:r>
    </w:p>
    <w:bookmarkEnd w:id="15"/>
    <w:bookmarkStart w:name="z23" w:id="16"/>
    <w:p>
      <w:pPr>
        <w:spacing w:after="0"/>
        <w:ind w:left="0"/>
        <w:jc w:val="both"/>
      </w:pPr>
      <w:r>
        <w:rPr>
          <w:rFonts w:ascii="Times New Roman"/>
          <w:b w:val="false"/>
          <w:i w:val="false"/>
          <w:color w:val="000000"/>
          <w:sz w:val="28"/>
        </w:rPr>
        <w:t>
      8) акт приема-сдачи нефти – документ, выдаваемый перевозчиком товара грузовладельцу при транспортировке по трубопроводу;</w:t>
      </w:r>
    </w:p>
    <w:bookmarkEnd w:id="16"/>
    <w:bookmarkStart w:name="z24" w:id="17"/>
    <w:p>
      <w:pPr>
        <w:spacing w:after="0"/>
        <w:ind w:left="0"/>
        <w:jc w:val="both"/>
      </w:pPr>
      <w:r>
        <w:rPr>
          <w:rFonts w:ascii="Times New Roman"/>
          <w:b w:val="false"/>
          <w:i w:val="false"/>
          <w:color w:val="000000"/>
          <w:sz w:val="28"/>
        </w:rPr>
        <w:t xml:space="preserve">
      9) иные источники информации – источники информации, используемые для определения рыночной цены товара (работы, услуги) и иных данных, необходимых для применения методов определения рыночной цены,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17"/>
    <w:bookmarkStart w:name="z25" w:id="18"/>
    <w:p>
      <w:pPr>
        <w:spacing w:after="0"/>
        <w:ind w:left="0"/>
        <w:jc w:val="both"/>
      </w:pPr>
      <w:r>
        <w:rPr>
          <w:rFonts w:ascii="Times New Roman"/>
          <w:b w:val="false"/>
          <w:i w:val="false"/>
          <w:color w:val="000000"/>
          <w:sz w:val="28"/>
        </w:rPr>
        <w:t>
      10) сквозной тариф – все транспортные расходы, связанные с доставкой товара по маршруту от порта Актау до порта Джейхан;</w:t>
      </w:r>
    </w:p>
    <w:bookmarkEnd w:id="18"/>
    <w:bookmarkStart w:name="z26" w:id="19"/>
    <w:p>
      <w:pPr>
        <w:spacing w:after="0"/>
        <w:ind w:left="0"/>
        <w:jc w:val="both"/>
      </w:pPr>
      <w:r>
        <w:rPr>
          <w:rFonts w:ascii="Times New Roman"/>
          <w:b w:val="false"/>
          <w:i w:val="false"/>
          <w:color w:val="000000"/>
          <w:sz w:val="28"/>
        </w:rPr>
        <w:t>
      11) официальный источник информации – источник информации, включенный в перечень официально признанных источников информации о рыночных ценах;</w:t>
      </w:r>
    </w:p>
    <w:bookmarkEnd w:id="19"/>
    <w:bookmarkStart w:name="z27" w:id="20"/>
    <w:p>
      <w:pPr>
        <w:spacing w:after="0"/>
        <w:ind w:left="0"/>
        <w:jc w:val="both"/>
      </w:pPr>
      <w:r>
        <w:rPr>
          <w:rFonts w:ascii="Times New Roman"/>
          <w:b w:val="false"/>
          <w:i w:val="false"/>
          <w:color w:val="000000"/>
          <w:sz w:val="28"/>
        </w:rPr>
        <w:t>
      12) корректировка по качеству – корректировка цены сделки по качественным характеристикам товара (плотность, содержание серы, вода, механические примеси);</w:t>
      </w:r>
    </w:p>
    <w:bookmarkEnd w:id="20"/>
    <w:bookmarkStart w:name="z28" w:id="21"/>
    <w:p>
      <w:pPr>
        <w:spacing w:after="0"/>
        <w:ind w:left="0"/>
        <w:jc w:val="both"/>
      </w:pPr>
      <w:r>
        <w:rPr>
          <w:rFonts w:ascii="Times New Roman"/>
          <w:b w:val="false"/>
          <w:i w:val="false"/>
          <w:color w:val="000000"/>
          <w:sz w:val="28"/>
        </w:rPr>
        <w:t>
      13) североморский ценовой эталон – котировка нефти "Brent (Dated)" или "North Sea Dated", или "BFOE", публикуемая в официальных источниках информации;</w:t>
      </w:r>
    </w:p>
    <w:bookmarkEnd w:id="21"/>
    <w:bookmarkStart w:name="z29" w:id="22"/>
    <w:p>
      <w:pPr>
        <w:spacing w:after="0"/>
        <w:ind w:left="0"/>
        <w:jc w:val="both"/>
      </w:pPr>
      <w:r>
        <w:rPr>
          <w:rFonts w:ascii="Times New Roman"/>
          <w:b w:val="false"/>
          <w:i w:val="false"/>
          <w:color w:val="000000"/>
          <w:sz w:val="28"/>
        </w:rPr>
        <w:t>
      14) спрэд – ценовая разница между различными котировками, публикуемая в официальных источниках информации;</w:t>
      </w:r>
    </w:p>
    <w:bookmarkEnd w:id="22"/>
    <w:bookmarkStart w:name="z30" w:id="23"/>
    <w:p>
      <w:pPr>
        <w:spacing w:after="0"/>
        <w:ind w:left="0"/>
        <w:jc w:val="both"/>
      </w:pPr>
      <w:r>
        <w:rPr>
          <w:rFonts w:ascii="Times New Roman"/>
          <w:b w:val="false"/>
          <w:i w:val="false"/>
          <w:color w:val="000000"/>
          <w:sz w:val="28"/>
        </w:rPr>
        <w:t>
      15) отчет независимой инспекции – официальный документ, выдаваемый независимой инспекцией и содержащий информацию о результатах проверки количества и качества груза при его отгрузке, получении или на целом участке маршрута, в соответствии с нормами международной практики и корпоративных стандартов;</w:t>
      </w:r>
    </w:p>
    <w:bookmarkEnd w:id="23"/>
    <w:bookmarkStart w:name="z31" w:id="24"/>
    <w:p>
      <w:pPr>
        <w:spacing w:after="0"/>
        <w:ind w:left="0"/>
        <w:jc w:val="both"/>
      </w:pPr>
      <w:r>
        <w:rPr>
          <w:rFonts w:ascii="Times New Roman"/>
          <w:b w:val="false"/>
          <w:i w:val="false"/>
          <w:color w:val="000000"/>
          <w:sz w:val="28"/>
        </w:rPr>
        <w:t>
      16) позиционный график в порту погрузки – график погрузки (расстановки) танкеров в порту погрузки;</w:t>
      </w:r>
    </w:p>
    <w:bookmarkEnd w:id="24"/>
    <w:bookmarkStart w:name="z32" w:id="25"/>
    <w:p>
      <w:pPr>
        <w:spacing w:after="0"/>
        <w:ind w:left="0"/>
        <w:jc w:val="both"/>
      </w:pPr>
      <w:r>
        <w:rPr>
          <w:rFonts w:ascii="Times New Roman"/>
          <w:b w:val="false"/>
          <w:i w:val="false"/>
          <w:color w:val="000000"/>
          <w:sz w:val="28"/>
        </w:rPr>
        <w:t>
      17) транзитный договор – договор транзита товара, заключенный с транспортной компанией.</w:t>
      </w:r>
    </w:p>
    <w:bookmarkEnd w:id="25"/>
    <w:bookmarkStart w:name="z33" w:id="26"/>
    <w:p>
      <w:pPr>
        <w:spacing w:after="0"/>
        <w:ind w:left="0"/>
        <w:jc w:val="both"/>
      </w:pPr>
      <w:r>
        <w:rPr>
          <w:rFonts w:ascii="Times New Roman"/>
          <w:b w:val="false"/>
          <w:i w:val="false"/>
          <w:color w:val="000000"/>
          <w:sz w:val="28"/>
        </w:rPr>
        <w:t xml:space="preserve">
      Примечание. </w:t>
      </w:r>
    </w:p>
    <w:bookmarkEnd w:id="26"/>
    <w:bookmarkStart w:name="z34" w:id="27"/>
    <w:p>
      <w:pPr>
        <w:spacing w:after="0"/>
        <w:ind w:left="0"/>
        <w:jc w:val="both"/>
      </w:pPr>
      <w:r>
        <w:rPr>
          <w:rFonts w:ascii="Times New Roman"/>
          <w:b w:val="false"/>
          <w:i w:val="false"/>
          <w:color w:val="000000"/>
          <w:sz w:val="28"/>
        </w:rPr>
        <w:t>
      * - условия поставки в соответствии с действующей редакцией международных правил торговых терминов Incoterms.</w:t>
      </w:r>
    </w:p>
    <w:bookmarkEnd w:id="27"/>
    <w:bookmarkStart w:name="z35" w:id="28"/>
    <w:p>
      <w:pPr>
        <w:spacing w:after="0"/>
        <w:ind w:left="0"/>
        <w:jc w:val="left"/>
      </w:pPr>
      <w:r>
        <w:rPr>
          <w:rFonts w:ascii="Times New Roman"/>
          <w:b/>
          <w:i w:val="false"/>
          <w:color w:val="000000"/>
        </w:rPr>
        <w:t xml:space="preserve"> Глава 2. Методика определения цены сделки (реализации) на сырую нефть и газовый конденсат</w:t>
      </w:r>
    </w:p>
    <w:bookmarkEnd w:id="28"/>
    <w:bookmarkStart w:name="z36" w:id="29"/>
    <w:p>
      <w:pPr>
        <w:spacing w:after="0"/>
        <w:ind w:left="0"/>
        <w:jc w:val="both"/>
      </w:pPr>
      <w:r>
        <w:rPr>
          <w:rFonts w:ascii="Times New Roman"/>
          <w:b w:val="false"/>
          <w:i w:val="false"/>
          <w:color w:val="000000"/>
          <w:sz w:val="28"/>
        </w:rPr>
        <w:t>
      3. Цена сделки (реализации) товара, право собственности на который передается от продавца покупателю в момент погрузки товара на танкер в порту Актау, формируется после фактической отгрузки на танкер в порту Джейхан.</w:t>
      </w:r>
    </w:p>
    <w:bookmarkEnd w:id="29"/>
    <w:bookmarkStart w:name="z37" w:id="30"/>
    <w:p>
      <w:pPr>
        <w:spacing w:after="0"/>
        <w:ind w:left="0"/>
        <w:jc w:val="both"/>
      </w:pPr>
      <w:r>
        <w:rPr>
          <w:rFonts w:ascii="Times New Roman"/>
          <w:b w:val="false"/>
          <w:i w:val="false"/>
          <w:color w:val="000000"/>
          <w:sz w:val="28"/>
        </w:rPr>
        <w:t>
      4. Цена сделки (реализации) на товар при продажах с использованием портов Средиземного моря по маршруту железнодорожная станция Республики Казахстан и (или) порт Актау – Баку – Джейхан рассчитывается по следующей формуле:</w:t>
      </w:r>
    </w:p>
    <w:bookmarkEnd w:id="30"/>
    <w:bookmarkStart w:name="z38" w:id="31"/>
    <w:p>
      <w:pPr>
        <w:spacing w:after="0"/>
        <w:ind w:left="0"/>
        <w:jc w:val="both"/>
      </w:pPr>
      <w:r>
        <w:rPr>
          <w:rFonts w:ascii="Times New Roman"/>
          <w:b w:val="false"/>
          <w:i w:val="false"/>
          <w:color w:val="000000"/>
          <w:sz w:val="28"/>
        </w:rPr>
        <w:t>
      P = B + S – D,</w:t>
      </w:r>
    </w:p>
    <w:bookmarkEnd w:id="31"/>
    <w:bookmarkStart w:name="z39" w:id="32"/>
    <w:p>
      <w:pPr>
        <w:spacing w:after="0"/>
        <w:ind w:left="0"/>
        <w:jc w:val="both"/>
      </w:pPr>
      <w:r>
        <w:rPr>
          <w:rFonts w:ascii="Times New Roman"/>
          <w:b w:val="false"/>
          <w:i w:val="false"/>
          <w:color w:val="000000"/>
          <w:sz w:val="28"/>
        </w:rPr>
        <w:t>
      где:</w:t>
      </w:r>
    </w:p>
    <w:bookmarkEnd w:id="32"/>
    <w:bookmarkStart w:name="z40" w:id="33"/>
    <w:p>
      <w:pPr>
        <w:spacing w:after="0"/>
        <w:ind w:left="0"/>
        <w:jc w:val="both"/>
      </w:pPr>
      <w:r>
        <w:rPr>
          <w:rFonts w:ascii="Times New Roman"/>
          <w:b w:val="false"/>
          <w:i w:val="false"/>
          <w:color w:val="000000"/>
          <w:sz w:val="28"/>
        </w:rPr>
        <w:t>
      P – цена сделки (реализации) на товар;</w:t>
      </w:r>
    </w:p>
    <w:bookmarkEnd w:id="33"/>
    <w:bookmarkStart w:name="z41" w:id="34"/>
    <w:p>
      <w:pPr>
        <w:spacing w:after="0"/>
        <w:ind w:left="0"/>
        <w:jc w:val="both"/>
      </w:pPr>
      <w:r>
        <w:rPr>
          <w:rFonts w:ascii="Times New Roman"/>
          <w:b w:val="false"/>
          <w:i w:val="false"/>
          <w:color w:val="000000"/>
          <w:sz w:val="28"/>
        </w:rPr>
        <w:t>
      В – средняя из средних котировок на товар за 1 (один) баррель, применяемых на соответствующем рынке в соответствии с условиями контракта купли-продажи товара, опубликованными в официальном источнике информации на каждую отгрузку с порта Джейхан с учетом котировального периода с даты погрузки товара в порту Джейхан.</w:t>
      </w:r>
    </w:p>
    <w:bookmarkEnd w:id="34"/>
    <w:bookmarkStart w:name="z42" w:id="35"/>
    <w:p>
      <w:pPr>
        <w:spacing w:after="0"/>
        <w:ind w:left="0"/>
        <w:jc w:val="both"/>
      </w:pPr>
      <w:r>
        <w:rPr>
          <w:rFonts w:ascii="Times New Roman"/>
          <w:b w:val="false"/>
          <w:i w:val="false"/>
          <w:color w:val="000000"/>
          <w:sz w:val="28"/>
        </w:rPr>
        <w:t>
      Котировки на данном рынке публикуются в следующих источниках информации:</w:t>
      </w:r>
    </w:p>
    <w:bookmarkEnd w:id="35"/>
    <w:bookmarkStart w:name="z43" w:id="36"/>
    <w:p>
      <w:pPr>
        <w:spacing w:after="0"/>
        <w:ind w:left="0"/>
        <w:jc w:val="both"/>
      </w:pPr>
      <w:r>
        <w:rPr>
          <w:rFonts w:ascii="Times New Roman"/>
          <w:b w:val="false"/>
          <w:i w:val="false"/>
          <w:color w:val="000000"/>
          <w:sz w:val="28"/>
        </w:rPr>
        <w:t>
      1) Platts: Brent (Dated) либо BTC, либо Azeri Light FOB/CIF;</w:t>
      </w:r>
    </w:p>
    <w:bookmarkEnd w:id="36"/>
    <w:bookmarkStart w:name="z44" w:id="37"/>
    <w:p>
      <w:pPr>
        <w:spacing w:after="0"/>
        <w:ind w:left="0"/>
        <w:jc w:val="both"/>
      </w:pPr>
      <w:r>
        <w:rPr>
          <w:rFonts w:ascii="Times New Roman"/>
          <w:b w:val="false"/>
          <w:i w:val="false"/>
          <w:color w:val="000000"/>
          <w:sz w:val="28"/>
        </w:rPr>
        <w:t>
      2) Argus Media: North Sea Dated (NSD) либо BTC, либо Azeri Light;</w:t>
      </w:r>
    </w:p>
    <w:bookmarkEnd w:id="37"/>
    <w:bookmarkStart w:name="z45" w:id="38"/>
    <w:p>
      <w:pPr>
        <w:spacing w:after="0"/>
        <w:ind w:left="0"/>
        <w:jc w:val="both"/>
      </w:pPr>
      <w:r>
        <w:rPr>
          <w:rFonts w:ascii="Times New Roman"/>
          <w:b w:val="false"/>
          <w:i w:val="false"/>
          <w:color w:val="000000"/>
          <w:sz w:val="28"/>
        </w:rPr>
        <w:t>
      3) Refinitiv: датированный BFOE (RIC &lt;BFO-E&gt;), Azeri Light CIF Аугуста (RIC &lt;AZR-E&gt;), дифференциал между партиями объемом 80 тысяч тонн и 140 тысяч тонн на базисе CIF Аугуста (RIC &lt;URL-80-135&gt;);</w:t>
      </w:r>
    </w:p>
    <w:bookmarkEnd w:id="38"/>
    <w:bookmarkStart w:name="z46" w:id="39"/>
    <w:p>
      <w:pPr>
        <w:spacing w:after="0"/>
        <w:ind w:left="0"/>
        <w:jc w:val="both"/>
      </w:pPr>
      <w:r>
        <w:rPr>
          <w:rFonts w:ascii="Times New Roman"/>
          <w:b w:val="false"/>
          <w:i w:val="false"/>
          <w:color w:val="000000"/>
          <w:sz w:val="28"/>
        </w:rPr>
        <w:t>
      S – спрэд, одна или средняя нескольких последовательных средних котировок, публикуемых в официальных источниках информации, в период за 5 (пять) последовательных дней, начинающихся с 25-го дня до первого дня окна погрузки в порту Джейхан. Окна погрузки в порту Джейхан определяются на основе утвержденного официального позиционного графика.</w:t>
      </w:r>
    </w:p>
    <w:bookmarkEnd w:id="39"/>
    <w:bookmarkStart w:name="z47" w:id="40"/>
    <w:p>
      <w:pPr>
        <w:spacing w:after="0"/>
        <w:ind w:left="0"/>
        <w:jc w:val="both"/>
      </w:pPr>
      <w:r>
        <w:rPr>
          <w:rFonts w:ascii="Times New Roman"/>
          <w:b w:val="false"/>
          <w:i w:val="false"/>
          <w:color w:val="000000"/>
          <w:sz w:val="28"/>
        </w:rPr>
        <w:t>
      Котировки спрэд на данном рынке публикуются в Platts: "Spread vs fwd Dated Brent" в строке Azeri Lt FOB Ceyhan Afra либо Azeri Lt FOB Ceyhan Suez или Azeri Light CIF, в соответствии с условиями договора.</w:t>
      </w:r>
    </w:p>
    <w:bookmarkEnd w:id="40"/>
    <w:bookmarkStart w:name="z48" w:id="41"/>
    <w:p>
      <w:pPr>
        <w:spacing w:after="0"/>
        <w:ind w:left="0"/>
        <w:jc w:val="both"/>
      </w:pPr>
      <w:r>
        <w:rPr>
          <w:rFonts w:ascii="Times New Roman"/>
          <w:b w:val="false"/>
          <w:i w:val="false"/>
          <w:color w:val="000000"/>
          <w:sz w:val="28"/>
        </w:rPr>
        <w:t>
      Выбор официального источника информации для определения котировок и спрэда согласовывается между продавцом и покупателем и устанавливается в контракте купли-продажи товара;</w:t>
      </w:r>
    </w:p>
    <w:bookmarkEnd w:id="41"/>
    <w:bookmarkStart w:name="z49" w:id="42"/>
    <w:p>
      <w:pPr>
        <w:spacing w:after="0"/>
        <w:ind w:left="0"/>
        <w:jc w:val="both"/>
      </w:pPr>
      <w:r>
        <w:rPr>
          <w:rFonts w:ascii="Times New Roman"/>
          <w:b w:val="false"/>
          <w:i w:val="false"/>
          <w:color w:val="000000"/>
          <w:sz w:val="28"/>
        </w:rPr>
        <w:t>
      D – дифференциал, учитываемый в зависимости от условий поставки товара, определенных в контракте на куплю-продажу, применяемый для приведения в сопоставимые экономические условия цены из официального источника информации в соответствии с Законом и определяемый маршрутом дальнейшей поставки нефти, включающий в себя:</w:t>
      </w:r>
    </w:p>
    <w:bookmarkEnd w:id="42"/>
    <w:bookmarkStart w:name="z50" w:id="43"/>
    <w:p>
      <w:pPr>
        <w:spacing w:after="0"/>
        <w:ind w:left="0"/>
        <w:jc w:val="both"/>
      </w:pPr>
      <w:r>
        <w:rPr>
          <w:rFonts w:ascii="Times New Roman"/>
          <w:b w:val="false"/>
          <w:i w:val="false"/>
          <w:color w:val="000000"/>
          <w:sz w:val="28"/>
        </w:rPr>
        <w:t>
      1) транспортные расходы, связанные с доставкой товара по маршруту от порта Актау до порта Джейхан, предусмотренные договором транзита;</w:t>
      </w:r>
    </w:p>
    <w:bookmarkEnd w:id="43"/>
    <w:bookmarkStart w:name="z51" w:id="44"/>
    <w:p>
      <w:pPr>
        <w:spacing w:after="0"/>
        <w:ind w:left="0"/>
        <w:jc w:val="both"/>
      </w:pPr>
      <w:r>
        <w:rPr>
          <w:rFonts w:ascii="Times New Roman"/>
          <w:b w:val="false"/>
          <w:i w:val="false"/>
          <w:color w:val="000000"/>
          <w:sz w:val="28"/>
        </w:rPr>
        <w:t>
      2) расходы за простои в порту Актау (демерредж);</w:t>
      </w:r>
    </w:p>
    <w:bookmarkEnd w:id="44"/>
    <w:bookmarkStart w:name="z52" w:id="45"/>
    <w:p>
      <w:pPr>
        <w:spacing w:after="0"/>
        <w:ind w:left="0"/>
        <w:jc w:val="both"/>
      </w:pPr>
      <w:r>
        <w:rPr>
          <w:rFonts w:ascii="Times New Roman"/>
          <w:b w:val="false"/>
          <w:i w:val="false"/>
          <w:color w:val="000000"/>
          <w:sz w:val="28"/>
        </w:rPr>
        <w:t>
      3) расходы за простои в порту Баку (демерредж);</w:t>
      </w:r>
    </w:p>
    <w:bookmarkEnd w:id="45"/>
    <w:bookmarkStart w:name="z53" w:id="46"/>
    <w:p>
      <w:pPr>
        <w:spacing w:after="0"/>
        <w:ind w:left="0"/>
        <w:jc w:val="both"/>
      </w:pPr>
      <w:r>
        <w:rPr>
          <w:rFonts w:ascii="Times New Roman"/>
          <w:b w:val="false"/>
          <w:i w:val="false"/>
          <w:color w:val="000000"/>
          <w:sz w:val="28"/>
        </w:rPr>
        <w:t>
      4) расходы за простои в порту Джейхан (демерредж);</w:t>
      </w:r>
    </w:p>
    <w:bookmarkEnd w:id="46"/>
    <w:bookmarkStart w:name="z54" w:id="47"/>
    <w:p>
      <w:pPr>
        <w:spacing w:after="0"/>
        <w:ind w:left="0"/>
        <w:jc w:val="both"/>
      </w:pPr>
      <w:r>
        <w:rPr>
          <w:rFonts w:ascii="Times New Roman"/>
          <w:b w:val="false"/>
          <w:i w:val="false"/>
          <w:color w:val="000000"/>
          <w:sz w:val="28"/>
        </w:rPr>
        <w:t>
      5) премию/скидку за качество нефти для нефтепровода Баку – Тбилиси - Джейхан (банк качества);</w:t>
      </w:r>
    </w:p>
    <w:bookmarkEnd w:id="47"/>
    <w:bookmarkStart w:name="z55" w:id="48"/>
    <w:p>
      <w:pPr>
        <w:spacing w:after="0"/>
        <w:ind w:left="0"/>
        <w:jc w:val="both"/>
      </w:pPr>
      <w:r>
        <w:rPr>
          <w:rFonts w:ascii="Times New Roman"/>
          <w:b w:val="false"/>
          <w:i w:val="false"/>
          <w:color w:val="000000"/>
          <w:sz w:val="28"/>
        </w:rPr>
        <w:t>
      6) расходы по потерям при перевозке товара от порта Актау до порта Джейхан;</w:t>
      </w:r>
    </w:p>
    <w:bookmarkEnd w:id="48"/>
    <w:bookmarkStart w:name="z56" w:id="49"/>
    <w:p>
      <w:pPr>
        <w:spacing w:after="0"/>
        <w:ind w:left="0"/>
        <w:jc w:val="both"/>
      </w:pPr>
      <w:r>
        <w:rPr>
          <w:rFonts w:ascii="Times New Roman"/>
          <w:b w:val="false"/>
          <w:i w:val="false"/>
          <w:color w:val="000000"/>
          <w:sz w:val="28"/>
        </w:rPr>
        <w:t>
      7) расходы по инспекции груза;</w:t>
      </w:r>
    </w:p>
    <w:bookmarkEnd w:id="49"/>
    <w:bookmarkStart w:name="z57" w:id="50"/>
    <w:p>
      <w:pPr>
        <w:spacing w:after="0"/>
        <w:ind w:left="0"/>
        <w:jc w:val="both"/>
      </w:pPr>
      <w:r>
        <w:rPr>
          <w:rFonts w:ascii="Times New Roman"/>
          <w:b w:val="false"/>
          <w:i w:val="false"/>
          <w:color w:val="000000"/>
          <w:sz w:val="28"/>
        </w:rPr>
        <w:t>
      8) расходы на страхование груза;</w:t>
      </w:r>
    </w:p>
    <w:bookmarkEnd w:id="50"/>
    <w:bookmarkStart w:name="z58" w:id="51"/>
    <w:p>
      <w:pPr>
        <w:spacing w:after="0"/>
        <w:ind w:left="0"/>
        <w:jc w:val="both"/>
      </w:pPr>
      <w:r>
        <w:rPr>
          <w:rFonts w:ascii="Times New Roman"/>
          <w:b w:val="false"/>
          <w:i w:val="false"/>
          <w:color w:val="000000"/>
          <w:sz w:val="28"/>
        </w:rPr>
        <w:t>
      9) портовый сбор в порту Актау;</w:t>
      </w:r>
    </w:p>
    <w:bookmarkEnd w:id="51"/>
    <w:bookmarkStart w:name="z59" w:id="52"/>
    <w:p>
      <w:pPr>
        <w:spacing w:after="0"/>
        <w:ind w:left="0"/>
        <w:jc w:val="both"/>
      </w:pPr>
      <w:r>
        <w:rPr>
          <w:rFonts w:ascii="Times New Roman"/>
          <w:b w:val="false"/>
          <w:i w:val="false"/>
          <w:color w:val="000000"/>
          <w:sz w:val="28"/>
        </w:rPr>
        <w:t>
      10) маржу трейдера;</w:t>
      </w:r>
    </w:p>
    <w:bookmarkEnd w:id="52"/>
    <w:bookmarkStart w:name="z60" w:id="53"/>
    <w:p>
      <w:pPr>
        <w:spacing w:after="0"/>
        <w:ind w:left="0"/>
        <w:jc w:val="both"/>
      </w:pPr>
      <w:r>
        <w:rPr>
          <w:rFonts w:ascii="Times New Roman"/>
          <w:b w:val="false"/>
          <w:i w:val="false"/>
          <w:color w:val="000000"/>
          <w:sz w:val="28"/>
        </w:rPr>
        <w:t>
      11) другие расходы, понесенные покупателем во время транспортировки товара от порта Актау до порта Джейхан.</w:t>
      </w:r>
    </w:p>
    <w:bookmarkEnd w:id="53"/>
    <w:bookmarkStart w:name="z61" w:id="54"/>
    <w:p>
      <w:pPr>
        <w:spacing w:after="0"/>
        <w:ind w:left="0"/>
        <w:jc w:val="left"/>
      </w:pPr>
      <w:r>
        <w:rPr>
          <w:rFonts w:ascii="Times New Roman"/>
          <w:b/>
          <w:i w:val="false"/>
          <w:color w:val="000000"/>
        </w:rPr>
        <w:t xml:space="preserve"> Глава 3. Использование составляющих дифференциала</w:t>
      </w:r>
    </w:p>
    <w:bookmarkEnd w:id="54"/>
    <w:bookmarkStart w:name="z62" w:id="55"/>
    <w:p>
      <w:pPr>
        <w:spacing w:after="0"/>
        <w:ind w:left="0"/>
        <w:jc w:val="both"/>
      </w:pPr>
      <w:r>
        <w:rPr>
          <w:rFonts w:ascii="Times New Roman"/>
          <w:b w:val="false"/>
          <w:i w:val="false"/>
          <w:color w:val="000000"/>
          <w:sz w:val="28"/>
        </w:rPr>
        <w:t xml:space="preserve">
      5. В целях приведения в сопоставимые экономические условия цены из официального источника информации, в зависимости от условий поставки товара в дифференциал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включаются обоснованные и подтвержденные документально расходы покупателя или данные официальных источников информации или иных источников информации, связанных с доставкой товара до соответствующего рынка назначения,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55"/>
    <w:bookmarkStart w:name="z63" w:id="56"/>
    <w:p>
      <w:pPr>
        <w:spacing w:after="0"/>
        <w:ind w:left="0"/>
        <w:jc w:val="both"/>
      </w:pPr>
      <w:r>
        <w:rPr>
          <w:rFonts w:ascii="Times New Roman"/>
          <w:b w:val="false"/>
          <w:i w:val="false"/>
          <w:color w:val="000000"/>
          <w:sz w:val="28"/>
        </w:rPr>
        <w:t>
      6. Размеры составляющих дифференциала принимаются при соответствии диапазону рыночных цен периодических изданий и информационно-аналитических систем издателей, включенных в официальный источник информации.</w:t>
      </w:r>
    </w:p>
    <w:bookmarkEnd w:id="56"/>
    <w:bookmarkStart w:name="z64" w:id="57"/>
    <w:p>
      <w:pPr>
        <w:spacing w:after="0"/>
        <w:ind w:left="0"/>
        <w:jc w:val="both"/>
      </w:pPr>
      <w:r>
        <w:rPr>
          <w:rFonts w:ascii="Times New Roman"/>
          <w:b w:val="false"/>
          <w:i w:val="false"/>
          <w:color w:val="000000"/>
          <w:sz w:val="28"/>
        </w:rPr>
        <w:t>
      7. При отсутствии первичных документов размеры составляющих дифференциала принимаются как среднее от диапазона рыночных цен периодического издания и (или) информационно-аналитической системы издателя, включенного в официальный источник информации, выбранного (выбранных) продавцом и покупателем и установленного (установленных) в контракте купли-продажи товара.</w:t>
      </w:r>
    </w:p>
    <w:bookmarkEnd w:id="57"/>
    <w:bookmarkStart w:name="z65" w:id="58"/>
    <w:p>
      <w:pPr>
        <w:spacing w:after="0"/>
        <w:ind w:left="0"/>
        <w:jc w:val="left"/>
      </w:pPr>
      <w:r>
        <w:rPr>
          <w:rFonts w:ascii="Times New Roman"/>
          <w:b/>
          <w:i w:val="false"/>
          <w:color w:val="000000"/>
        </w:rPr>
        <w:t xml:space="preserve"> Глава 4. Определение составляющих дифференциала и первичные документы</w:t>
      </w:r>
    </w:p>
    <w:bookmarkEnd w:id="58"/>
    <w:bookmarkStart w:name="z66" w:id="59"/>
    <w:p>
      <w:pPr>
        <w:spacing w:after="0"/>
        <w:ind w:left="0"/>
        <w:jc w:val="both"/>
      </w:pPr>
      <w:r>
        <w:rPr>
          <w:rFonts w:ascii="Times New Roman"/>
          <w:b w:val="false"/>
          <w:i w:val="false"/>
          <w:color w:val="000000"/>
          <w:sz w:val="28"/>
        </w:rPr>
        <w:t>
      8. В случае, когда договором транзита предусмотрен сквозной тариф, такой тариф подтверждается счетом на оплату (invoice), в иных случаях предоставляются первичные документы, указанные в настоящей главе.</w:t>
      </w:r>
    </w:p>
    <w:bookmarkEnd w:id="59"/>
    <w:bookmarkStart w:name="z67" w:id="60"/>
    <w:p>
      <w:pPr>
        <w:spacing w:after="0"/>
        <w:ind w:left="0"/>
        <w:jc w:val="both"/>
      </w:pPr>
      <w:r>
        <w:rPr>
          <w:rFonts w:ascii="Times New Roman"/>
          <w:b w:val="false"/>
          <w:i w:val="false"/>
          <w:color w:val="000000"/>
          <w:sz w:val="28"/>
        </w:rPr>
        <w:t>
      9. В настоящей методике под первичным документом понимаются документальное свидетельство факта совершения операции или события и права на ее совершение, в том числе электронные документы либо документы, полученные по электронной почте.</w:t>
      </w:r>
    </w:p>
    <w:bookmarkEnd w:id="60"/>
    <w:bookmarkStart w:name="z68" w:id="61"/>
    <w:p>
      <w:pPr>
        <w:spacing w:after="0"/>
        <w:ind w:left="0"/>
        <w:jc w:val="both"/>
      </w:pPr>
      <w:r>
        <w:rPr>
          <w:rFonts w:ascii="Times New Roman"/>
          <w:b w:val="false"/>
          <w:i w:val="false"/>
          <w:color w:val="000000"/>
          <w:sz w:val="28"/>
        </w:rPr>
        <w:t>
      10. Стоимость морской транспортировки (фрахт) подтверждается договорами фрахта (charter party, time-charter) или выписками из договоров фрахта танкера (CP recap), счетами на оплату (invoice) от судовладельцев или его агентов, или данными официальных источников информации.</w:t>
      </w:r>
    </w:p>
    <w:bookmarkEnd w:id="61"/>
    <w:bookmarkStart w:name="z69" w:id="62"/>
    <w:p>
      <w:pPr>
        <w:spacing w:after="0"/>
        <w:ind w:left="0"/>
        <w:jc w:val="both"/>
      </w:pPr>
      <w:r>
        <w:rPr>
          <w:rFonts w:ascii="Times New Roman"/>
          <w:b w:val="false"/>
          <w:i w:val="false"/>
          <w:color w:val="000000"/>
          <w:sz w:val="28"/>
        </w:rPr>
        <w:t>
      11. Стоимость фрахта судна определяется на дату фрахтования судна с определением известной ставки фрахта на момент номинации судна под предполагаемую погрузку.</w:t>
      </w:r>
    </w:p>
    <w:bookmarkEnd w:id="62"/>
    <w:bookmarkStart w:name="z70" w:id="63"/>
    <w:p>
      <w:pPr>
        <w:spacing w:after="0"/>
        <w:ind w:left="0"/>
        <w:jc w:val="both"/>
      </w:pPr>
      <w:r>
        <w:rPr>
          <w:rFonts w:ascii="Times New Roman"/>
          <w:b w:val="false"/>
          <w:i w:val="false"/>
          <w:color w:val="000000"/>
          <w:sz w:val="28"/>
        </w:rPr>
        <w:t>
      В случае отсутствия первичных документов по фрахту судна стоимость фрахта определяется как среднее значение за период с десятого по двадцать пятый день до даты морского коносамента. При расчете стоимости фрахта учитываются грузоподъемность танкера (Aframax или Suezmax**), используемого для отгрузки соответствующей партии товара, базовая ставка flat rate и величина Worldscale, публикуемая издателем официальных источников информации, в соответствии с которым была применена котировка на товар.</w:t>
      </w:r>
    </w:p>
    <w:bookmarkEnd w:id="63"/>
    <w:bookmarkStart w:name="z71" w:id="64"/>
    <w:p>
      <w:pPr>
        <w:spacing w:after="0"/>
        <w:ind w:left="0"/>
        <w:jc w:val="both"/>
      </w:pPr>
      <w:r>
        <w:rPr>
          <w:rFonts w:ascii="Times New Roman"/>
          <w:b w:val="false"/>
          <w:i w:val="false"/>
          <w:color w:val="000000"/>
          <w:sz w:val="28"/>
        </w:rPr>
        <w:t>
      12. Банковские расходы либо финансовые расходы покупателя по ранней оплате и предоплате не являются составляющими дифференциала и определяются условиями контрактов купли-продажи.</w:t>
      </w:r>
    </w:p>
    <w:bookmarkEnd w:id="64"/>
    <w:bookmarkStart w:name="z72" w:id="65"/>
    <w:p>
      <w:pPr>
        <w:spacing w:after="0"/>
        <w:ind w:left="0"/>
        <w:jc w:val="both"/>
      </w:pPr>
      <w:r>
        <w:rPr>
          <w:rFonts w:ascii="Times New Roman"/>
          <w:b w:val="false"/>
          <w:i w:val="false"/>
          <w:color w:val="000000"/>
          <w:sz w:val="28"/>
        </w:rPr>
        <w:t>
      13. Размеры потерь при транспортировке учитываются в дифференциале согласно следующим документам, действующим на момент реализации товара:</w:t>
      </w:r>
    </w:p>
    <w:bookmarkEnd w:id="65"/>
    <w:bookmarkStart w:name="z73" w:id="66"/>
    <w:p>
      <w:pPr>
        <w:spacing w:after="0"/>
        <w:ind w:left="0"/>
        <w:jc w:val="both"/>
      </w:pPr>
      <w:r>
        <w:rPr>
          <w:rFonts w:ascii="Times New Roman"/>
          <w:b w:val="false"/>
          <w:i w:val="false"/>
          <w:color w:val="000000"/>
          <w:sz w:val="28"/>
        </w:rPr>
        <w:t>
      по территории Республики Казахстан – национальным стандартам по нормам естественной убыли в Республике Казахстан;</w:t>
      </w:r>
    </w:p>
    <w:bookmarkEnd w:id="66"/>
    <w:bookmarkStart w:name="z74" w:id="67"/>
    <w:p>
      <w:pPr>
        <w:spacing w:after="0"/>
        <w:ind w:left="0"/>
        <w:jc w:val="both"/>
      </w:pPr>
      <w:r>
        <w:rPr>
          <w:rFonts w:ascii="Times New Roman"/>
          <w:b w:val="false"/>
          <w:i w:val="false"/>
          <w:color w:val="000000"/>
          <w:sz w:val="28"/>
        </w:rPr>
        <w:t>
      по территории других стран – нормативным документам по нормам естественной убыли этих стран или отчетам независимой инспекции, или данным официальных источников информации.</w:t>
      </w:r>
    </w:p>
    <w:bookmarkEnd w:id="67"/>
    <w:bookmarkStart w:name="z75" w:id="68"/>
    <w:p>
      <w:pPr>
        <w:spacing w:after="0"/>
        <w:ind w:left="0"/>
        <w:jc w:val="both"/>
      </w:pPr>
      <w:r>
        <w:rPr>
          <w:rFonts w:ascii="Times New Roman"/>
          <w:b w:val="false"/>
          <w:i w:val="false"/>
          <w:color w:val="000000"/>
          <w:sz w:val="28"/>
        </w:rPr>
        <w:t>
      При этом размеры потерь не должны превышать оценки официальных источников информации.</w:t>
      </w:r>
    </w:p>
    <w:bookmarkEnd w:id="68"/>
    <w:bookmarkStart w:name="z76" w:id="69"/>
    <w:p>
      <w:pPr>
        <w:spacing w:after="0"/>
        <w:ind w:left="0"/>
        <w:jc w:val="both"/>
      </w:pPr>
      <w:r>
        <w:rPr>
          <w:rFonts w:ascii="Times New Roman"/>
          <w:b w:val="false"/>
          <w:i w:val="false"/>
          <w:color w:val="000000"/>
          <w:sz w:val="28"/>
        </w:rPr>
        <w:t>
      14. Маржа покупателя принимается как среднее значение от данных, опубликованных в периодических изданиях и информационно-аналитических системах издателей, включенных в официальный источник информации, и других источников информации.</w:t>
      </w:r>
    </w:p>
    <w:bookmarkEnd w:id="69"/>
    <w:bookmarkStart w:name="z77" w:id="70"/>
    <w:p>
      <w:pPr>
        <w:spacing w:after="0"/>
        <w:ind w:left="0"/>
        <w:jc w:val="both"/>
      </w:pPr>
      <w:r>
        <w:rPr>
          <w:rFonts w:ascii="Times New Roman"/>
          <w:b w:val="false"/>
          <w:i w:val="false"/>
          <w:color w:val="000000"/>
          <w:sz w:val="28"/>
        </w:rPr>
        <w:t>
      15. Стоимость страхования груза при транспортировке морским, железнодорожным или иным транспортом подтверждается договорами или страховыми полисами, или счетами на оплату (invoice) от страховой компании или его агента, расчетами покупателя стоимости страхования.</w:t>
      </w:r>
    </w:p>
    <w:bookmarkEnd w:id="70"/>
    <w:bookmarkStart w:name="z78" w:id="71"/>
    <w:p>
      <w:pPr>
        <w:spacing w:after="0"/>
        <w:ind w:left="0"/>
        <w:jc w:val="both"/>
      </w:pPr>
      <w:r>
        <w:rPr>
          <w:rFonts w:ascii="Times New Roman"/>
          <w:b w:val="false"/>
          <w:i w:val="false"/>
          <w:color w:val="000000"/>
          <w:sz w:val="28"/>
        </w:rPr>
        <w:t>
      16. Стоимость инспекции груза по определению качества и количества груза подтверждается договорами на оказание инспекторских услуг, счетами на оплату (invoice) от компаний, предоставляющих инспекционные услуги, расчетами покупателя стоимости инспекции, отчетами независимых инспекторских компаний. Инспекция производится, при необходимости, на нескольких пунктах по маршруту от порта Актау до порта Джейхан.</w:t>
      </w:r>
    </w:p>
    <w:bookmarkEnd w:id="71"/>
    <w:bookmarkStart w:name="z79" w:id="72"/>
    <w:p>
      <w:pPr>
        <w:spacing w:after="0"/>
        <w:ind w:left="0"/>
        <w:jc w:val="both"/>
      </w:pPr>
      <w:r>
        <w:rPr>
          <w:rFonts w:ascii="Times New Roman"/>
          <w:b w:val="false"/>
          <w:i w:val="false"/>
          <w:color w:val="000000"/>
          <w:sz w:val="28"/>
        </w:rPr>
        <w:t>
      17. Стоимость портового сбора в порту подтверждается договорами на оказание услуг, счетами на оплату (invoice) от компаний, оказывающих портовые/агентские услуги. При необходимости портовый сбор включается в стоимость фрахта судна.</w:t>
      </w:r>
    </w:p>
    <w:bookmarkEnd w:id="72"/>
    <w:bookmarkStart w:name="z80" w:id="73"/>
    <w:p>
      <w:pPr>
        <w:spacing w:after="0"/>
        <w:ind w:left="0"/>
        <w:jc w:val="both"/>
      </w:pPr>
      <w:r>
        <w:rPr>
          <w:rFonts w:ascii="Times New Roman"/>
          <w:b w:val="false"/>
          <w:i w:val="false"/>
          <w:color w:val="000000"/>
          <w:sz w:val="28"/>
        </w:rPr>
        <w:t>
      18. Стоимость расходов по перевалке в портах подтверждается договорами, инвойсами (invoice) от компаний, предоставляющих услуги перевалки.</w:t>
      </w:r>
    </w:p>
    <w:bookmarkEnd w:id="73"/>
    <w:bookmarkStart w:name="z81" w:id="74"/>
    <w:p>
      <w:pPr>
        <w:spacing w:after="0"/>
        <w:ind w:left="0"/>
        <w:jc w:val="both"/>
      </w:pPr>
      <w:r>
        <w:rPr>
          <w:rFonts w:ascii="Times New Roman"/>
          <w:b w:val="false"/>
          <w:i w:val="false"/>
          <w:color w:val="000000"/>
          <w:sz w:val="28"/>
        </w:rPr>
        <w:t>
      19.Стоимость расходов по сверхнормативному простою танкера (демерредж) подтверждается таймшитом (time sheet) и инвойсами (invoice).</w:t>
      </w:r>
    </w:p>
    <w:bookmarkEnd w:id="74"/>
    <w:bookmarkStart w:name="z82" w:id="75"/>
    <w:p>
      <w:pPr>
        <w:spacing w:after="0"/>
        <w:ind w:left="0"/>
        <w:jc w:val="both"/>
      </w:pPr>
      <w:r>
        <w:rPr>
          <w:rFonts w:ascii="Times New Roman"/>
          <w:b w:val="false"/>
          <w:i w:val="false"/>
          <w:color w:val="000000"/>
          <w:sz w:val="28"/>
        </w:rPr>
        <w:t>
      20. Составляющие дифференциала подтверждаются документально, в том числе договорами (контрактами), актами приема-сдачи услуг по реализационным расходам, связанным с доставкой товара до соответствующего рынка назначения (поставки) товара и его реализацией.</w:t>
      </w:r>
    </w:p>
    <w:bookmarkEnd w:id="75"/>
    <w:bookmarkStart w:name="z83" w:id="76"/>
    <w:p>
      <w:pPr>
        <w:spacing w:after="0"/>
        <w:ind w:left="0"/>
        <w:jc w:val="both"/>
      </w:pPr>
      <w:r>
        <w:rPr>
          <w:rFonts w:ascii="Times New Roman"/>
          <w:b w:val="false"/>
          <w:i w:val="false"/>
          <w:color w:val="000000"/>
          <w:sz w:val="28"/>
        </w:rPr>
        <w:t>
      21. При отсутствии возможности включения иных расходов в дифференциал, такие расходы оплачиваются или возмещаются продавцом покупателю отдельно по условиям, оговоренным в контракте купли-продажи.</w:t>
      </w:r>
    </w:p>
    <w:bookmarkEnd w:id="76"/>
    <w:bookmarkStart w:name="z84" w:id="77"/>
    <w:p>
      <w:pPr>
        <w:spacing w:after="0"/>
        <w:ind w:left="0"/>
        <w:jc w:val="both"/>
      </w:pPr>
      <w:r>
        <w:rPr>
          <w:rFonts w:ascii="Times New Roman"/>
          <w:b w:val="false"/>
          <w:i w:val="false"/>
          <w:color w:val="000000"/>
          <w:sz w:val="28"/>
        </w:rPr>
        <w:t xml:space="preserve">
      Примечание. </w:t>
      </w:r>
    </w:p>
    <w:bookmarkEnd w:id="77"/>
    <w:bookmarkStart w:name="z85" w:id="78"/>
    <w:p>
      <w:pPr>
        <w:spacing w:after="0"/>
        <w:ind w:left="0"/>
        <w:jc w:val="both"/>
      </w:pPr>
      <w:r>
        <w:rPr>
          <w:rFonts w:ascii="Times New Roman"/>
          <w:b w:val="false"/>
          <w:i w:val="false"/>
          <w:color w:val="000000"/>
          <w:sz w:val="28"/>
        </w:rPr>
        <w:t>
      ** - типы танкеров в зависимости от применяемой акватории и размера.</w:t>
      </w:r>
    </w:p>
    <w:bookmarkEnd w:id="78"/>
    <w:bookmarkStart w:name="z86" w:id="79"/>
    <w:p>
      <w:pPr>
        <w:spacing w:after="0"/>
        <w:ind w:left="0"/>
        <w:jc w:val="both"/>
      </w:pPr>
      <w:r>
        <w:rPr>
          <w:rFonts w:ascii="Times New Roman"/>
          <w:b w:val="false"/>
          <w:i w:val="false"/>
          <w:color w:val="000000"/>
          <w:sz w:val="28"/>
        </w:rPr>
        <w:t>
      ________________</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