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d766" w14:textId="4e6d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уполномоченной организации по обеспечению функционирования Семипалатинской зоны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2023 года № 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  <w:r>
        <w:rPr>
          <w:rFonts w:ascii="Times New Roman"/>
          <w:b/>
          <w:i w:val="false"/>
          <w:color w:val="ff0000"/>
          <w:sz w:val="28"/>
        </w:rPr>
        <w:t>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 Семипалатинской зоне ядерной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уполномоченной организацией по обеспечению функционирования Семипалатинской зоны ядерной безопасности республиканское государственное предприятие на праве хозяйственного ведения "Национальный ядерный центр Республики Казахстан" Агентства Республики Казахстан по атомной энергии.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