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a8a9" w14:textId="ea9a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Балхаша Карагандинской области на 2023 – 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2023 года № 766. Утратило силу постановлением Правительства Республики Казахстан от 18 марта 2026 года № 180.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18.03.2026№ </w:t>
      </w:r>
      <w:r>
        <w:rPr>
          <w:rFonts w:ascii="Times New Roman"/>
          <w:b w:val="false"/>
          <w:i w:val="false"/>
          <w:color w:val="ff0000"/>
          <w:sz w:val="28"/>
        </w:rPr>
        <w:t>180</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В целях социально-экономического развития города Балхаша Карагандинской области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Балхаша Карагандинской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Карагандинской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Балхаша Карагандинской области на 2023 – 2027 годы</w:t>
      </w:r>
    </w:p>
    <w:bookmarkEnd w:id="6"/>
    <w:bookmarkStart w:name="z12" w:id="7"/>
    <w:p>
      <w:pPr>
        <w:spacing w:after="0"/>
        <w:ind w:left="0"/>
        <w:jc w:val="both"/>
      </w:pPr>
      <w:r>
        <w:rPr>
          <w:rFonts w:ascii="Times New Roman"/>
          <w:b w:val="false"/>
          <w:i w:val="false"/>
          <w:color w:val="000000"/>
          <w:sz w:val="28"/>
        </w:rPr>
        <w:t>
      Город Балхаш (далее – город) – промышленный город Карагандинской области. Промышленный потенциал города определяют крупные, средние и малые предприятия обрабатывающего и добывающего секторов экономики. Основная доля сосредоточена в производстве цветных и редкоземельных металлов.</w:t>
      </w:r>
    </w:p>
    <w:bookmarkEnd w:id="7"/>
    <w:bookmarkStart w:name="z13" w:id="8"/>
    <w:p>
      <w:pPr>
        <w:spacing w:after="0"/>
        <w:ind w:left="0"/>
        <w:jc w:val="both"/>
      </w:pPr>
      <w:r>
        <w:rPr>
          <w:rFonts w:ascii="Times New Roman"/>
          <w:b w:val="false"/>
          <w:i w:val="false"/>
          <w:color w:val="000000"/>
          <w:sz w:val="28"/>
        </w:rPr>
        <w:t>
      В Карагандинской области город является крупнейшим производителем меди с полным циклом производства: от добычи руды до производства готовой продукции, где занята треть жителей города.</w:t>
      </w:r>
    </w:p>
    <w:bookmarkEnd w:id="8"/>
    <w:bookmarkStart w:name="z14" w:id="9"/>
    <w:p>
      <w:pPr>
        <w:spacing w:after="0"/>
        <w:ind w:left="0"/>
        <w:jc w:val="both"/>
      </w:pPr>
      <w:r>
        <w:rPr>
          <w:rFonts w:ascii="Times New Roman"/>
          <w:b w:val="false"/>
          <w:i w:val="false"/>
          <w:color w:val="000000"/>
          <w:sz w:val="28"/>
        </w:rPr>
        <w:t>
      Объем промышленного производства за 2022 год составил 772,8 миллиарда тенге. Основная доля в объеме приходится на подразделения системообразующего предприятия – ТОО "Корпорация Казахмыс".</w:t>
      </w:r>
    </w:p>
    <w:bookmarkEnd w:id="9"/>
    <w:bookmarkStart w:name="z15" w:id="10"/>
    <w:p>
      <w:pPr>
        <w:spacing w:after="0"/>
        <w:ind w:left="0"/>
        <w:jc w:val="both"/>
      </w:pPr>
      <w:r>
        <w:rPr>
          <w:rFonts w:ascii="Times New Roman"/>
          <w:b w:val="false"/>
          <w:i w:val="false"/>
          <w:color w:val="000000"/>
          <w:sz w:val="28"/>
        </w:rPr>
        <w:t>
      В структуре промышленности наибольший удельный вес отводится обрабатывающему сектору (2022 год – 96,8 %), доля которого в областном объеме составляет 28 %.</w:t>
      </w:r>
    </w:p>
    <w:bookmarkEnd w:id="10"/>
    <w:bookmarkStart w:name="z16" w:id="11"/>
    <w:p>
      <w:pPr>
        <w:spacing w:after="0"/>
        <w:ind w:left="0"/>
        <w:jc w:val="both"/>
      </w:pPr>
      <w:r>
        <w:rPr>
          <w:rFonts w:ascii="Times New Roman"/>
          <w:b w:val="false"/>
          <w:i w:val="false"/>
          <w:color w:val="000000"/>
          <w:sz w:val="28"/>
        </w:rPr>
        <w:t xml:space="preserve">
      Рост показателей в реальном секторе обеспечен за счет активной инвестиционной деятельности. Инвестиции в основной капитал по итогам 2022 года составили 58,3 миллиарда тенге. Наибольшая доля инвестиций в основной капитал приходится на обрабатывающую промышленность (31 %). </w:t>
      </w:r>
    </w:p>
    <w:bookmarkEnd w:id="11"/>
    <w:bookmarkStart w:name="z17" w:id="12"/>
    <w:p>
      <w:pPr>
        <w:spacing w:after="0"/>
        <w:ind w:left="0"/>
        <w:jc w:val="both"/>
      </w:pPr>
      <w:r>
        <w:rPr>
          <w:rFonts w:ascii="Times New Roman"/>
          <w:b w:val="false"/>
          <w:i w:val="false"/>
          <w:color w:val="000000"/>
          <w:sz w:val="28"/>
        </w:rPr>
        <w:t>
      Город обладает потенциалом для развития металлургической, химической, легкой промышленности и машиностроения. Используя имеющуюся минеральную базу и кадровый потенциал, существует большая вероятность развития высокотехнологичных производств.</w:t>
      </w:r>
    </w:p>
    <w:bookmarkEnd w:id="12"/>
    <w:bookmarkStart w:name="z18" w:id="13"/>
    <w:p>
      <w:pPr>
        <w:spacing w:after="0"/>
        <w:ind w:left="0"/>
        <w:jc w:val="both"/>
      </w:pPr>
      <w:r>
        <w:rPr>
          <w:rFonts w:ascii="Times New Roman"/>
          <w:b w:val="false"/>
          <w:i w:val="false"/>
          <w:color w:val="000000"/>
          <w:sz w:val="28"/>
        </w:rPr>
        <w:t>
      В целом город имеет потенциал, чтобы стать логистическим центром Казахстана, связующим север и юг, запад и восток, с учетом развития инфраструктуры и строительства дорог.</w:t>
      </w:r>
    </w:p>
    <w:bookmarkEnd w:id="13"/>
    <w:bookmarkStart w:name="z19" w:id="14"/>
    <w:p>
      <w:pPr>
        <w:spacing w:after="0"/>
        <w:ind w:left="0"/>
        <w:jc w:val="both"/>
      </w:pPr>
      <w:r>
        <w:rPr>
          <w:rFonts w:ascii="Times New Roman"/>
          <w:b w:val="false"/>
          <w:i w:val="false"/>
          <w:color w:val="000000"/>
          <w:sz w:val="28"/>
        </w:rPr>
        <w:t>
      Численность населения составляет 77,8 тысячи человек, в том числе рабочая сила – 39,8 тысячи человек. Учитывая демографический сдвиг в положительную сторону и развитие города в целом, в первую очередь требуются улучшение качества жизни местного населения, принятие соответствующих мер по развитию социальной сферы, экологии, жилья, инфраструктуры и дорожной отрасли.</w:t>
      </w:r>
    </w:p>
    <w:bookmarkEnd w:id="14"/>
    <w:bookmarkStart w:name="z20" w:id="15"/>
    <w:p>
      <w:pPr>
        <w:spacing w:after="0"/>
        <w:ind w:left="0"/>
        <w:jc w:val="both"/>
      </w:pPr>
      <w:r>
        <w:rPr>
          <w:rFonts w:ascii="Times New Roman"/>
          <w:b w:val="false"/>
          <w:i w:val="false"/>
          <w:color w:val="000000"/>
          <w:sz w:val="28"/>
        </w:rPr>
        <w:t>
      Реализация новых проектов обеспечит создание более 4 тысяч новых рабочих мест (из них постоянные – 450), что позволит снизить уровень безработицы с 4,7 % до 4 %, в том числе среди молодежи с 4,6 % до 4 %.</w:t>
      </w:r>
    </w:p>
    <w:bookmarkEnd w:id="15"/>
    <w:bookmarkStart w:name="z21" w:id="16"/>
    <w:p>
      <w:pPr>
        <w:spacing w:after="0"/>
        <w:ind w:left="0"/>
        <w:jc w:val="both"/>
      </w:pPr>
      <w:r>
        <w:rPr>
          <w:rFonts w:ascii="Times New Roman"/>
          <w:b w:val="false"/>
          <w:i w:val="false"/>
          <w:color w:val="000000"/>
          <w:sz w:val="28"/>
        </w:rPr>
        <w:t xml:space="preserve">
      За пять лет планируется реализация комплексного индустриального развития города, особое внимание будет уделено интенсивному развитию металлургической промышленности, туризма, социальной инфраструктуры и решению экологических проблем. </w:t>
      </w:r>
    </w:p>
    <w:bookmarkEnd w:id="16"/>
    <w:bookmarkStart w:name="z22" w:id="17"/>
    <w:p>
      <w:pPr>
        <w:spacing w:after="0"/>
        <w:ind w:left="0"/>
        <w:jc w:val="both"/>
      </w:pPr>
      <w:r>
        <w:rPr>
          <w:rFonts w:ascii="Times New Roman"/>
          <w:b w:val="false"/>
          <w:i w:val="false"/>
          <w:color w:val="000000"/>
          <w:sz w:val="28"/>
        </w:rPr>
        <w:t>
      С целью создания условий для вложения инвестиций в развитие Балхашской курортной зоны совместным постановлением акимата и решением областного маслихата Карагандинской области от 26 февраля 2020 года № 11/06 к городу присоединены земли села Шубартубек и земли запаса сельского округа Торангалык Актогайского района (8744 гектара). С изменением границ населенного пункта проведена корректировка генерального плана и разработана схема градостроительного развития.</w:t>
      </w:r>
    </w:p>
    <w:bookmarkEnd w:id="17"/>
    <w:bookmarkStart w:name="z23" w:id="18"/>
    <w:p>
      <w:pPr>
        <w:spacing w:after="0"/>
        <w:ind w:left="0"/>
        <w:jc w:val="both"/>
      </w:pPr>
      <w:r>
        <w:rPr>
          <w:rFonts w:ascii="Times New Roman"/>
          <w:b w:val="false"/>
          <w:i w:val="false"/>
          <w:color w:val="000000"/>
          <w:sz w:val="28"/>
        </w:rPr>
        <w:t>
      Внутренний туризм способен стать одним из драйверов экономического роста области, для которого необходимо принять комплекс мер по улучшению дорожной инфраструктуры, развитию придорожного сервиса и увеличению туристического потока.</w:t>
      </w:r>
    </w:p>
    <w:bookmarkEnd w:id="18"/>
    <w:bookmarkStart w:name="z24" w:id="19"/>
    <w:p>
      <w:pPr>
        <w:spacing w:after="0"/>
        <w:ind w:left="0"/>
        <w:jc w:val="both"/>
      </w:pPr>
      <w:r>
        <w:rPr>
          <w:rFonts w:ascii="Times New Roman"/>
          <w:b w:val="false"/>
          <w:i w:val="false"/>
          <w:color w:val="000000"/>
          <w:sz w:val="28"/>
        </w:rPr>
        <w:t>
      Согласно данным Бюро национальной статистики Агентства по стратегическому планированию и реформам Республики Казахстан за январь-декабрь 2022 года в городе услуги по организации проживания оказывают 42 объекта размещения. В них насчитывается 826 номеров, единовременная вместимость составляет 2103 койко-места (2021 год – 1963 койко-места).</w:t>
      </w:r>
    </w:p>
    <w:bookmarkEnd w:id="19"/>
    <w:bookmarkStart w:name="z25" w:id="20"/>
    <w:p>
      <w:pPr>
        <w:spacing w:after="0"/>
        <w:ind w:left="0"/>
        <w:jc w:val="both"/>
      </w:pPr>
      <w:r>
        <w:rPr>
          <w:rFonts w:ascii="Times New Roman"/>
          <w:b w:val="false"/>
          <w:i w:val="false"/>
          <w:color w:val="000000"/>
          <w:sz w:val="28"/>
        </w:rPr>
        <w:t>
      Количество обслуженных посетителей в местах размещения по сравнению с аналогичным периодом 2021 года увеличилось на 34,7 % и составило 54,2 тысячи человек (без учета данных по сельскому округу Торангалык и села Шубартубек).</w:t>
      </w:r>
    </w:p>
    <w:bookmarkEnd w:id="20"/>
    <w:bookmarkStart w:name="z26" w:id="21"/>
    <w:p>
      <w:pPr>
        <w:spacing w:after="0"/>
        <w:ind w:left="0"/>
        <w:jc w:val="both"/>
      </w:pPr>
      <w:r>
        <w:rPr>
          <w:rFonts w:ascii="Times New Roman"/>
          <w:b w:val="false"/>
          <w:i w:val="false"/>
          <w:color w:val="000000"/>
          <w:sz w:val="28"/>
        </w:rPr>
        <w:t>
      В 2021 году постановлением акимата города Балхаша (от 11 ноября 2021 года № 46/05) утвержден проект детальной планировки части города (курортная зона побережья), который позволяет предпринимателям уже сейчас увидеть информацию по архитектурно-пространственным и инженерно-экономическим решениям застройки (по свободной площади и возможности подключения инженерных сетей).</w:t>
      </w:r>
    </w:p>
    <w:bookmarkEnd w:id="21"/>
    <w:bookmarkStart w:name="z27" w:id="22"/>
    <w:p>
      <w:pPr>
        <w:spacing w:after="0"/>
        <w:ind w:left="0"/>
        <w:jc w:val="both"/>
      </w:pPr>
      <w:r>
        <w:rPr>
          <w:rFonts w:ascii="Times New Roman"/>
          <w:b w:val="false"/>
          <w:i w:val="false"/>
          <w:color w:val="000000"/>
          <w:sz w:val="28"/>
        </w:rPr>
        <w:t>
      Активно развивается малый и средний бизнес (далее – МСБ), численность занятых в МСБ в 2022 году составила 10845 человек, субъектами МСБ выпущена продукция на сумму 63,8 миллиарда тенге.</w:t>
      </w:r>
    </w:p>
    <w:bookmarkEnd w:id="22"/>
    <w:bookmarkStart w:name="z28" w:id="23"/>
    <w:p>
      <w:pPr>
        <w:spacing w:after="0"/>
        <w:ind w:left="0"/>
        <w:jc w:val="both"/>
      </w:pPr>
      <w:r>
        <w:rPr>
          <w:rFonts w:ascii="Times New Roman"/>
          <w:b w:val="false"/>
          <w:i w:val="false"/>
          <w:color w:val="000000"/>
          <w:sz w:val="28"/>
        </w:rPr>
        <w:t xml:space="preserve">
      На сегодняшний день остро стоят вопросы изношенности сетей канализации города и обеспечения водотеплоснабжением населения. Общая протяженность тепловых сетей города составляет 191,4 километра, из них в изношенном состоянии находится 70 % (134 километра). Общая протяженность водопроводных сетей города, находящихся в коммунальной собственности, – 443,8 километра, износ водопроводных сетей составляет 80 %. </w:t>
      </w:r>
    </w:p>
    <w:bookmarkEnd w:id="23"/>
    <w:bookmarkStart w:name="z29" w:id="24"/>
    <w:p>
      <w:pPr>
        <w:spacing w:after="0"/>
        <w:ind w:left="0"/>
        <w:jc w:val="both"/>
      </w:pPr>
      <w:r>
        <w:rPr>
          <w:rFonts w:ascii="Times New Roman"/>
          <w:b w:val="false"/>
          <w:i w:val="false"/>
          <w:color w:val="000000"/>
          <w:sz w:val="28"/>
        </w:rPr>
        <w:t>
      Водоснабжение осуществляется из Нижне-Токрауского месторождения подземных вод, которое расположено на 25-30 километров восточнее города. Общая площадь месторождения – 783 квадратных километра. На месторождении существует 4 водозабора с 46 скважинами, из которых в рабочем состоянии 17, на консервации 20 и в нерабочем состоянии 9 скважин.</w:t>
      </w:r>
    </w:p>
    <w:bookmarkEnd w:id="24"/>
    <w:bookmarkStart w:name="z30" w:id="25"/>
    <w:p>
      <w:pPr>
        <w:spacing w:after="0"/>
        <w:ind w:left="0"/>
        <w:jc w:val="both"/>
      </w:pPr>
      <w:r>
        <w:rPr>
          <w:rFonts w:ascii="Times New Roman"/>
          <w:b w:val="false"/>
          <w:i w:val="false"/>
          <w:color w:val="000000"/>
          <w:sz w:val="28"/>
        </w:rPr>
        <w:t>
      Из 17 рабочих скважин 14 скважин работают на город и 3 скважины на поселок Саяк. Среднесуточное потребление питьевой водой города и прилегающих поселков составляет 12,4 тысячи кубометра. По городу отпуск предприятиям – 163,4 тысячи кубометра в месяц, населению – 209,2 тысячи кубометра в месяц. Общие потери в системе водоснабжения по городу составляют 10 %.</w:t>
      </w:r>
    </w:p>
    <w:bookmarkEnd w:id="25"/>
    <w:bookmarkStart w:name="z31" w:id="26"/>
    <w:p>
      <w:pPr>
        <w:spacing w:after="0"/>
        <w:ind w:left="0"/>
        <w:jc w:val="both"/>
      </w:pPr>
      <w:r>
        <w:rPr>
          <w:rFonts w:ascii="Times New Roman"/>
          <w:b w:val="false"/>
          <w:i w:val="false"/>
          <w:color w:val="000000"/>
          <w:sz w:val="28"/>
        </w:rPr>
        <w:t xml:space="preserve">
      Поливная система города находится в неисправном состоянии (31,4 километра) и не функционирует ("правая" часть поливной системы водопровода покрывает всю территорию города в соответствии с ПДП 1-ой очереди). Кроме того, частный сектор использует питьевую воду для полива зеленых насаждений и соответственно имеет большой объем потребления питьевой воды. </w:t>
      </w:r>
    </w:p>
    <w:bookmarkEnd w:id="26"/>
    <w:bookmarkStart w:name="z32" w:id="27"/>
    <w:p>
      <w:pPr>
        <w:spacing w:after="0"/>
        <w:ind w:left="0"/>
        <w:jc w:val="both"/>
      </w:pPr>
      <w:r>
        <w:rPr>
          <w:rFonts w:ascii="Times New Roman"/>
          <w:b w:val="false"/>
          <w:i w:val="false"/>
          <w:color w:val="000000"/>
          <w:sz w:val="28"/>
        </w:rPr>
        <w:t>
      Происходящие изменения в городе, обеспечивающие рост уровня и качества жизни, позитивно влияют на демографические процессы. Однако одной из проблем города является обеспечение доступности комфортного жилья для населения, поскольку среди базовых потребностей людей жилье является основным элементом. По состоянию на 1 февраля 2023 года численность очередников в местном исполнительном органе составляет 2063 человека, в том числе сирот – 227, многодетных семей – 201, социально уязвимых слоев населения – 886 граждан и иных категорий граждан – 749 человек.</w:t>
      </w:r>
    </w:p>
    <w:bookmarkEnd w:id="27"/>
    <w:bookmarkStart w:name="z33" w:id="28"/>
    <w:p>
      <w:pPr>
        <w:spacing w:after="0"/>
        <w:ind w:left="0"/>
        <w:jc w:val="both"/>
      </w:pPr>
      <w:r>
        <w:rPr>
          <w:rFonts w:ascii="Times New Roman"/>
          <w:b w:val="false"/>
          <w:i w:val="false"/>
          <w:color w:val="000000"/>
          <w:sz w:val="28"/>
        </w:rPr>
        <w:t>
      Общая протяженность дорог по городу составляет 91 километр, из которых в хорошем состоянии – 60 километров (66 %) с асфальтобетонным покрытием, в неудовлетворительном состоянии – 31 километр (34 %), это грунтовые дороги и дороги, где ремонт не проводился более 7 лет. А также улицы частного сектора, которые не имеют асфальтового покрытия, где проживает порядка 12 тысяч человек (15 % от общей численности населения).</w:t>
      </w:r>
    </w:p>
    <w:bookmarkEnd w:id="28"/>
    <w:bookmarkStart w:name="z34" w:id="29"/>
    <w:p>
      <w:pPr>
        <w:spacing w:after="0"/>
        <w:ind w:left="0"/>
        <w:jc w:val="both"/>
      </w:pPr>
      <w:r>
        <w:rPr>
          <w:rFonts w:ascii="Times New Roman"/>
          <w:b w:val="false"/>
          <w:i w:val="false"/>
          <w:color w:val="000000"/>
          <w:sz w:val="28"/>
        </w:rPr>
        <w:t xml:space="preserve">
      В сфере дошкольного образования функционирует 19 учреждений (из них 3мини-центра, 2 частных учреждения) с общим охватом 3033 детей, дефицит дошкольных мест составляет 660 детей в возрасте от 1 до 6 лет. </w:t>
      </w:r>
    </w:p>
    <w:bookmarkEnd w:id="29"/>
    <w:bookmarkStart w:name="z35" w:id="30"/>
    <w:p>
      <w:pPr>
        <w:spacing w:after="0"/>
        <w:ind w:left="0"/>
        <w:jc w:val="both"/>
      </w:pPr>
      <w:r>
        <w:rPr>
          <w:rFonts w:ascii="Times New Roman"/>
          <w:b w:val="false"/>
          <w:i w:val="false"/>
          <w:color w:val="000000"/>
          <w:sz w:val="28"/>
        </w:rPr>
        <w:t xml:space="preserve">
      Проблема охвата детей младшего возраста дошкольным воспитанием и обучением решалась в основном за счет открытия мини-центров на базе общеобразовательных школ. Так как школы были вынуждены освобождать кабинеты для групп мини-центра, которым и так не хватает учебных кабинетов для проведения факультативных кружковых занятий, это вызывало нарекания со стороны родительской общественности. В связи с этим с сентября 2021 года было закрыто 3 мини-центра. </w:t>
      </w:r>
    </w:p>
    <w:bookmarkEnd w:id="30"/>
    <w:bookmarkStart w:name="z36" w:id="31"/>
    <w:p>
      <w:pPr>
        <w:spacing w:after="0"/>
        <w:ind w:left="0"/>
        <w:jc w:val="both"/>
      </w:pPr>
      <w:r>
        <w:rPr>
          <w:rFonts w:ascii="Times New Roman"/>
          <w:b w:val="false"/>
          <w:i w:val="false"/>
          <w:color w:val="000000"/>
          <w:sz w:val="28"/>
        </w:rPr>
        <w:t xml:space="preserve">
      При прогнозировании контингента детей от 1 года до 6 лет с учетом демографических показателей 2021 – 2022 годов произошли увеличение рождаемости детей, а также прирост в городе населения, имеющего детей дошкольного возраста. </w:t>
      </w:r>
    </w:p>
    <w:bookmarkEnd w:id="31"/>
    <w:bookmarkStart w:name="z37" w:id="32"/>
    <w:p>
      <w:pPr>
        <w:spacing w:after="0"/>
        <w:ind w:left="0"/>
        <w:jc w:val="both"/>
      </w:pPr>
      <w:r>
        <w:rPr>
          <w:rFonts w:ascii="Times New Roman"/>
          <w:b w:val="false"/>
          <w:i w:val="false"/>
          <w:color w:val="000000"/>
          <w:sz w:val="28"/>
        </w:rPr>
        <w:t xml:space="preserve">
      В марте 2022 года подписан меморандум о взаимном сотрудничестве между акиматом Карагандинской области и ТОО "Корпорация Казахмыс". Согласно меморандуму ТОО "Корпорация Казахмыс" возьмет на себя обязательства по разработке проектно-сметной документации и проведению капитального ремонта детского сада "Гулдер" (бывшая поликлиника) на 240 мест. </w:t>
      </w:r>
    </w:p>
    <w:bookmarkEnd w:id="32"/>
    <w:bookmarkStart w:name="z38" w:id="33"/>
    <w:p>
      <w:pPr>
        <w:spacing w:after="0"/>
        <w:ind w:left="0"/>
        <w:jc w:val="both"/>
      </w:pPr>
      <w:r>
        <w:rPr>
          <w:rFonts w:ascii="Times New Roman"/>
          <w:b w:val="false"/>
          <w:i w:val="false"/>
          <w:color w:val="000000"/>
          <w:sz w:val="28"/>
        </w:rPr>
        <w:t>
      В сфере здравоохранения динамика последних трех лет показывает рост уровня общей смертности населения на 5 %, лидирующее положение занимает смертность от болезней системы кровообращения (БСК). На сегодняшний день остро стоит вопрос открытия многопрофильной центральной районной больницы (далее – МЦРБ) на базе существующей центральной больницы города как аналога областной больницы и будет обслуживать население городов Балхаша, Приозерска, Актогайского и Шетского районов.</w:t>
      </w:r>
    </w:p>
    <w:bookmarkEnd w:id="33"/>
    <w:bookmarkStart w:name="z39" w:id="34"/>
    <w:p>
      <w:pPr>
        <w:spacing w:after="0"/>
        <w:ind w:left="0"/>
        <w:jc w:val="both"/>
      </w:pPr>
      <w:r>
        <w:rPr>
          <w:rFonts w:ascii="Times New Roman"/>
          <w:b w:val="false"/>
          <w:i w:val="false"/>
          <w:color w:val="000000"/>
          <w:sz w:val="28"/>
        </w:rPr>
        <w:t>
      Случай материнской смертности в период 2020 – 2022 годы зарегистрирован только в 2021 году (1 случай).</w:t>
      </w:r>
    </w:p>
    <w:bookmarkEnd w:id="34"/>
    <w:bookmarkStart w:name="z40" w:id="35"/>
    <w:p>
      <w:pPr>
        <w:spacing w:after="0"/>
        <w:ind w:left="0"/>
        <w:jc w:val="both"/>
      </w:pPr>
      <w:r>
        <w:rPr>
          <w:rFonts w:ascii="Times New Roman"/>
          <w:b w:val="false"/>
          <w:i w:val="false"/>
          <w:color w:val="000000"/>
          <w:sz w:val="28"/>
        </w:rPr>
        <w:t>
      Коэффициент младенческой смертности за 2022 год увеличился на 8 % (2021 год – 10,35, за 2022 год на 1000 человек населения – 11,27), зарегистрировано 17 случаев, из них условно предотвратимые потери за счет перинатальных причин – 14 случаев, 2 непредотвратимых несчастных случая, 1 врожденная аномалия развития, в т.ч. 4 ребенка из других регионов (Актогайский, Шетский районы, город Приозерск).</w:t>
      </w:r>
    </w:p>
    <w:bookmarkEnd w:id="35"/>
    <w:bookmarkStart w:name="z41" w:id="36"/>
    <w:p>
      <w:pPr>
        <w:spacing w:after="0"/>
        <w:ind w:left="0"/>
        <w:jc w:val="both"/>
      </w:pPr>
      <w:r>
        <w:rPr>
          <w:rFonts w:ascii="Times New Roman"/>
          <w:b w:val="false"/>
          <w:i w:val="false"/>
          <w:color w:val="000000"/>
          <w:sz w:val="28"/>
        </w:rPr>
        <w:t xml:space="preserve">
      Имеется ряд проблемных вопросов в сфере экологии. Действующий полигон коммунальных отходов полностью исчерпал свой запас вместимости в 2015 году и дальнейшая его эксплуатация не представляется возможной. </w:t>
      </w:r>
    </w:p>
    <w:bookmarkEnd w:id="36"/>
    <w:bookmarkStart w:name="z42" w:id="37"/>
    <w:p>
      <w:pPr>
        <w:spacing w:after="0"/>
        <w:ind w:left="0"/>
        <w:jc w:val="both"/>
      </w:pPr>
      <w:r>
        <w:rPr>
          <w:rFonts w:ascii="Times New Roman"/>
          <w:b w:val="false"/>
          <w:i w:val="false"/>
          <w:color w:val="000000"/>
          <w:sz w:val="28"/>
        </w:rPr>
        <w:t>
      Согласно статистическим данным за 2022 год по городу наибольшие объемы выбросов основных видов загрязняющих специфических веществ приходятся на сернистый ангидрид – 78,5 тысячи тонн (2021 год – 75,7 тысячи тонн).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финансирования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индекса физического объема промышленного производства на 8,5 %, доля обрабатывающей промышленности составит в объеме не менее 90 %. Сумма инвестиций в основной капитал составит </w:t>
            </w:r>
          </w:p>
          <w:p>
            <w:pPr>
              <w:spacing w:after="20"/>
              <w:ind w:left="20"/>
              <w:jc w:val="both"/>
            </w:pPr>
            <w:r>
              <w:rPr>
                <w:rFonts w:ascii="Times New Roman"/>
                <w:b w:val="false"/>
                <w:i w:val="false"/>
                <w:color w:val="000000"/>
                <w:sz w:val="20"/>
              </w:rPr>
              <w:t>57 миллиардов тенге (темп роста на 9,2 %).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выпуска продукции МСБ до 112,7 миллиарда тенге (2022 год – 63,8 миллиарда тенге), увеличение численности занятых с 10,8 тысячи до 11,8 тысячи человек (2022 год – 10,8 тысячи человек), количества субъектов МСБ – с 5,4 тысячи до 6,5 тысячи (2022 год – 5,4 тысячи единиц).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туристического потока и роста деловой активности в 4 раза с учетом присоединенных территорий поселков Торангалык и Шубартубек Актогайского района (8744 гектаров) посредством проведения работ по реконструкции аэропорта города для приема самолетов всех классов и приведению аэропорта к международному стандарту.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более 4 тысяч новых рабочих мест (2022 год – 745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системы тепло- и водоснабжения за счет реконструкции тепловых сетей 1 и 2-очередей и внутриквартальных сетей (31,5 километра), внутригородских водопроводных сетей 2 и 3-очередей города и текущего ремонта водовода Токырау-Саяк (367,2 километра).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водопроводных сетей в 2023 году до 62,7 % (2022 год – 80 %), в 2024 году до 40,3 %, в 2025 году до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доступом к питьевой воде в 2023 году до 97,8 % (2022 год – 97,6 %), в 2024 году до 98,6 %, в 2025 году до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населения по обеспечению поливной системой до 83 % (в 2022 году – 20 %, в 2023 году – 27 %, в 2024 году – 42 %, в 2025 году – 58 %, в 2026 году – 75 %, в 2027 году – 83 %).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дорог в хорошем и удовлетворительном состоянии будет доведена с 66 % до 90 %, что позволит улучшить безопасность на дорогах.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очередности на жилье граждан, состоящих в очереди МИО (на учете на 1 февраля 2023 года – 2063 человека) и за счет всех источников финансирования до 2028 года на 53 % (969 квартир), в 2023 году – 185 квартир (91 %), в 2024 году – 203 квартиры (82 %), в 2025 году – 193 квартиры (72 %), в 2026 году – 194 квартиры (63 %), в 2027 году – 194 квартиры (53 %).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дошкольного образования в возрасте от 1 до 6 лет с 80,3 % до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показателя смертности населения с 10 до 9,5 на 1000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занимающихся физической культурой и спортом с 57,9 % до 62,5 %.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 атмосферу загрязняющих веществ с 78,5 тысячи тонн до 50,2 тысячи тонн до 2027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Промышленность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по производству рения в целях повышения степени извлечения из руд и отходов металлургического производства попутных компонентов редких, благородных и драгоценных металлов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 – ІІІ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с участком по переработке драгметального шлака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рафинирования селена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Балхашского цинкового завода для переработки некондиционных медных концентратов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xml:space="preserve">
IV квартал 2024 года </w:t>
            </w:r>
          </w:p>
          <w:bookmarkEnd w:id="38"/>
          <w:p>
            <w:pPr>
              <w:spacing w:after="20"/>
              <w:ind w:left="20"/>
              <w:jc w:val="both"/>
            </w:pPr>
            <w:r>
              <w:rPr>
                <w:rFonts w:ascii="Times New Roman"/>
                <w:b w:val="false"/>
                <w:i w:val="false"/>
                <w:color w:val="000000"/>
                <w:sz w:val="20"/>
              </w:rPr>
              <w:t>
– ІІ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2000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1600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Поисковые работы редкоземельных металлов на участке Кенкудук в районе города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инженерно-коммуникационной инфраструктуры и благоустройство в районе залива Бертыс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xml:space="preserve">
IV квартал 2024 года </w:t>
            </w:r>
          </w:p>
          <w:bookmarkEnd w:id="39"/>
          <w:p>
            <w:pPr>
              <w:spacing w:after="20"/>
              <w:ind w:left="20"/>
              <w:jc w:val="both"/>
            </w:pPr>
            <w:r>
              <w:rPr>
                <w:rFonts w:ascii="Times New Roman"/>
                <w:b w:val="false"/>
                <w:i w:val="false"/>
                <w:color w:val="000000"/>
                <w:sz w:val="20"/>
              </w:rPr>
              <w:t>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557,2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набережной зоны, городского пляжа (1-очередь)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xml:space="preserve">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665,1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xml:space="preserve"> –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xml:space="preserve"> – 714,7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набережной зоны, городского пляжа (2-очередь)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w:t>
            </w:r>
          </w:p>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 108,2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детальной планировки территории площадью 835 гектаров зоны отдыха (дачи) в городе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10 объектов туризма (зоны отдыха)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1060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1330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Жилищно-коммунальное хозяйство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Теплоснабжение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тепловых сетей 1 и 2-очередей, протяженность магистральной тепловой сети № 1 диаметром 630 миллиметров – 2074,1 метра, протяженность магистральной тепловой сети № 2 диаметром 630 миллиметров – 3140,5 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257,4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внутриквартальных тепловых сетей микрорайона Конырат, улиц Финская, Октябрьская (протяженностью 8,3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2023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магистральных и внутриквартальных тепловых сетей (улицы Агыбай батыра, Ленина, Сейфуллина, Амангельды и других, протяженность 18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IV квартал</w:t>
            </w:r>
          </w:p>
          <w:p>
            <w:pPr>
              <w:spacing w:after="20"/>
              <w:ind w:left="20"/>
              <w:jc w:val="both"/>
            </w:pPr>
            <w:r>
              <w:rPr>
                <w:rFonts w:ascii="Times New Roman"/>
                <w:b w:val="false"/>
                <w:i w:val="false"/>
                <w:color w:val="000000"/>
                <w:sz w:val="20"/>
              </w:rPr>
              <w:t xml:space="preserve">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xml:space="preserve">
2024 год </w:t>
            </w:r>
          </w:p>
          <w:bookmarkEnd w:id="40"/>
          <w:p>
            <w:pPr>
              <w:spacing w:after="20"/>
              <w:ind w:left="20"/>
              <w:jc w:val="both"/>
            </w:pPr>
            <w:r>
              <w:rPr>
                <w:rFonts w:ascii="Times New Roman"/>
                <w:b w:val="false"/>
                <w:i w:val="false"/>
                <w:color w:val="000000"/>
                <w:sz w:val="20"/>
              </w:rPr>
              <w:t>– 3 525,4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3 525,4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425,1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xml:space="preserve">
Модернизация Балхашской теплоэлектроцентрали, в том числе: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котлоагрегата № 5;</w:t>
            </w:r>
          </w:p>
          <w:p>
            <w:pPr>
              <w:spacing w:after="20"/>
              <w:ind w:left="20"/>
              <w:jc w:val="both"/>
            </w:pPr>
            <w:r>
              <w:rPr>
                <w:rFonts w:ascii="Times New Roman"/>
                <w:b w:val="false"/>
                <w:i w:val="false"/>
                <w:color w:val="000000"/>
                <w:sz w:val="20"/>
              </w:rPr>
              <w:t xml:space="preserve">
установка турбоагрегата № 6.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IV квартал 2023 года –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 2024 года,</w:t>
            </w:r>
          </w:p>
          <w:p>
            <w:pPr>
              <w:spacing w:after="20"/>
              <w:ind w:left="20"/>
              <w:jc w:val="both"/>
            </w:pPr>
            <w:r>
              <w:rPr>
                <w:rFonts w:ascii="Times New Roman"/>
                <w:b w:val="false"/>
                <w:i w:val="false"/>
                <w:color w:val="000000"/>
                <w:sz w:val="20"/>
              </w:rPr>
              <w:t xml:space="preserve">
2025 год – </w:t>
            </w:r>
          </w:p>
          <w:p>
            <w:pPr>
              <w:spacing w:after="20"/>
              <w:ind w:left="20"/>
              <w:jc w:val="both"/>
            </w:pPr>
            <w:r>
              <w:rPr>
                <w:rFonts w:ascii="Times New Roman"/>
                <w:b w:val="false"/>
                <w:i w:val="false"/>
                <w:color w:val="000000"/>
                <w:sz w:val="20"/>
              </w:rPr>
              <w:t>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w:t>
            </w:r>
          </w:p>
          <w:p>
            <w:pPr>
              <w:spacing w:after="20"/>
              <w:ind w:left="20"/>
              <w:jc w:val="both"/>
            </w:pPr>
            <w:r>
              <w:rPr>
                <w:rFonts w:ascii="Times New Roman"/>
                <w:b w:val="false"/>
                <w:i w:val="false"/>
                <w:color w:val="000000"/>
                <w:sz w:val="20"/>
              </w:rPr>
              <w:t>МЭ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–970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w:t>
            </w:r>
          </w:p>
          <w:p>
            <w:pPr>
              <w:spacing w:after="20"/>
              <w:ind w:left="20"/>
              <w:jc w:val="both"/>
            </w:pPr>
            <w:r>
              <w:rPr>
                <w:rFonts w:ascii="Times New Roman"/>
                <w:b w:val="false"/>
                <w:i w:val="false"/>
                <w:color w:val="000000"/>
                <w:sz w:val="20"/>
              </w:rPr>
              <w:t>6378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650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2026 год</w:t>
            </w:r>
          </w:p>
          <w:bookmarkEnd w:id="43"/>
          <w:p>
            <w:pPr>
              <w:spacing w:after="20"/>
              <w:ind w:left="20"/>
              <w:jc w:val="both"/>
            </w:pPr>
            <w:r>
              <w:rPr>
                <w:rFonts w:ascii="Times New Roman"/>
                <w:b w:val="false"/>
                <w:i w:val="false"/>
                <w:color w:val="000000"/>
                <w:sz w:val="20"/>
              </w:rPr>
              <w:t>
– 3200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p>
            <w:pPr>
              <w:spacing w:after="20"/>
              <w:ind w:left="20"/>
              <w:jc w:val="both"/>
            </w:pPr>
            <w:r>
              <w:rPr>
                <w:rFonts w:ascii="Times New Roman"/>
                <w:b w:val="false"/>
                <w:i w:val="false"/>
                <w:color w:val="000000"/>
                <w:sz w:val="20"/>
              </w:rPr>
              <w:t>– 6221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Водоснабжение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внутригородских водопроводных сетей 2 и 3-очередей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IV квартал 2023 года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IV квартал 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акимат Карагандинской области, </w:t>
            </w:r>
          </w:p>
          <w:bookmarkEnd w:id="45"/>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2024 год</w:t>
            </w:r>
          </w:p>
          <w:bookmarkEnd w:id="46"/>
          <w:p>
            <w:pPr>
              <w:spacing w:after="20"/>
              <w:ind w:left="20"/>
              <w:jc w:val="both"/>
            </w:pPr>
            <w:r>
              <w:rPr>
                <w:rFonts w:ascii="Times New Roman"/>
                <w:b w:val="false"/>
                <w:i w:val="false"/>
                <w:color w:val="000000"/>
                <w:sz w:val="20"/>
              </w:rPr>
              <w:t>
–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2024 год</w:t>
            </w:r>
          </w:p>
          <w:bookmarkEnd w:id="47"/>
          <w:p>
            <w:pPr>
              <w:spacing w:after="20"/>
              <w:ind w:left="20"/>
              <w:jc w:val="both"/>
            </w:pPr>
            <w:r>
              <w:rPr>
                <w:rFonts w:ascii="Times New Roman"/>
                <w:b w:val="false"/>
                <w:i w:val="false"/>
                <w:color w:val="000000"/>
                <w:sz w:val="20"/>
              </w:rPr>
              <w:t>
– 907,5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водозаборных сооружений Нижне-Токырауского месторождения подземных вод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xml:space="preserve">
IV квартал 2024 года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МЭПР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2024 год</w:t>
            </w:r>
          </w:p>
          <w:bookmarkEnd w:id="49"/>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2024 год</w:t>
            </w:r>
          </w:p>
          <w:bookmarkEnd w:id="50"/>
          <w:p>
            <w:pPr>
              <w:spacing w:after="20"/>
              <w:ind w:left="20"/>
              <w:jc w:val="both"/>
            </w:pPr>
            <w:r>
              <w:rPr>
                <w:rFonts w:ascii="Times New Roman"/>
                <w:b w:val="false"/>
                <w:i w:val="false"/>
                <w:color w:val="000000"/>
                <w:sz w:val="20"/>
              </w:rPr>
              <w:t>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2025 год</w:t>
            </w:r>
          </w:p>
          <w:bookmarkEnd w:id="51"/>
          <w:p>
            <w:pPr>
              <w:spacing w:after="20"/>
              <w:ind w:left="20"/>
              <w:jc w:val="both"/>
            </w:pPr>
            <w:r>
              <w:rPr>
                <w:rFonts w:ascii="Times New Roman"/>
                <w:b w:val="false"/>
                <w:i w:val="false"/>
                <w:color w:val="000000"/>
                <w:sz w:val="20"/>
              </w:rPr>
              <w:t>
–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2025 год</w:t>
            </w:r>
          </w:p>
          <w:bookmarkEnd w:id="52"/>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2026 год</w:t>
            </w:r>
          </w:p>
          <w:bookmarkEnd w:id="53"/>
          <w:p>
            <w:pPr>
              <w:spacing w:after="20"/>
              <w:ind w:left="20"/>
              <w:jc w:val="both"/>
            </w:pPr>
            <w:r>
              <w:rPr>
                <w:rFonts w:ascii="Times New Roman"/>
                <w:b w:val="false"/>
                <w:i w:val="false"/>
                <w:color w:val="000000"/>
                <w:sz w:val="20"/>
              </w:rPr>
              <w:t>
–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2026 год</w:t>
            </w:r>
          </w:p>
          <w:bookmarkEnd w:id="54"/>
          <w:p>
            <w:pPr>
              <w:spacing w:after="20"/>
              <w:ind w:left="20"/>
              <w:jc w:val="both"/>
            </w:pPr>
            <w:r>
              <w:rPr>
                <w:rFonts w:ascii="Times New Roman"/>
                <w:b w:val="false"/>
                <w:i w:val="false"/>
                <w:color w:val="000000"/>
                <w:sz w:val="20"/>
              </w:rPr>
              <w:t>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2027 год </w:t>
            </w:r>
          </w:p>
          <w:bookmarkEnd w:id="55"/>
          <w:p>
            <w:pPr>
              <w:spacing w:after="20"/>
              <w:ind w:left="20"/>
              <w:jc w:val="both"/>
            </w:pPr>
            <w:r>
              <w:rPr>
                <w:rFonts w:ascii="Times New Roman"/>
                <w:b w:val="false"/>
                <w:i w:val="false"/>
                <w:color w:val="000000"/>
                <w:sz w:val="20"/>
              </w:rPr>
              <w:t>
–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2027 год </w:t>
            </w:r>
          </w:p>
          <w:bookmarkEnd w:id="56"/>
          <w:p>
            <w:pPr>
              <w:spacing w:after="20"/>
              <w:ind w:left="20"/>
              <w:jc w:val="both"/>
            </w:pPr>
            <w:r>
              <w:rPr>
                <w:rFonts w:ascii="Times New Roman"/>
                <w:b w:val="false"/>
                <w:i w:val="false"/>
                <w:color w:val="000000"/>
                <w:sz w:val="20"/>
              </w:rPr>
              <w:t>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поливной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 xml:space="preserve">2023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водовода </w:t>
            </w:r>
          </w:p>
          <w:p>
            <w:pPr>
              <w:spacing w:after="20"/>
              <w:ind w:left="20"/>
              <w:jc w:val="both"/>
            </w:pPr>
            <w:r>
              <w:rPr>
                <w:rFonts w:ascii="Times New Roman"/>
                <w:b w:val="false"/>
                <w:i w:val="false"/>
                <w:color w:val="000000"/>
                <w:sz w:val="20"/>
              </w:rPr>
              <w:t>Токырау-Саяк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xml:space="preserve">
IV квартал 2023 года – </w:t>
            </w:r>
          </w:p>
          <w:bookmarkEnd w:id="57"/>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500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водовода </w:t>
            </w:r>
          </w:p>
          <w:p>
            <w:pPr>
              <w:spacing w:after="20"/>
              <w:ind w:left="20"/>
              <w:jc w:val="both"/>
            </w:pPr>
            <w:r>
              <w:rPr>
                <w:rFonts w:ascii="Times New Roman"/>
                <w:b w:val="false"/>
                <w:i w:val="false"/>
                <w:color w:val="000000"/>
                <w:sz w:val="20"/>
              </w:rPr>
              <w:t>Токырау-Саяк от насосной станции второго подъема до насосной станции четвертого подъема (диаметр – 530 миллиметров, протяженность – 100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IV квартал 2023 года – </w:t>
            </w:r>
          </w:p>
          <w:bookmarkEnd w:id="58"/>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акимат Карагандинской области,</w:t>
            </w:r>
          </w:p>
          <w:bookmarkEnd w:id="5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xml:space="preserve">
2024 год </w:t>
            </w:r>
          </w:p>
          <w:bookmarkEnd w:id="60"/>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водовода Токырау-Саяк от насосной станции четвертого подъема до поселка Саяк (диаметр – 530 миллиметров, протяженность – 60 километров)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xml:space="preserve">
IV квартал 2023 года – </w:t>
            </w:r>
          </w:p>
          <w:bookmarkEnd w:id="61"/>
          <w:p>
            <w:pPr>
              <w:spacing w:after="20"/>
              <w:ind w:left="20"/>
              <w:jc w:val="both"/>
            </w:pP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xml:space="preserve">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акимат Карагандинской области,</w:t>
            </w:r>
          </w:p>
          <w:bookmarkEnd w:id="62"/>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xml:space="preserve">
2023 год </w:t>
            </w:r>
          </w:p>
          <w:bookmarkEnd w:id="63"/>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xml:space="preserve">
2024 год </w:t>
            </w:r>
          </w:p>
          <w:bookmarkEnd w:id="64"/>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xml:space="preserve">
2024 год </w:t>
            </w:r>
          </w:p>
          <w:bookmarkEnd w:id="65"/>
          <w:p>
            <w:pPr>
              <w:spacing w:after="20"/>
              <w:ind w:left="20"/>
              <w:jc w:val="both"/>
            </w:pPr>
            <w:r>
              <w:rPr>
                <w:rFonts w:ascii="Times New Roman"/>
                <w:b w:val="false"/>
                <w:i w:val="false"/>
                <w:color w:val="000000"/>
                <w:sz w:val="20"/>
              </w:rPr>
              <w:t>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xml:space="preserve">
2025 год </w:t>
            </w:r>
          </w:p>
          <w:bookmarkEnd w:id="66"/>
          <w:p>
            <w:pPr>
              <w:spacing w:after="20"/>
              <w:ind w:left="20"/>
              <w:jc w:val="both"/>
            </w:pPr>
            <w:r>
              <w:rPr>
                <w:rFonts w:ascii="Times New Roman"/>
                <w:b w:val="false"/>
                <w:i w:val="false"/>
                <w:color w:val="000000"/>
                <w:sz w:val="20"/>
              </w:rPr>
              <w:t>
–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xml:space="preserve">
2025 год </w:t>
            </w:r>
          </w:p>
          <w:bookmarkEnd w:id="67"/>
          <w:p>
            <w:pPr>
              <w:spacing w:after="20"/>
              <w:ind w:left="20"/>
              <w:jc w:val="both"/>
            </w:pPr>
            <w:r>
              <w:rPr>
                <w:rFonts w:ascii="Times New Roman"/>
                <w:b w:val="false"/>
                <w:i w:val="false"/>
                <w:color w:val="000000"/>
                <w:sz w:val="20"/>
              </w:rPr>
              <w:t>
–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насосных станций водовода Токырау-Саяк (три насосные станции II, IV, V подъемов)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xml:space="preserve">
IV квартал 2024 года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IV квартал 2027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акимат Карагандинской области,</w:t>
            </w:r>
          </w:p>
          <w:bookmarkEnd w:id="6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2024 год </w:t>
            </w:r>
          </w:p>
          <w:bookmarkEnd w:id="70"/>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2024 год </w:t>
            </w:r>
          </w:p>
          <w:bookmarkEnd w:id="71"/>
          <w:p>
            <w:pPr>
              <w:spacing w:after="20"/>
              <w:ind w:left="20"/>
              <w:jc w:val="both"/>
            </w:pPr>
            <w:r>
              <w:rPr>
                <w:rFonts w:ascii="Times New Roman"/>
                <w:b w:val="false"/>
                <w:i w:val="false"/>
                <w:color w:val="000000"/>
                <w:sz w:val="20"/>
              </w:rPr>
              <w:t>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2025 год </w:t>
            </w:r>
          </w:p>
          <w:bookmarkEnd w:id="72"/>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2025 год</w:t>
            </w:r>
          </w:p>
          <w:bookmarkEnd w:id="73"/>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2026 год </w:t>
            </w:r>
          </w:p>
          <w:bookmarkEnd w:id="74"/>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2026 год </w:t>
            </w:r>
          </w:p>
          <w:bookmarkEnd w:id="75"/>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xml:space="preserve">
2027 год </w:t>
            </w:r>
          </w:p>
          <w:bookmarkEnd w:id="76"/>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2027 год </w:t>
            </w:r>
          </w:p>
          <w:bookmarkEnd w:id="77"/>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внутриквартальных водопроводных сетей поселка Саяк (протяженность – 14,1 километра)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 xml:space="preserve">IV квартал 2024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акимат Карагандинской области,</w:t>
            </w:r>
          </w:p>
          <w:bookmarkEnd w:id="78"/>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водовода города Балхаша – поселка Торангалык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акимат Карагандинской области, </w:t>
            </w:r>
          </w:p>
          <w:bookmarkEnd w:id="79"/>
          <w:p>
            <w:pPr>
              <w:spacing w:after="20"/>
              <w:ind w:left="20"/>
              <w:jc w:val="both"/>
            </w:pPr>
            <w:r>
              <w:rPr>
                <w:rFonts w:ascii="Times New Roman"/>
                <w:b w:val="false"/>
                <w:i w:val="false"/>
                <w:color w:val="000000"/>
                <w:sz w:val="20"/>
              </w:rPr>
              <w:t>
МЭПР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xml:space="preserve">
2024 год </w:t>
            </w:r>
          </w:p>
          <w:bookmarkEnd w:id="80"/>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xml:space="preserve">
2025 год </w:t>
            </w:r>
          </w:p>
          <w:bookmarkEnd w:id="81"/>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поселка Торангалык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xml:space="preserve">
акимат Карагандинской области, </w:t>
            </w:r>
          </w:p>
          <w:bookmarkEnd w:id="82"/>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поселка Шубартубек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акимат Карагандинской области, </w:t>
            </w:r>
          </w:p>
          <w:bookmarkEnd w:id="83"/>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благоустройства и коммунального хозяйства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дворовых территорий города (микрорайон Жидебай батыра, 2, 4, 8, 12, 14, 16, 18; улица Агыбай батыра, 19, 21, 20, 22, 24 и улица Томпиевой, 5; улица Абая, 14, 16, 28, 30, улица Байсеитовой, 7, 8; улица Сейфуллина, 2, улица Алимжанова, 12, 12а; улица Желтоксан, 2, 5, улица Бокейханова, 1; улица Сейфуллина, 19, 21; микрорайон З. Сабитовой, 35, 36; улица Амангельды, 19, 20; переулок Макаренко,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 – IV квартал</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xml:space="preserve">
2023 год </w:t>
            </w:r>
          </w:p>
          <w:bookmarkEnd w:id="84"/>
          <w:p>
            <w:pPr>
              <w:spacing w:after="20"/>
              <w:ind w:left="20"/>
              <w:jc w:val="both"/>
            </w:pPr>
            <w:r>
              <w:rPr>
                <w:rFonts w:ascii="Times New Roman"/>
                <w:b w:val="false"/>
                <w:i w:val="false"/>
                <w:color w:val="000000"/>
                <w:sz w:val="20"/>
              </w:rPr>
              <w:t>
– 1247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582,3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611,4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xml:space="preserve">
2026 год </w:t>
            </w:r>
          </w:p>
          <w:bookmarkEnd w:id="85"/>
          <w:p>
            <w:pPr>
              <w:spacing w:after="20"/>
              <w:ind w:left="20"/>
              <w:jc w:val="both"/>
            </w:pPr>
            <w:r>
              <w:rPr>
                <w:rFonts w:ascii="Times New Roman"/>
                <w:b w:val="false"/>
                <w:i w:val="false"/>
                <w:color w:val="000000"/>
                <w:sz w:val="20"/>
              </w:rPr>
              <w:t>
– 642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xml:space="preserve">
2027 год </w:t>
            </w:r>
          </w:p>
          <w:bookmarkEnd w:id="86"/>
          <w:p>
            <w:pPr>
              <w:spacing w:after="20"/>
              <w:ind w:left="20"/>
              <w:jc w:val="both"/>
            </w:pPr>
            <w:r>
              <w:rPr>
                <w:rFonts w:ascii="Times New Roman"/>
                <w:b w:val="false"/>
                <w:i w:val="false"/>
                <w:color w:val="000000"/>
                <w:sz w:val="20"/>
              </w:rPr>
              <w:t>
– 674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въездной группы по улице Агыбай батыра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442,7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и фасада жилых домов (по 10 домов ежегодно: микрорайон Жидебай батыра, 2, 4, 8, 12, 14, 18, улица Агыбай батыра, 18, 20, 22, улица Абая, 4, 6, 8, 10, 14, 18, 20, 30, 40, 41, 43, улица Байсеитовой, 3, 4, 8, улица Молдагуловой, 1, 2, 4, 5, 6, улица Сейфуллина, 26, улица Караменде би, 8, 10, 16, улица Алимжанова, 3, 4, 4а, 5, 6, 7, 8, 10, 12, 12а, 14, улица Бокейханова, 1, улица Желтоксан, 1, 2, 5, 7, 8, 12, 14, 15, 16, 18, улица Амангельды, 3, 4, 5,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xml:space="preserve">
IV квартал 2023 года – </w:t>
            </w:r>
          </w:p>
          <w:bookmarkEnd w:id="87"/>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715,9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367,5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 387,5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 409,5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432,2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улицы Кадыржанова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парка имени Первостроителей по улице Иванова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входной группы в микрорайон Конырат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IV квартал</w:t>
            </w:r>
          </w:p>
          <w:bookmarkEnd w:id="88"/>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Благоустройства кольцевой развязки улиц Абая – Спицына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IV квартал</w:t>
            </w:r>
          </w:p>
          <w:bookmarkEnd w:id="89"/>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Жилищное строительство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многоквартирных жилых домов № 11а и 10а в 10-м микрорайоне (8035,8 квадратных метра – 90 квартир)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xml:space="preserve">
IV квартал 2024 года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790,5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790,5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дома со стоматологической клиникой и нежилыми помещениями по адресу: улица Абая, дом 61 (2242,4 квадратных метра – 16 квартир)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xml:space="preserve">
IV квартал 2024 года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"Таунхаус" по адресу: станция Балхаш-1 (3150 квадратных метров – </w:t>
            </w:r>
          </w:p>
          <w:p>
            <w:pPr>
              <w:spacing w:after="20"/>
              <w:ind w:left="20"/>
              <w:jc w:val="both"/>
            </w:pPr>
            <w:r>
              <w:rPr>
                <w:rFonts w:ascii="Times New Roman"/>
                <w:b w:val="false"/>
                <w:i w:val="false"/>
                <w:color w:val="000000"/>
                <w:sz w:val="20"/>
              </w:rPr>
              <w:t>49 квартир)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двухквартирных шести жилых домов по адресу: микрорайон Конырат (1260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113,4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по адресу: микрорайон Конырат, улица Русакова, дом 5 (1224 квадратных 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по адресу: микрорайон Конырат, улица Русакова, дом 5/1, (1224 квадратных 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12-ти квартирного жилого дома типа "Таунхаус" в 12-м микрорайоне (1440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277,2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дома в микрорайоне Сатпаева (3080 квадратных метров – 42 квартиры)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354,4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жилого дома по адресу: улица Балхашская, южнее дома № 34/1 (204 квадратных метра – 2 квартиры)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10-ти квартирного жилого дома типа "Таунхаус" в 12-м микрорайоне (1245 квадратных 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арендных 45-ти квартирных жилых домов № 7 (аренда для врачей и учителей) и № 8 (для очередников, в очереди на получение жилья – 1987 человек)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акимат Карагандинской области</w:t>
            </w:r>
          </w:p>
          <w:bookmarkEnd w:id="9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432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льготной ипотеки, реализуемой через АО "Отбасы банк" для жителей города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субсидирования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2023 год </w:t>
            </w:r>
          </w:p>
          <w:bookmarkEnd w:id="93"/>
          <w:p>
            <w:pPr>
              <w:spacing w:after="20"/>
              <w:ind w:left="20"/>
              <w:jc w:val="both"/>
            </w:pPr>
            <w:r>
              <w:rPr>
                <w:rFonts w:ascii="Times New Roman"/>
                <w:b w:val="false"/>
                <w:i w:val="false"/>
                <w:color w:val="000000"/>
                <w:sz w:val="20"/>
              </w:rPr>
              <w:t>
–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коммуникации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сезонных внутриреспубликанских субсидируемых авиамаршрутов Балхаш – Шымкент, Балхаш – Туркестан, Балхаш – Жезказган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субсидирования авиамаршрутов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xml:space="preserve">
IV квартал 2024 года – </w:t>
            </w:r>
          </w:p>
          <w:bookmarkEnd w:id="94"/>
          <w:p>
            <w:pPr>
              <w:spacing w:after="20"/>
              <w:ind w:left="20"/>
              <w:jc w:val="both"/>
            </w:pPr>
            <w:r>
              <w:rPr>
                <w:rFonts w:ascii="Times New Roman"/>
                <w:b w:val="false"/>
                <w:i w:val="false"/>
                <w:color w:val="000000"/>
                <w:sz w:val="20"/>
              </w:rPr>
              <w:t>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xml:space="preserve">
акимат Карагандинской области, </w:t>
            </w:r>
          </w:p>
          <w:bookmarkEnd w:id="95"/>
          <w:p>
            <w:pPr>
              <w:spacing w:after="20"/>
              <w:ind w:left="20"/>
              <w:jc w:val="both"/>
            </w:pPr>
            <w:r>
              <w:rPr>
                <w:rFonts w:ascii="Times New Roman"/>
                <w:b w:val="false"/>
                <w:i w:val="false"/>
                <w:color w:val="000000"/>
                <w:sz w:val="20"/>
              </w:rPr>
              <w:t>
МИИР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556,8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вагонов по железнодорожному маршруту Караганды – Балхаш с 4 до 6 вагонов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 к договору долгосрочного субсидирования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xml:space="preserve">
IV квартал 2023 года – </w:t>
            </w:r>
          </w:p>
          <w:bookmarkEnd w:id="96"/>
          <w:p>
            <w:pPr>
              <w:spacing w:after="20"/>
              <w:ind w:left="20"/>
              <w:jc w:val="both"/>
            </w:pPr>
            <w:r>
              <w:rPr>
                <w:rFonts w:ascii="Times New Roman"/>
                <w:b w:val="false"/>
                <w:i w:val="false"/>
                <w:color w:val="000000"/>
                <w:sz w:val="20"/>
              </w:rPr>
              <w:t>
IV квартал</w:t>
            </w:r>
          </w:p>
          <w:p>
            <w:pPr>
              <w:spacing w:after="20"/>
              <w:ind w:left="20"/>
              <w:jc w:val="both"/>
            </w:pPr>
            <w:r>
              <w:rPr>
                <w:rFonts w:ascii="Times New Roman"/>
                <w:b w:val="false"/>
                <w:i w:val="false"/>
                <w:color w:val="000000"/>
                <w:sz w:val="20"/>
              </w:rPr>
              <w:t>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автобусных рейсов межобластных маршрутов Балхаш – Алматы, Балхаш – Астана, а также открытие новых автобусных маршрутов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w:t>
            </w:r>
          </w:p>
          <w:p>
            <w:pPr>
              <w:spacing w:after="20"/>
              <w:ind w:left="20"/>
              <w:jc w:val="both"/>
            </w:pPr>
            <w:r>
              <w:rPr>
                <w:rFonts w:ascii="Times New Roman"/>
                <w:b w:val="false"/>
                <w:i w:val="false"/>
                <w:color w:val="000000"/>
                <w:sz w:val="20"/>
              </w:rPr>
              <w:t>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автодороги от Балхашской теплоэлектроцентрали до квартала Шиліауыз (Техснаб)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954,6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улицы Язева (от железнодорожного вокзала) до улицы Спицына (мечеть)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Социальная сфера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детского сада на 280 мест в 9-м микрорайоне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IV квартал</w:t>
            </w:r>
          </w:p>
          <w:bookmarkEnd w:id="97"/>
          <w:p>
            <w:pPr>
              <w:spacing w:after="20"/>
              <w:ind w:left="20"/>
              <w:jc w:val="both"/>
            </w:pPr>
            <w:r>
              <w:rPr>
                <w:rFonts w:ascii="Times New Roman"/>
                <w:b w:val="false"/>
                <w:i w:val="false"/>
                <w:color w:val="000000"/>
                <w:sz w:val="20"/>
              </w:rPr>
              <w:t xml:space="preserve">
2023 года – II квартал </w:t>
            </w:r>
          </w:p>
          <w:p>
            <w:pPr>
              <w:spacing w:after="20"/>
              <w:ind w:left="20"/>
              <w:jc w:val="both"/>
            </w:pPr>
            <w:r>
              <w:rPr>
                <w:rFonts w:ascii="Times New Roman"/>
                <w:b w:val="false"/>
                <w:i w:val="false"/>
                <w:color w:val="000000"/>
                <w:sz w:val="20"/>
              </w:rPr>
              <w:t>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xml:space="preserve">
2023 год </w:t>
            </w:r>
          </w:p>
          <w:bookmarkEnd w:id="98"/>
          <w:p>
            <w:pPr>
              <w:spacing w:after="20"/>
              <w:ind w:left="20"/>
              <w:jc w:val="both"/>
            </w:pPr>
            <w:r>
              <w:rPr>
                <w:rFonts w:ascii="Times New Roman"/>
                <w:b w:val="false"/>
                <w:i w:val="false"/>
                <w:color w:val="000000"/>
                <w:sz w:val="20"/>
              </w:rPr>
              <w:t>
–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xml:space="preserve">
2024 год </w:t>
            </w:r>
          </w:p>
          <w:bookmarkEnd w:id="99"/>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xml:space="preserve">
2025 год </w:t>
            </w:r>
          </w:p>
          <w:bookmarkEnd w:id="100"/>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центральной больницы под открытие МЦРБ в рамках строительства пристройки нового корпуса и капитального ремонта здания действующего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IV квартал</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 671,3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xml:space="preserve">
2024 год </w:t>
            </w:r>
          </w:p>
          <w:bookmarkEnd w:id="102"/>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борьбы" на территории Детско-юношеской спортивной школы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IV квартал</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xml:space="preserve">
2023 год </w:t>
            </w:r>
          </w:p>
          <w:bookmarkEnd w:id="104"/>
          <w:p>
            <w:pPr>
              <w:spacing w:after="20"/>
              <w:ind w:left="20"/>
              <w:jc w:val="both"/>
            </w:pPr>
            <w:r>
              <w:rPr>
                <w:rFonts w:ascii="Times New Roman"/>
                <w:b w:val="false"/>
                <w:i w:val="false"/>
                <w:color w:val="000000"/>
                <w:sz w:val="20"/>
              </w:rPr>
              <w:t>
–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533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xml:space="preserve">
2025 год </w:t>
            </w:r>
          </w:p>
          <w:bookmarkEnd w:id="105"/>
          <w:p>
            <w:pPr>
              <w:spacing w:after="20"/>
              <w:ind w:left="20"/>
              <w:jc w:val="both"/>
            </w:pPr>
            <w:r>
              <w:rPr>
                <w:rFonts w:ascii="Times New Roman"/>
                <w:b w:val="false"/>
                <w:i w:val="false"/>
                <w:color w:val="000000"/>
                <w:sz w:val="20"/>
              </w:rPr>
              <w:t>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плавательного бассейна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IV квартал</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w:t>
            </w:r>
          </w:p>
          <w:p>
            <w:pPr>
              <w:spacing w:after="20"/>
              <w:ind w:left="20"/>
              <w:jc w:val="both"/>
            </w:pPr>
            <w:r>
              <w:rPr>
                <w:rFonts w:ascii="Times New Roman"/>
                <w:b w:val="false"/>
                <w:i w:val="false"/>
                <w:color w:val="000000"/>
                <w:sz w:val="20"/>
              </w:rPr>
              <w:t xml:space="preserve">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xml:space="preserve">
2024 год </w:t>
            </w:r>
          </w:p>
          <w:bookmarkEnd w:id="107"/>
          <w:p>
            <w:pPr>
              <w:spacing w:after="20"/>
              <w:ind w:left="20"/>
              <w:jc w:val="both"/>
            </w:pPr>
            <w:r>
              <w:rPr>
                <w:rFonts w:ascii="Times New Roman"/>
                <w:b w:val="false"/>
                <w:i w:val="false"/>
                <w:color w:val="000000"/>
                <w:sz w:val="20"/>
              </w:rPr>
              <w:t>
–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xml:space="preserve">
2025 год </w:t>
            </w:r>
          </w:p>
          <w:bookmarkEnd w:id="108"/>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xml:space="preserve">
2026 год </w:t>
            </w:r>
          </w:p>
          <w:bookmarkEnd w:id="109"/>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крытого хоккейного корта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IV квартал</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2024 года</w:t>
            </w:r>
          </w:p>
          <w:p>
            <w:pPr>
              <w:spacing w:after="20"/>
              <w:ind w:left="20"/>
              <w:jc w:val="both"/>
            </w:pPr>
            <w:r>
              <w:rPr>
                <w:rFonts w:ascii="Times New Roman"/>
                <w:b w:val="false"/>
                <w:i w:val="false"/>
                <w:color w:val="000000"/>
                <w:sz w:val="20"/>
              </w:rPr>
              <w:t>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xml:space="preserve">
2025 год </w:t>
            </w:r>
          </w:p>
          <w:bookmarkEnd w:id="111"/>
          <w:p>
            <w:pPr>
              <w:spacing w:after="20"/>
              <w:ind w:left="20"/>
              <w:jc w:val="both"/>
            </w:pPr>
            <w:r>
              <w:rPr>
                <w:rFonts w:ascii="Times New Roman"/>
                <w:b w:val="false"/>
                <w:i w:val="false"/>
                <w:color w:val="000000"/>
                <w:sz w:val="20"/>
              </w:rPr>
              <w:t>
–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 и природопользование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с сортировочной линией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земель, расположенных на территории бывшего РЛС "Дарьял – У" (Балхаш-9), использовавшегося для хранения полихлорилдефинил – содержащего оборудования и отходов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w:t>
            </w:r>
          </w:p>
          <w:p>
            <w:pPr>
              <w:spacing w:after="20"/>
              <w:ind w:left="20"/>
              <w:jc w:val="both"/>
            </w:pPr>
            <w:r>
              <w:rPr>
                <w:rFonts w:ascii="Times New Roman"/>
                <w:b w:val="false"/>
                <w:i w:val="false"/>
                <w:color w:val="000000"/>
                <w:sz w:val="20"/>
              </w:rPr>
              <w:t>– 1200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очистных сооружений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2024 года – IV квартал 2026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xml:space="preserve">
акимат Карагандинской области, </w:t>
            </w:r>
          </w:p>
          <w:bookmarkEnd w:id="112"/>
          <w:p>
            <w:pPr>
              <w:spacing w:after="20"/>
              <w:ind w:left="20"/>
              <w:jc w:val="both"/>
            </w:pPr>
            <w:r>
              <w:rPr>
                <w:rFonts w:ascii="Times New Roman"/>
                <w:b w:val="false"/>
                <w:i w:val="false"/>
                <w:color w:val="000000"/>
                <w:sz w:val="20"/>
              </w:rPr>
              <w:t>
АО "Казцентр ЖКХ" (по согласованию)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xml:space="preserve">
2026 год </w:t>
            </w:r>
          </w:p>
          <w:bookmarkEnd w:id="113"/>
          <w:p>
            <w:pPr>
              <w:spacing w:after="20"/>
              <w:ind w:left="20"/>
              <w:jc w:val="both"/>
            </w:pPr>
            <w:r>
              <w:rPr>
                <w:rFonts w:ascii="Times New Roman"/>
                <w:b w:val="false"/>
                <w:i w:val="false"/>
                <w:color w:val="000000"/>
                <w:sz w:val="20"/>
              </w:rPr>
              <w:t>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второй нитки (комплекса) сернокислотного цеха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2024 года – </w:t>
            </w:r>
          </w:p>
          <w:p>
            <w:pPr>
              <w:spacing w:after="20"/>
              <w:ind w:left="20"/>
              <w:jc w:val="both"/>
            </w:pPr>
            <w:r>
              <w:rPr>
                <w:rFonts w:ascii="Times New Roman"/>
                <w:b w:val="false"/>
                <w:i w:val="false"/>
                <w:color w:val="000000"/>
                <w:sz w:val="20"/>
              </w:rPr>
              <w:t>IV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 – 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выполнение научно-исследовательской и опытно-конструкторской работы "Исследование экологической обстановки в районе бухты Бертыс с разработкой предложений по восстановлению экосистемы"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2023 года – </w:t>
            </w:r>
          </w:p>
          <w:p>
            <w:pPr>
              <w:spacing w:after="20"/>
              <w:ind w:left="20"/>
              <w:jc w:val="both"/>
            </w:pPr>
            <w:r>
              <w:rPr>
                <w:rFonts w:ascii="Times New Roman"/>
                <w:b w:val="false"/>
                <w:i w:val="false"/>
                <w:color w:val="000000"/>
                <w:sz w:val="20"/>
              </w:rPr>
              <w:t>IV квартал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xml:space="preserve">
2023 год </w:t>
            </w:r>
          </w:p>
          <w:bookmarkEnd w:id="114"/>
          <w:p>
            <w:pPr>
              <w:spacing w:after="20"/>
              <w:ind w:left="20"/>
              <w:jc w:val="both"/>
            </w:pPr>
            <w:r>
              <w:rPr>
                <w:rFonts w:ascii="Times New Roman"/>
                <w:b w:val="false"/>
                <w:i w:val="false"/>
                <w:color w:val="000000"/>
                <w:sz w:val="20"/>
              </w:rPr>
              <w:t>
–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xml:space="preserve">
2024 год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чрезвычайным ситуациям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выезда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год </w:t>
            </w:r>
          </w:p>
          <w:p>
            <w:pPr>
              <w:spacing w:after="20"/>
              <w:ind w:left="20"/>
              <w:jc w:val="both"/>
            </w:pPr>
            <w:r>
              <w:rPr>
                <w:rFonts w:ascii="Times New Roman"/>
                <w:b w:val="false"/>
                <w:i w:val="false"/>
                <w:color w:val="000000"/>
                <w:sz w:val="20"/>
              </w:rPr>
              <w:t>– IV квартал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МЧС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2023 год </w:t>
            </w:r>
          </w:p>
          <w:bookmarkEnd w:id="116"/>
          <w:p>
            <w:pPr>
              <w:spacing w:after="20"/>
              <w:ind w:left="20"/>
              <w:jc w:val="both"/>
            </w:pPr>
            <w:r>
              <w:rPr>
                <w:rFonts w:ascii="Times New Roman"/>
                <w:b w:val="false"/>
                <w:i w:val="false"/>
                <w:color w:val="000000"/>
                <w:sz w:val="20"/>
              </w:rPr>
              <w:t>
–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xml:space="preserve">
2024 год </w:t>
            </w:r>
          </w:p>
          <w:bookmarkEnd w:id="117"/>
          <w:p>
            <w:pPr>
              <w:spacing w:after="20"/>
              <w:ind w:left="20"/>
              <w:jc w:val="both"/>
            </w:pPr>
            <w:r>
              <w:rPr>
                <w:rFonts w:ascii="Times New Roman"/>
                <w:b w:val="false"/>
                <w:i w:val="false"/>
                <w:color w:val="000000"/>
                <w:sz w:val="20"/>
              </w:rPr>
              <w:t>
–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xml:space="preserve">
2024 год </w:t>
            </w:r>
          </w:p>
          <w:bookmarkEnd w:id="118"/>
          <w:p>
            <w:pPr>
              <w:spacing w:after="20"/>
              <w:ind w:left="20"/>
              <w:jc w:val="both"/>
            </w:pPr>
            <w:r>
              <w:rPr>
                <w:rFonts w:ascii="Times New Roman"/>
                <w:b w:val="false"/>
                <w:i w:val="false"/>
                <w:color w:val="000000"/>
                <w:sz w:val="20"/>
              </w:rPr>
              <w:t>
–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xml:space="preserve">
2025 год </w:t>
            </w:r>
          </w:p>
          <w:bookmarkEnd w:id="119"/>
          <w:p>
            <w:pPr>
              <w:spacing w:after="20"/>
              <w:ind w:left="20"/>
              <w:jc w:val="both"/>
            </w:pPr>
            <w:r>
              <w:rPr>
                <w:rFonts w:ascii="Times New Roman"/>
                <w:b w:val="false"/>
                <w:i w:val="false"/>
                <w:color w:val="000000"/>
                <w:sz w:val="20"/>
              </w:rPr>
              <w:t>
–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xml:space="preserve">
2025 год </w:t>
            </w:r>
          </w:p>
          <w:bookmarkEnd w:id="120"/>
          <w:p>
            <w:pPr>
              <w:spacing w:after="20"/>
              <w:ind w:left="20"/>
              <w:jc w:val="both"/>
            </w:pPr>
            <w:r>
              <w:rPr>
                <w:rFonts w:ascii="Times New Roman"/>
                <w:b w:val="false"/>
                <w:i w:val="false"/>
                <w:color w:val="000000"/>
                <w:sz w:val="20"/>
              </w:rPr>
              <w:t>
–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системы оповещения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городского пульта управления системой оповещения – 1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 20 комплектов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xml:space="preserve">
IV квартал 2023 года,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квартал 2024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квартал 2025 года</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23,6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59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системы перехвата цифрового телерадиовещания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xml:space="preserve">
акимат Карагандинской области </w:t>
            </w:r>
          </w:p>
          <w:bookmarkEnd w:id="12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МБ</w:t>
            </w:r>
          </w:p>
          <w:bookmarkEnd w:id="12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гражданской обороне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запасного пункта управления акима города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xml:space="preserve">
2026 год </w:t>
            </w:r>
          </w:p>
          <w:bookmarkEnd w:id="124"/>
          <w:p>
            <w:pPr>
              <w:spacing w:after="20"/>
              <w:ind w:left="20"/>
              <w:jc w:val="both"/>
            </w:pPr>
            <w:r>
              <w:rPr>
                <w:rFonts w:ascii="Times New Roman"/>
                <w:b w:val="false"/>
                <w:i w:val="false"/>
                <w:color w:val="000000"/>
                <w:sz w:val="20"/>
              </w:rPr>
              <w:t>
–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xml:space="preserve">
2026 год </w:t>
            </w:r>
          </w:p>
          <w:bookmarkEnd w:id="125"/>
          <w:p>
            <w:pPr>
              <w:spacing w:after="20"/>
              <w:ind w:left="20"/>
              <w:jc w:val="both"/>
            </w:pPr>
            <w:r>
              <w:rPr>
                <w:rFonts w:ascii="Times New Roman"/>
                <w:b w:val="false"/>
                <w:i w:val="false"/>
                <w:color w:val="000000"/>
                <w:sz w:val="20"/>
              </w:rPr>
              <w:t>
– 750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подвижного пункта управления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xml:space="preserve">
2026 год </w:t>
            </w:r>
          </w:p>
          <w:bookmarkEnd w:id="126"/>
          <w:p>
            <w:pPr>
              <w:spacing w:after="20"/>
              <w:ind w:left="20"/>
              <w:jc w:val="both"/>
            </w:pPr>
            <w:r>
              <w:rPr>
                <w:rFonts w:ascii="Times New Roman"/>
                <w:b w:val="false"/>
                <w:i w:val="false"/>
                <w:color w:val="000000"/>
                <w:sz w:val="20"/>
              </w:rPr>
              <w:t>
–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средств индивидуальной защиты (противогазы) для гражданского населения, проживающего (подпадающего) в зоне возможного заражения (ежегодно по 50 штук)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приема-передачи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год – </w:t>
            </w:r>
          </w:p>
          <w:p>
            <w:pPr>
              <w:spacing w:after="20"/>
              <w:ind w:left="20"/>
              <w:jc w:val="both"/>
            </w:pPr>
            <w:r>
              <w:rPr>
                <w:rFonts w:ascii="Times New Roman"/>
                <w:b w:val="false"/>
                <w:i w:val="false"/>
                <w:color w:val="000000"/>
                <w:sz w:val="20"/>
              </w:rPr>
              <w:t>IV квартал 2027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xml:space="preserve">
2024 год </w:t>
            </w:r>
          </w:p>
          <w:bookmarkEnd w:id="127"/>
          <w:p>
            <w:pPr>
              <w:spacing w:after="20"/>
              <w:ind w:left="20"/>
              <w:jc w:val="both"/>
            </w:pPr>
            <w:r>
              <w:rPr>
                <w:rFonts w:ascii="Times New Roman"/>
                <w:b w:val="false"/>
                <w:i w:val="false"/>
                <w:color w:val="000000"/>
                <w:sz w:val="20"/>
              </w:rPr>
              <w:t>
– 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bl>
    <w:bookmarkStart w:name="z149" w:id="128"/>
    <w:p>
      <w:pPr>
        <w:spacing w:after="0"/>
        <w:ind w:left="0"/>
        <w:jc w:val="both"/>
      </w:pPr>
      <w:r>
        <w:rPr>
          <w:rFonts w:ascii="Times New Roman"/>
          <w:b w:val="false"/>
          <w:i w:val="false"/>
          <w:color w:val="000000"/>
          <w:sz w:val="28"/>
        </w:rPr>
        <w:t xml:space="preserve">
      Примечания: </w:t>
      </w:r>
    </w:p>
    <w:bookmarkEnd w:id="128"/>
    <w:bookmarkStart w:name="z150" w:id="129"/>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рассмотрены и откорректированы в установленном законодательством порядке при формировании и уточнении республиканского и местных бюджетов на соответствующий плановый период.</w:t>
      </w:r>
    </w:p>
    <w:bookmarkEnd w:id="129"/>
    <w:bookmarkStart w:name="z151" w:id="130"/>
    <w:p>
      <w:pPr>
        <w:spacing w:after="0"/>
        <w:ind w:left="0"/>
        <w:jc w:val="left"/>
      </w:pPr>
      <w:r>
        <w:rPr>
          <w:rFonts w:ascii="Times New Roman"/>
          <w:b/>
          <w:i w:val="false"/>
          <w:color w:val="000000"/>
        </w:rPr>
        <w:t xml:space="preserve"> Объем финансирования по поддержанным проектам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216 884,4</w:t>
            </w:r>
          </w:p>
        </w:tc>
      </w:tr>
    </w:tbl>
    <w:bookmarkStart w:name="z152" w:id="131"/>
    <w:p>
      <w:pPr>
        <w:spacing w:after="0"/>
        <w:ind w:left="0"/>
        <w:jc w:val="both"/>
      </w:pPr>
      <w:r>
        <w:rPr>
          <w:rFonts w:ascii="Times New Roman"/>
          <w:b w:val="false"/>
          <w:i w:val="false"/>
          <w:color w:val="000000"/>
          <w:sz w:val="28"/>
        </w:rPr>
        <w:t>
      расшифровка аббревиатур:</w:t>
      </w:r>
    </w:p>
    <w:bookmarkEnd w:id="131"/>
    <w:bookmarkStart w:name="z153" w:id="132"/>
    <w:p>
      <w:pPr>
        <w:spacing w:after="0"/>
        <w:ind w:left="0"/>
        <w:jc w:val="both"/>
      </w:pPr>
      <w:r>
        <w:rPr>
          <w:rFonts w:ascii="Times New Roman"/>
          <w:b w:val="false"/>
          <w:i w:val="false"/>
          <w:color w:val="000000"/>
          <w:sz w:val="28"/>
        </w:rPr>
        <w:t>
      АО – акционерное общество</w:t>
      </w:r>
    </w:p>
    <w:bookmarkEnd w:id="132"/>
    <w:bookmarkStart w:name="z154" w:id="133"/>
    <w:p>
      <w:pPr>
        <w:spacing w:after="0"/>
        <w:ind w:left="0"/>
        <w:jc w:val="both"/>
      </w:pPr>
      <w:r>
        <w:rPr>
          <w:rFonts w:ascii="Times New Roman"/>
          <w:b w:val="false"/>
          <w:i w:val="false"/>
          <w:color w:val="000000"/>
          <w:sz w:val="28"/>
        </w:rPr>
        <w:t>
      ДИ – другие источники</w:t>
      </w:r>
    </w:p>
    <w:bookmarkEnd w:id="133"/>
    <w:bookmarkStart w:name="z155" w:id="134"/>
    <w:p>
      <w:pPr>
        <w:spacing w:after="0"/>
        <w:ind w:left="0"/>
        <w:jc w:val="both"/>
      </w:pPr>
      <w:r>
        <w:rPr>
          <w:rFonts w:ascii="Times New Roman"/>
          <w:b w:val="false"/>
          <w:i w:val="false"/>
          <w:color w:val="000000"/>
          <w:sz w:val="28"/>
        </w:rPr>
        <w:t>
      ПДП – план детальной планировки</w:t>
      </w:r>
    </w:p>
    <w:bookmarkEnd w:id="134"/>
    <w:bookmarkStart w:name="z156" w:id="135"/>
    <w:p>
      <w:pPr>
        <w:spacing w:after="0"/>
        <w:ind w:left="0"/>
        <w:jc w:val="both"/>
      </w:pPr>
      <w:r>
        <w:rPr>
          <w:rFonts w:ascii="Times New Roman"/>
          <w:b w:val="false"/>
          <w:i w:val="false"/>
          <w:color w:val="000000"/>
          <w:sz w:val="28"/>
        </w:rPr>
        <w:t>
      МИО – местный исполнительный орган</w:t>
      </w:r>
    </w:p>
    <w:bookmarkEnd w:id="135"/>
    <w:bookmarkStart w:name="z157" w:id="136"/>
    <w:p>
      <w:pPr>
        <w:spacing w:after="0"/>
        <w:ind w:left="0"/>
        <w:jc w:val="both"/>
      </w:pPr>
      <w:r>
        <w:rPr>
          <w:rFonts w:ascii="Times New Roman"/>
          <w:b w:val="false"/>
          <w:i w:val="false"/>
          <w:color w:val="000000"/>
          <w:sz w:val="28"/>
        </w:rPr>
        <w:t>
      МБ – местный бюджет</w:t>
      </w:r>
    </w:p>
    <w:bookmarkEnd w:id="136"/>
    <w:bookmarkStart w:name="z158" w:id="137"/>
    <w:p>
      <w:pPr>
        <w:spacing w:after="0"/>
        <w:ind w:left="0"/>
        <w:jc w:val="both"/>
      </w:pPr>
      <w:r>
        <w:rPr>
          <w:rFonts w:ascii="Times New Roman"/>
          <w:b w:val="false"/>
          <w:i w:val="false"/>
          <w:color w:val="000000"/>
          <w:sz w:val="28"/>
        </w:rPr>
        <w:t>
      ПСД – проектно-сметная документация</w:t>
      </w:r>
    </w:p>
    <w:bookmarkEnd w:id="137"/>
    <w:bookmarkStart w:name="z159" w:id="138"/>
    <w:p>
      <w:pPr>
        <w:spacing w:after="0"/>
        <w:ind w:left="0"/>
        <w:jc w:val="both"/>
      </w:pPr>
      <w:r>
        <w:rPr>
          <w:rFonts w:ascii="Times New Roman"/>
          <w:b w:val="false"/>
          <w:i w:val="false"/>
          <w:color w:val="000000"/>
          <w:sz w:val="28"/>
        </w:rPr>
        <w:t>
      ТОО – товарищество с ограниченной ответственностью</w:t>
      </w:r>
    </w:p>
    <w:bookmarkEnd w:id="138"/>
    <w:bookmarkStart w:name="z160" w:id="139"/>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39"/>
    <w:bookmarkStart w:name="z161" w:id="140"/>
    <w:p>
      <w:pPr>
        <w:spacing w:after="0"/>
        <w:ind w:left="0"/>
        <w:jc w:val="both"/>
      </w:pPr>
      <w:r>
        <w:rPr>
          <w:rFonts w:ascii="Times New Roman"/>
          <w:b w:val="false"/>
          <w:i w:val="false"/>
          <w:color w:val="000000"/>
          <w:sz w:val="28"/>
        </w:rPr>
        <w:t>
      РБ – республиканский бюджет</w:t>
      </w:r>
    </w:p>
    <w:bookmarkEnd w:id="140"/>
    <w:bookmarkStart w:name="z162" w:id="141"/>
    <w:p>
      <w:pPr>
        <w:spacing w:after="0"/>
        <w:ind w:left="0"/>
        <w:jc w:val="both"/>
      </w:pPr>
      <w:r>
        <w:rPr>
          <w:rFonts w:ascii="Times New Roman"/>
          <w:b w:val="false"/>
          <w:i w:val="false"/>
          <w:color w:val="000000"/>
          <w:sz w:val="28"/>
        </w:rPr>
        <w:t>
      РЛС – радиолокационная станция</w:t>
      </w:r>
    </w:p>
    <w:bookmarkEnd w:id="141"/>
    <w:bookmarkStart w:name="z163" w:id="142"/>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42"/>
    <w:bookmarkStart w:name="z164" w:id="14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43"/>
    <w:bookmarkStart w:name="z165" w:id="144"/>
    <w:p>
      <w:pPr>
        <w:spacing w:after="0"/>
        <w:ind w:left="0"/>
        <w:jc w:val="both"/>
      </w:pPr>
      <w:r>
        <w:rPr>
          <w:rFonts w:ascii="Times New Roman"/>
          <w:b w:val="false"/>
          <w:i w:val="false"/>
          <w:color w:val="000000"/>
          <w:sz w:val="28"/>
        </w:rPr>
        <w:t>
      МЭ – Министерство энергетики Республики Казахстан</w:t>
      </w:r>
    </w:p>
    <w:bookmarkEnd w:id="144"/>
    <w:bookmarkStart w:name="z166" w:id="145"/>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