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02e7" w14:textId="78f0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Лисаковска Костанайской области на 2023 – 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2023 года № 735. Утратило силу постановлением Правительства Республики Казахстан от 18 марта 2026 года № 180.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18.03.2026№ </w:t>
      </w:r>
      <w:r>
        <w:rPr>
          <w:rFonts w:ascii="Times New Roman"/>
          <w:b w:val="false"/>
          <w:i w:val="false"/>
          <w:color w:val="ff0000"/>
          <w:sz w:val="28"/>
        </w:rPr>
        <w:t>180</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В целях улучшения социально-экономического развития города Лисаковска Костанайской области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Лисаковска Костанайской области на 2023 – 2027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и акимату Костанайской области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1"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социально-экономического развития города Лисаковска Костанайской области на 2023 – 2027 годы</w:t>
      </w:r>
    </w:p>
    <w:bookmarkEnd w:id="6"/>
    <w:bookmarkStart w:name="z12" w:id="7"/>
    <w:p>
      <w:pPr>
        <w:spacing w:after="0"/>
        <w:ind w:left="0"/>
        <w:jc w:val="both"/>
      </w:pPr>
      <w:r>
        <w:rPr>
          <w:rFonts w:ascii="Times New Roman"/>
          <w:b w:val="false"/>
          <w:i w:val="false"/>
          <w:color w:val="000000"/>
          <w:sz w:val="28"/>
        </w:rPr>
        <w:t>
      Город Лисаковск образован в 1971 году на базе Лисаковского горно-обогатительного комбината, расположен в верховье реки Тобол, в 18 километрах южнее крупного железнодорожного узла – станции Тобол, в 120 километрах юго-западнее от областного центра города Костаная и 70 километрах от границы с Российской Федерацией. Административно-территориальная площадь города – 0,1 тысячи квадратных километров. К административной территории города Лисаковска относятся: город Лисаковск, посҰлок Октябрьский.</w:t>
      </w:r>
    </w:p>
    <w:bookmarkEnd w:id="7"/>
    <w:bookmarkStart w:name="z13" w:id="8"/>
    <w:p>
      <w:pPr>
        <w:spacing w:after="0"/>
        <w:ind w:left="0"/>
        <w:jc w:val="both"/>
      </w:pPr>
      <w:r>
        <w:rPr>
          <w:rFonts w:ascii="Times New Roman"/>
          <w:b w:val="false"/>
          <w:i w:val="false"/>
          <w:color w:val="000000"/>
          <w:sz w:val="28"/>
        </w:rPr>
        <w:t>
      В четырех километрах от города находится автомобильная дорога "Костанай – Карабутак", посредством которой осуществляется транспортная связь с Центральным и Южным Казахстаном, Российской Федерацией.</w:t>
      </w:r>
    </w:p>
    <w:bookmarkEnd w:id="8"/>
    <w:bookmarkStart w:name="z14" w:id="9"/>
    <w:p>
      <w:pPr>
        <w:spacing w:after="0"/>
        <w:ind w:left="0"/>
        <w:jc w:val="both"/>
      </w:pPr>
      <w:r>
        <w:rPr>
          <w:rFonts w:ascii="Times New Roman"/>
          <w:b w:val="false"/>
          <w:i w:val="false"/>
          <w:color w:val="000000"/>
          <w:sz w:val="28"/>
        </w:rPr>
        <w:t>
      Железнодорожная связь с Россией, регионами Центральной Азии и Китаем осуществляется через станции Майлина и Тобол по Южно-Сибирской магистрали.</w:t>
      </w:r>
    </w:p>
    <w:bookmarkEnd w:id="9"/>
    <w:bookmarkStart w:name="z15" w:id="10"/>
    <w:p>
      <w:pPr>
        <w:spacing w:after="0"/>
        <w:ind w:left="0"/>
        <w:jc w:val="both"/>
      </w:pPr>
      <w:r>
        <w:rPr>
          <w:rFonts w:ascii="Times New Roman"/>
          <w:b w:val="false"/>
          <w:i w:val="false"/>
          <w:color w:val="000000"/>
          <w:sz w:val="28"/>
        </w:rPr>
        <w:t>
      Город Лисаковск (далее – город) имеет высокий трудовой, природоресурсный, производственный потенциал.</w:t>
      </w:r>
    </w:p>
    <w:bookmarkEnd w:id="10"/>
    <w:bookmarkStart w:name="z16" w:id="11"/>
    <w:p>
      <w:pPr>
        <w:spacing w:after="0"/>
        <w:ind w:left="0"/>
        <w:jc w:val="both"/>
      </w:pPr>
      <w:r>
        <w:rPr>
          <w:rFonts w:ascii="Times New Roman"/>
          <w:b w:val="false"/>
          <w:i w:val="false"/>
          <w:color w:val="000000"/>
          <w:sz w:val="28"/>
        </w:rPr>
        <w:t>
      Недра города представлены запасами железных руд, бокситов, редких металлов, строительных материалов, подземных вод.</w:t>
      </w:r>
    </w:p>
    <w:bookmarkEnd w:id="11"/>
    <w:bookmarkStart w:name="z17" w:id="12"/>
    <w:p>
      <w:pPr>
        <w:spacing w:after="0"/>
        <w:ind w:left="0"/>
        <w:jc w:val="both"/>
      </w:pPr>
      <w:r>
        <w:rPr>
          <w:rFonts w:ascii="Times New Roman"/>
          <w:b w:val="false"/>
          <w:i w:val="false"/>
          <w:color w:val="000000"/>
          <w:sz w:val="28"/>
        </w:rPr>
        <w:t xml:space="preserve">
      Ведущая роль в экономике городской администрации принадлежит промышленному сектору, в котором сосредоточено 3,3 % всего промышленного производства области, это пятое место среди регионов области. </w:t>
      </w:r>
    </w:p>
    <w:bookmarkEnd w:id="12"/>
    <w:bookmarkStart w:name="z18" w:id="13"/>
    <w:p>
      <w:pPr>
        <w:spacing w:after="0"/>
        <w:ind w:left="0"/>
        <w:jc w:val="both"/>
      </w:pPr>
      <w:r>
        <w:rPr>
          <w:rFonts w:ascii="Times New Roman"/>
          <w:b w:val="false"/>
          <w:i w:val="false"/>
          <w:color w:val="000000"/>
          <w:sz w:val="28"/>
        </w:rPr>
        <w:t>
      Промышленный сектор представлен: горнодобывающей и обрабатывающей промышленностью, производством и распределением теплоэнергии, электроэнергии и воды.</w:t>
      </w:r>
    </w:p>
    <w:bookmarkEnd w:id="13"/>
    <w:bookmarkStart w:name="z19" w:id="14"/>
    <w:p>
      <w:pPr>
        <w:spacing w:after="0"/>
        <w:ind w:left="0"/>
        <w:jc w:val="both"/>
      </w:pPr>
      <w:r>
        <w:rPr>
          <w:rFonts w:ascii="Times New Roman"/>
          <w:b w:val="false"/>
          <w:i w:val="false"/>
          <w:color w:val="000000"/>
          <w:sz w:val="28"/>
        </w:rPr>
        <w:t>
      Горнодобывающая промышленность определяет общее состояние экономики городской администрации (74,2 %) и обеспечивает существенную долю в структуре промышленного производства.</w:t>
      </w:r>
    </w:p>
    <w:bookmarkEnd w:id="14"/>
    <w:bookmarkStart w:name="z20" w:id="15"/>
    <w:p>
      <w:pPr>
        <w:spacing w:after="0"/>
        <w:ind w:left="0"/>
        <w:jc w:val="both"/>
      </w:pPr>
      <w:r>
        <w:rPr>
          <w:rFonts w:ascii="Times New Roman"/>
          <w:b w:val="false"/>
          <w:i w:val="false"/>
          <w:color w:val="000000"/>
          <w:sz w:val="28"/>
        </w:rPr>
        <w:t>
      Основу промышленности составляют предприятия горнодобывающей промышленности: филиал акционерного общества "Алюминий Казахстана" Краснооктябрьское бокситовое рудоуправление" и Лисаковский филиал ТОО "Оркен", которые обеспечивают основное развитие экономики города.</w:t>
      </w:r>
    </w:p>
    <w:bookmarkEnd w:id="15"/>
    <w:bookmarkStart w:name="z21" w:id="16"/>
    <w:p>
      <w:pPr>
        <w:spacing w:after="0"/>
        <w:ind w:left="0"/>
        <w:jc w:val="both"/>
      </w:pPr>
      <w:r>
        <w:rPr>
          <w:rFonts w:ascii="Times New Roman"/>
          <w:b w:val="false"/>
          <w:i w:val="false"/>
          <w:color w:val="000000"/>
          <w:sz w:val="28"/>
        </w:rPr>
        <w:t xml:space="preserve">
      Обрабатывающая промышленность представлена следующими важнейшими видами продукции, где наблюдается положительная динамика за последние 2019 – 2022 годы, в том числе: производство молока сгущенного (ЛФ ТОО "Деп"), пива (ТОО "Алтын Омир"), пленки полиэтиленовой (ТОО "Спутник-1"), металлоконструкций (ТОО "ЭксклюзивСтрой"). </w:t>
      </w:r>
    </w:p>
    <w:bookmarkEnd w:id="16"/>
    <w:bookmarkStart w:name="z22" w:id="17"/>
    <w:p>
      <w:pPr>
        <w:spacing w:after="0"/>
        <w:ind w:left="0"/>
        <w:jc w:val="both"/>
      </w:pPr>
      <w:r>
        <w:rPr>
          <w:rFonts w:ascii="Times New Roman"/>
          <w:b w:val="false"/>
          <w:i w:val="false"/>
          <w:color w:val="000000"/>
          <w:sz w:val="28"/>
        </w:rPr>
        <w:t>
      В секторе машиностроения –это производство и транспортировка жаток, производство тележек (ТОО "Дон Мар").</w:t>
      </w:r>
    </w:p>
    <w:bookmarkEnd w:id="17"/>
    <w:bookmarkStart w:name="z23" w:id="18"/>
    <w:p>
      <w:pPr>
        <w:spacing w:after="0"/>
        <w:ind w:left="0"/>
        <w:jc w:val="both"/>
      </w:pPr>
      <w:r>
        <w:rPr>
          <w:rFonts w:ascii="Times New Roman"/>
          <w:b w:val="false"/>
          <w:i w:val="false"/>
          <w:color w:val="000000"/>
          <w:sz w:val="28"/>
        </w:rPr>
        <w:t>
      Пользуется спросом продукция предприятий, введенных в рамках Карты индустриализации (производство бумаги для гофрирования – ТОО "ЛисБум.kz", производство лотков для яиц–ТОО "Картонно-бумажный комбинат-2015").</w:t>
      </w:r>
    </w:p>
    <w:bookmarkEnd w:id="18"/>
    <w:bookmarkStart w:name="z24" w:id="19"/>
    <w:p>
      <w:pPr>
        <w:spacing w:after="0"/>
        <w:ind w:left="0"/>
        <w:jc w:val="both"/>
      </w:pPr>
      <w:r>
        <w:rPr>
          <w:rFonts w:ascii="Times New Roman"/>
          <w:b w:val="false"/>
          <w:i w:val="false"/>
          <w:color w:val="000000"/>
          <w:sz w:val="28"/>
        </w:rPr>
        <w:t>
      Доля обрабатывающей промышленности в общем объеме промышленного потенциала городской администрации за 2022 год составила 20,6 %.</w:t>
      </w:r>
    </w:p>
    <w:bookmarkEnd w:id="19"/>
    <w:bookmarkStart w:name="z25" w:id="20"/>
    <w:p>
      <w:pPr>
        <w:spacing w:after="0"/>
        <w:ind w:left="0"/>
        <w:jc w:val="both"/>
      </w:pPr>
      <w:r>
        <w:rPr>
          <w:rFonts w:ascii="Times New Roman"/>
          <w:b w:val="false"/>
          <w:i w:val="false"/>
          <w:color w:val="000000"/>
          <w:sz w:val="28"/>
        </w:rPr>
        <w:t>
      По итогам 2022 года объем производства промышленной продукции составил 85,3 миллиарда тенге, что выше уровня 2021 года на 3,7 % (2021 год – 82,2 миллиарда тенге), инвестиции в основной капитал составили 28,2 миллиарда тенге, что выше уровня 2021 года на 15,1 % (2021 год – 23,2 миллиарда тенге).</w:t>
      </w:r>
    </w:p>
    <w:bookmarkEnd w:id="20"/>
    <w:bookmarkStart w:name="z26" w:id="21"/>
    <w:p>
      <w:pPr>
        <w:spacing w:after="0"/>
        <w:ind w:left="0"/>
        <w:jc w:val="both"/>
      </w:pPr>
      <w:r>
        <w:rPr>
          <w:rFonts w:ascii="Times New Roman"/>
          <w:b w:val="false"/>
          <w:i w:val="false"/>
          <w:color w:val="000000"/>
          <w:sz w:val="28"/>
        </w:rPr>
        <w:t xml:space="preserve">
      Уровень безработицы по итогам 2022 года составил 4,9%, уровень молодежной безработицы – 3,2 %. Рабочая сила составляет 19,7 тысячи человек, из них: занятое население 95,1 % или 18,8 тысячи человек, безработное население – 4,9 % или 966 человек. </w:t>
      </w:r>
    </w:p>
    <w:bookmarkEnd w:id="21"/>
    <w:bookmarkStart w:name="z27" w:id="22"/>
    <w:p>
      <w:pPr>
        <w:spacing w:after="0"/>
        <w:ind w:left="0"/>
        <w:jc w:val="both"/>
      </w:pPr>
      <w:r>
        <w:rPr>
          <w:rFonts w:ascii="Times New Roman"/>
          <w:b w:val="false"/>
          <w:i w:val="false"/>
          <w:color w:val="000000"/>
          <w:sz w:val="28"/>
        </w:rPr>
        <w:t>
      В сфере здравоохранения общая смертность за 2022 год составила 349 человек (10,6 случаев на 1000 человек населения), детская смертность – 3 человека (9,1 случаев на 1000 человек населения), материнская смертность отсутствует.</w:t>
      </w:r>
    </w:p>
    <w:bookmarkEnd w:id="22"/>
    <w:bookmarkStart w:name="z28" w:id="23"/>
    <w:p>
      <w:pPr>
        <w:spacing w:after="0"/>
        <w:ind w:left="0"/>
        <w:jc w:val="both"/>
      </w:pPr>
      <w:r>
        <w:rPr>
          <w:rFonts w:ascii="Times New Roman"/>
          <w:b w:val="false"/>
          <w:i w:val="false"/>
          <w:color w:val="000000"/>
          <w:sz w:val="28"/>
        </w:rPr>
        <w:t>
      В 2022 году завершено строительство 9-ти этажного арендного жилого дома на 105 квартир по адресу: 7-й микрорайон дом 10. Квартиры были распределены среди социально уязвимых слоев населения, в том числе многодетных семей – 26 квартир, инвалидов 1 и 2 группы – 7 квартир, семей, воспитывающих детей инвалидов, – 1 квартира, неполных семей – 43 квартиры, пенсионеров по возрасту – 5 квартир, детей-сирот и детей, оставшихся без попечения родителей, – 20 квартир. Оставшиеся 3 квартиры будут распределены в порядке очередности.</w:t>
      </w:r>
    </w:p>
    <w:bookmarkEnd w:id="23"/>
    <w:bookmarkStart w:name="z29" w:id="24"/>
    <w:p>
      <w:pPr>
        <w:spacing w:after="0"/>
        <w:ind w:left="0"/>
        <w:jc w:val="both"/>
      </w:pPr>
      <w:r>
        <w:rPr>
          <w:rFonts w:ascii="Times New Roman"/>
          <w:b w:val="false"/>
          <w:i w:val="false"/>
          <w:color w:val="000000"/>
          <w:sz w:val="28"/>
        </w:rPr>
        <w:t>
      При этом имеются проблемы, решение которых необходимо в ближайший период:</w:t>
      </w:r>
    </w:p>
    <w:bookmarkEnd w:id="24"/>
    <w:bookmarkStart w:name="z30" w:id="25"/>
    <w:p>
      <w:pPr>
        <w:spacing w:after="0"/>
        <w:ind w:left="0"/>
        <w:jc w:val="both"/>
      </w:pPr>
      <w:r>
        <w:rPr>
          <w:rFonts w:ascii="Times New Roman"/>
          <w:b w:val="false"/>
          <w:i w:val="false"/>
          <w:color w:val="000000"/>
          <w:sz w:val="28"/>
        </w:rPr>
        <w:t>
      В настоящее время разработана проектно-сметная документация по прокладке инженерных сетей и газопровода в 15-м микрорайоне города, но ввиду отсутствия проекта детальной планировки получена отрицательная госэкспертиза по обоим проектам. Данная проблема также оказывает влияние на очередность в предоставлении земельных участков, которая на сегодняшний день составляет 156 человек по городу.</w:t>
      </w:r>
    </w:p>
    <w:bookmarkEnd w:id="25"/>
    <w:bookmarkStart w:name="z31" w:id="26"/>
    <w:p>
      <w:pPr>
        <w:spacing w:after="0"/>
        <w:ind w:left="0"/>
        <w:jc w:val="both"/>
      </w:pPr>
      <w:r>
        <w:rPr>
          <w:rFonts w:ascii="Times New Roman"/>
          <w:b w:val="false"/>
          <w:i w:val="false"/>
          <w:color w:val="000000"/>
          <w:sz w:val="28"/>
        </w:rPr>
        <w:t>
      Немаловажным является и то, что законодательство запрещает предоставление земельных участков без соответствующих проектных документов. На сегодняшний день генеральный план поселка Октябрьский, разработанный в 1993 году, потерял свою актуальность.</w:t>
      </w:r>
    </w:p>
    <w:bookmarkEnd w:id="26"/>
    <w:bookmarkStart w:name="z32" w:id="27"/>
    <w:p>
      <w:pPr>
        <w:spacing w:after="0"/>
        <w:ind w:left="0"/>
        <w:jc w:val="both"/>
      </w:pPr>
      <w:r>
        <w:rPr>
          <w:rFonts w:ascii="Times New Roman"/>
          <w:b w:val="false"/>
          <w:i w:val="false"/>
          <w:color w:val="000000"/>
          <w:sz w:val="28"/>
        </w:rPr>
        <w:t>
      2. Последние 7 лет наблюдается тенденция постепенного оттока населения. Численность населения города с 2016 года сократилась на 4360 человек и составила на 1 января 2023 года 34774 человека, что ниже уровня прошлого года (на 1 января 2022 года – 39134 человека). В основном идет отток молодежи, поскольку молодые люди трудоспособного возраста стремятся в областные центры, в мегаполисы как Республики Казахстан, так и Российской Федерации. Открытие новых производств позволит создать новые рабочие места и тем самым сохранить рабочую силу в лице молодежи.</w:t>
      </w:r>
    </w:p>
    <w:bookmarkEnd w:id="27"/>
    <w:bookmarkStart w:name="z33" w:id="28"/>
    <w:p>
      <w:pPr>
        <w:spacing w:after="0"/>
        <w:ind w:left="0"/>
        <w:jc w:val="both"/>
      </w:pPr>
      <w:r>
        <w:rPr>
          <w:rFonts w:ascii="Times New Roman"/>
          <w:b w:val="false"/>
          <w:i w:val="false"/>
          <w:color w:val="000000"/>
          <w:sz w:val="28"/>
        </w:rPr>
        <w:t xml:space="preserve">
      3. Существует проблема самостоятельного трудоустройства лиц предпенсионного возраста в силу возрастных ограничений, выпускников учебных заведений в связи с отсутствием практического опыта работы, безработных граждан в связи с низкой квалификацией образования. </w:t>
      </w:r>
    </w:p>
    <w:bookmarkEnd w:id="28"/>
    <w:bookmarkStart w:name="z34" w:id="29"/>
    <w:p>
      <w:pPr>
        <w:spacing w:after="0"/>
        <w:ind w:left="0"/>
        <w:jc w:val="both"/>
      </w:pPr>
      <w:r>
        <w:rPr>
          <w:rFonts w:ascii="Times New Roman"/>
          <w:b w:val="false"/>
          <w:i w:val="false"/>
          <w:color w:val="000000"/>
          <w:sz w:val="28"/>
        </w:rPr>
        <w:t>
      Запланированы работы по организации молодежной практики, частичному субсидированию заработной платы, организации первого рабочего места, рабочего места в рамках проекта "Серебряный возраст", общественных рабочих мест для безработных граждан, рабочего места в рамках программы "Контракт поколений". В планах предоставление государственных грантов для реализации новых бизнес-идей до 400 МРП.</w:t>
      </w:r>
    </w:p>
    <w:bookmarkEnd w:id="29"/>
    <w:bookmarkStart w:name="z35" w:id="30"/>
    <w:p>
      <w:pPr>
        <w:spacing w:after="0"/>
        <w:ind w:left="0"/>
        <w:jc w:val="both"/>
      </w:pPr>
      <w:r>
        <w:rPr>
          <w:rFonts w:ascii="Times New Roman"/>
          <w:b w:val="false"/>
          <w:i w:val="false"/>
          <w:color w:val="000000"/>
          <w:sz w:val="28"/>
        </w:rPr>
        <w:t>
      Активные меры содействия занятости позволят трудоустроить выпускников учебных заведений, молодежь категории NEET, безработных граждан, в том числе лиц предпенсионного возраста, обеспечить охват населения активными мерами занятости ежегодно не менее 1064 человек.</w:t>
      </w:r>
    </w:p>
    <w:bookmarkEnd w:id="30"/>
    <w:bookmarkStart w:name="z36" w:id="31"/>
    <w:p>
      <w:pPr>
        <w:spacing w:after="0"/>
        <w:ind w:left="0"/>
        <w:jc w:val="both"/>
      </w:pPr>
      <w:r>
        <w:rPr>
          <w:rFonts w:ascii="Times New Roman"/>
          <w:b w:val="false"/>
          <w:i w:val="false"/>
          <w:color w:val="000000"/>
          <w:sz w:val="28"/>
        </w:rPr>
        <w:t xml:space="preserve">
      4. Не менее важный вопрос касается творческого развития молодого подрастающего поколения, а именно строительства Дворца школьников. Надо отметить, что в городе нет отдельно стоящего здания художественной школы, музыкальной школы (музыкальная школа занимает 3 этаж в средней школе № 1, художественная школа занимает часть 4-го этажа в межшкольном учебно-производственном комбинате). ГККП "Центр детского и юношеского творчества", где обучается около 2000 детей по 3 направлениям (эколого-биологическое, нравственно-эстетическое, спортивно-техническое) в 40 кружках, также не имеет собственного помещения, располагается в здании Дома культуры "Городской центр культуры и спорта". </w:t>
      </w:r>
    </w:p>
    <w:bookmarkEnd w:id="31"/>
    <w:bookmarkStart w:name="z37" w:id="32"/>
    <w:p>
      <w:pPr>
        <w:spacing w:after="0"/>
        <w:ind w:left="0"/>
        <w:jc w:val="both"/>
      </w:pPr>
      <w:r>
        <w:rPr>
          <w:rFonts w:ascii="Times New Roman"/>
          <w:b w:val="false"/>
          <w:i w:val="false"/>
          <w:color w:val="000000"/>
          <w:sz w:val="28"/>
        </w:rPr>
        <w:t>
      В центре города имеется недостроенное здание, принадлежащее ТОО "Арай-Холдинг". Отчуждение данного земельного участка с имеющимся на нем недостроенным зданием в коммунальную собственность с дальнейшей реконструкцией улучшит архитектурный облик города, позволит открыть новый современный Дворец школьников, отвечающий требованиям учебного процесса, и создаст хорошие условия детям, получающим услуги дополнительного образования.</w:t>
      </w:r>
    </w:p>
    <w:bookmarkEnd w:id="32"/>
    <w:bookmarkStart w:name="z38" w:id="33"/>
    <w:p>
      <w:pPr>
        <w:spacing w:after="0"/>
        <w:ind w:left="0"/>
        <w:jc w:val="both"/>
      </w:pPr>
      <w:r>
        <w:rPr>
          <w:rFonts w:ascii="Times New Roman"/>
          <w:b w:val="false"/>
          <w:i w:val="false"/>
          <w:color w:val="000000"/>
          <w:sz w:val="28"/>
        </w:rPr>
        <w:t>
      5. Острой проблемой для городской больницы остается кадровое обеспечение. Укомплектованность врачами составляет 90 % (в 2021 году– 86 %), средним медицинским персоналом 84,1 % (в 2021 году– 92 %). В больнице работает 390 человек, в том числе 66 врачей (в 2021 году – 67 врачей) и 159 работников со средним медицинским образованием. На постоянной основе ведется работа городской больницы с выпускниками медицинских вузов о привлечении медицинских кадров в город. Комплексные меры по привлечению квалифицированных специалистов включают в себя предоставление арендного жилья. В этой связи в настоящее время реализуется проект "Реконструкция части здания под арендные жилые помещения по адресу: Костанайская область, город Лисаковск, микрорайон Больничный комплекс, здание 4А". Будет реконструировано 12 квартир, что позволит обеспечить вновь прибывших медработников жильем.</w:t>
      </w:r>
    </w:p>
    <w:bookmarkEnd w:id="33"/>
    <w:bookmarkStart w:name="z39" w:id="34"/>
    <w:p>
      <w:pPr>
        <w:spacing w:after="0"/>
        <w:ind w:left="0"/>
        <w:jc w:val="both"/>
      </w:pPr>
      <w:r>
        <w:rPr>
          <w:rFonts w:ascii="Times New Roman"/>
          <w:b w:val="false"/>
          <w:i w:val="false"/>
          <w:color w:val="000000"/>
          <w:sz w:val="28"/>
        </w:rPr>
        <w:t>
      6. Несмотря на то, что город отличается развитой спортивной инфраструктурой, существует дефицит универсальных спортивных залов для удовлетворения полной потребности населения физической культурой и спортом. В городе имеется большой потенциал развития таких видов спорта, как бокс, борьба всех видов (казак куресы, дзюдо, самбо, вольная борьба), футбол, волейбол, баскетбол, также существует потребность в современном фитнес-зале для жителей города.</w:t>
      </w:r>
    </w:p>
    <w:bookmarkEnd w:id="34"/>
    <w:bookmarkStart w:name="z40" w:id="35"/>
    <w:p>
      <w:pPr>
        <w:spacing w:after="0"/>
        <w:ind w:left="0"/>
        <w:jc w:val="both"/>
      </w:pPr>
      <w:r>
        <w:rPr>
          <w:rFonts w:ascii="Times New Roman"/>
          <w:b w:val="false"/>
          <w:i w:val="false"/>
          <w:color w:val="000000"/>
          <w:sz w:val="28"/>
        </w:rPr>
        <w:t>
      7. В городе ведется активная работа по реконструкции и строительству инженерных сетей. За последние три года произведен ремонт инженерных сетей на общую сумму 3,5 миллиарда тенге, это порядка 25 километров сетей. Планомерно разрабатывается проектно-сметная документация на перспективу. Однако инженерные сети города имеют высокий процент износа. На сегодняшний день износ водопроводных сетей составляет 37 %, тепловых сетей – 41 %, канализационных сетей – 49,5 %, электросетей – 45,9 %. Вопрос о состоянии жилищно-коммунальной инфраструктуры города находится на постоянном контроле. Работа в данном направлении обеспечит бесперебойное снабжение населения города всеми видами коммунальных услуг.</w:t>
      </w:r>
    </w:p>
    <w:bookmarkEnd w:id="35"/>
    <w:bookmarkStart w:name="z41" w:id="36"/>
    <w:p>
      <w:pPr>
        <w:spacing w:after="0"/>
        <w:ind w:left="0"/>
        <w:jc w:val="both"/>
      </w:pPr>
      <w:r>
        <w:rPr>
          <w:rFonts w:ascii="Times New Roman"/>
          <w:b w:val="false"/>
          <w:i w:val="false"/>
          <w:color w:val="000000"/>
          <w:sz w:val="28"/>
        </w:rPr>
        <w:t>
      8. Общая протяженность дорог города и поселка Октябрьский составляет 96 километров. Доля дорог в хорошем состоянии составляет 71,7 %, в удовлетворительном – 8,1 %. За последние три года отремонтировано около 9 километров дорог на общую сумму 776,3 миллиона тенге. На сегодняшний день ещҰ 20,2 % доли дорог находится в неудовлетворительном состоянии.</w:t>
      </w:r>
    </w:p>
    <w:bookmarkEnd w:id="36"/>
    <w:p>
      <w:pPr>
        <w:spacing w:after="0"/>
        <w:ind w:left="0"/>
        <w:jc w:val="both"/>
      </w:pPr>
      <w:bookmarkStart w:name="z42" w:id="37"/>
      <w:r>
        <w:rPr>
          <w:rFonts w:ascii="Times New Roman"/>
          <w:b w:val="false"/>
          <w:i w:val="false"/>
          <w:color w:val="000000"/>
          <w:sz w:val="28"/>
        </w:rPr>
        <w:t xml:space="preserve">
      9. За последние три года в городе построено 2 многоэтажных дома, идет строительство еще одного девятиэтажного дома на 105 квартир, но проблема сокращения очередности на жилье не теряет своей актуальности. По состоянию на </w:t>
      </w:r>
    </w:p>
    <w:bookmarkEnd w:id="37"/>
    <w:p>
      <w:pPr>
        <w:spacing w:after="0"/>
        <w:ind w:left="0"/>
        <w:jc w:val="both"/>
      </w:pPr>
      <w:r>
        <w:rPr>
          <w:rFonts w:ascii="Times New Roman"/>
          <w:b w:val="false"/>
          <w:i w:val="false"/>
          <w:color w:val="000000"/>
          <w:sz w:val="28"/>
        </w:rPr>
        <w:t>1 января 2023 года очередность на получение жилья составляет 606 человек, в том числе: работники бюджетных организаций, государственные служащие – 145, дети-сироты и дети, оставшиеся без попечения родителей, – 136, социально уязвимые слои населения – 294, из них 31 многодетная семья.</w:t>
      </w:r>
    </w:p>
    <w:bookmarkStart w:name="z43" w:id="38"/>
    <w:p>
      <w:pPr>
        <w:spacing w:after="0"/>
        <w:ind w:left="0"/>
        <w:jc w:val="both"/>
      </w:pPr>
      <w:r>
        <w:rPr>
          <w:rFonts w:ascii="Times New Roman"/>
          <w:b w:val="false"/>
          <w:i w:val="false"/>
          <w:color w:val="000000"/>
          <w:sz w:val="28"/>
        </w:rPr>
        <w:t>
      10. В городе на сегодняшний день имеется 113 камер видеонаблюдения с выводом в дежурную часть. Имеющееся количество камер не в полной мере позволяет охватить территорию города видеонаблюдением.</w:t>
      </w:r>
    </w:p>
    <w:bookmarkEnd w:id="38"/>
    <w:bookmarkStart w:name="z44" w:id="39"/>
    <w:p>
      <w:pPr>
        <w:spacing w:after="0"/>
        <w:ind w:left="0"/>
        <w:jc w:val="both"/>
      </w:pPr>
      <w:r>
        <w:rPr>
          <w:rFonts w:ascii="Times New Roman"/>
          <w:b w:val="false"/>
          <w:i w:val="false"/>
          <w:color w:val="000000"/>
          <w:sz w:val="28"/>
        </w:rPr>
        <w:t xml:space="preserve">
      Помимо этого, Комплексный план включает в себя организацию убежищ, отнесенных к категории гражданской обороны, продолжающих работу в военное время. Существующие убежища находятся в неудовлетворительном состоянии. В последующий пятилетний период необходимо привести их в соответствие. </w:t>
      </w:r>
    </w:p>
    <w:bookmarkEnd w:id="39"/>
    <w:bookmarkStart w:name="z45" w:id="40"/>
    <w:p>
      <w:pPr>
        <w:spacing w:after="0"/>
        <w:ind w:left="0"/>
        <w:jc w:val="both"/>
      </w:pPr>
      <w:r>
        <w:rPr>
          <w:rFonts w:ascii="Times New Roman"/>
          <w:b w:val="false"/>
          <w:i w:val="false"/>
          <w:color w:val="000000"/>
          <w:sz w:val="28"/>
        </w:rPr>
        <w:t>
      В случае возникновения чрезвычайных ситуаций самым главным является своевременное оповещение людей, жизнь и здоровье которых окажутся под угрозой. Внедрение городского пульта управления системой оповещения в городе позволит заранее предупредить людей об опасности. Также существует необходимость в создании городского запасного пункта управления акима города (на базе противорадиационного укрытия), который даст возможность размещения оперативных групп при организации управления в усиленных режимах функционирования, а в военное время – повышения устойчивости управления.</w:t>
      </w:r>
    </w:p>
    <w:bookmarkEnd w:id="40"/>
    <w:bookmarkStart w:name="z46" w:id="41"/>
    <w:p>
      <w:pPr>
        <w:spacing w:after="0"/>
        <w:ind w:left="0"/>
        <w:jc w:val="both"/>
      </w:pPr>
      <w:r>
        <w:rPr>
          <w:rFonts w:ascii="Times New Roman"/>
          <w:b w:val="false"/>
          <w:i w:val="false"/>
          <w:color w:val="000000"/>
          <w:sz w:val="28"/>
        </w:rPr>
        <w:t xml:space="preserve">
      11. Повсеместной проблемой не только для города, но и для многих городов Казахстана являются стихийные несанкционированные свалки. Если мусор своевременно не убирается, размеры этих свалок растут ускоренными темпами. Такие скопления отходов влияют на экологическое состояние окружающей среды, здоровье людей, провоцируют опасные болезни аллергического характера, приводят к распространению инфекционных и даже онкологических заболеваний. Данный вопрос находится на особом контроле у руководства города, проводятся общегородские субботники, всевозможные экологические проекты. </w:t>
      </w:r>
    </w:p>
    <w:bookmarkEnd w:id="41"/>
    <w:bookmarkStart w:name="z47" w:id="42"/>
    <w:p>
      <w:pPr>
        <w:spacing w:after="0"/>
        <w:ind w:left="0"/>
        <w:jc w:val="both"/>
      </w:pPr>
      <w:r>
        <w:rPr>
          <w:rFonts w:ascii="Times New Roman"/>
          <w:b w:val="false"/>
          <w:i w:val="false"/>
          <w:color w:val="000000"/>
          <w:sz w:val="28"/>
        </w:rPr>
        <w:t xml:space="preserve">
      Без внимания не остаются озеленение и посадка деревьев на территории города и поселка Октябрьский. Озеленение города — очень важный вопрос, нацеленный на улучшение его внешнего вида и экологического состояния. Древесные растения, кустарники и травы оказывают благоприятное влияние на очищение атмосферного воздуха от химического загрязнения, снижение уровня шума, ветрозащиту и пылеподавление. Ежегодно осуществляется высадка саженцев в количестве около 1000 штук.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сполнения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3"/>
          <w:p>
            <w:pPr>
              <w:spacing w:after="20"/>
              <w:ind w:left="20"/>
              <w:jc w:val="both"/>
            </w:pPr>
            <w:r>
              <w:rPr>
                <w:rFonts w:ascii="Times New Roman"/>
                <w:b w:val="false"/>
                <w:i w:val="false"/>
                <w:color w:val="000000"/>
                <w:sz w:val="20"/>
              </w:rPr>
              <w:t>
1</w:t>
            </w:r>
          </w:p>
          <w:bookmarkEnd w:id="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Ожидаемые результаты: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Важнейшим результатом реализации Комплексного плана в регионе является создание динамично развивающейся, сбалансированной и конкурентоспособной экономики, обеспечивающей высокий уровень благосостояния населения.</w:t>
            </w:r>
          </w:p>
          <w:p>
            <w:pPr>
              <w:spacing w:after="20"/>
              <w:ind w:left="20"/>
              <w:jc w:val="both"/>
            </w:pPr>
            <w:r>
              <w:rPr>
                <w:rFonts w:ascii="Times New Roman"/>
                <w:b w:val="false"/>
                <w:i w:val="false"/>
                <w:color w:val="000000"/>
                <w:sz w:val="20"/>
              </w:rPr>
              <w:t>
Решение ключевых социально-экономических проблем города и повышение на этой основе уровня жизни населения, развитие производственного, трудового и интеллектуального потенциала.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предусмотренные Комплексным планом в рамках планирования городской среды, позволят обеспечить инженерно-коммуникационной инфраструктурой 156 земельных участков города, а также сократить очередность на предоставление земли как в городе, так и поселке Октябрьский.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реализации новых инвестиционных проектов объем промышленного производства к концу 2027 года составит не менее 126 миллиардов тенге. Сумма инвестиций в основной капитал за 5 лет составит более 40 миллиардов тенге. Достижение данных показателей станет возможным, в том числе в результате открытия новых производств и увеличения мощностей действующих предприятий города.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создано не менее 3350 рабочих мест, в том числе 2135 постоянных, уровень безработицы снизится до 4,8 %. Доля действующих предпринимателей увеличится с 87 % до 95 %.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детей дополнительным образованием с 65 % до 80 % к 2028 году.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качеством предоставления медицинских услуг увеличится с 57 % до 70 % к 2028 году. Уровень рождаемости увеличится с 10,9 до 11,2 случаев на 1000 человек населения. Смертность снизится с 13,2 до 10,5 случаев на 1000 человек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жителей города, занимающихся физической культурой и спортом, с 40,8 % до 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износа водопроводных сетей с 37 % до 34 %, канализационных сетей – с 49,5 % до 46,5 %, тепловых сетей – с 41 % до 38 %, электрических сетей – с 45,9 % до 42,9 %.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дорог в хорошем и удовлетворительном состоянии с 79,8 % до 85 %.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 на получение жилья из государственного жилищного фонда к концу 2027 года сократится с 606 до 500 человек.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охват территории города камерами видеонаблюдения. Внедрение сиренно-речевых устройств повысит оперативность и сократит время по оповещению населения города в период чрезвычайных ситуаций. Приведение в соответствие убежищ позволит укрыть и разместить более тысячи человек в период чрезвычайного и военного времени.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и посадка саженцев на территории города значительно уменьшат вредную концентрацию находящихся в воздухе газов. К 2028 году будет посажено 5000 саженцев.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Планирование городской среды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Планирование городской среды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проекта детальной планировки 15 и 23-го микрорайонов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xml:space="preserve">
IV квартал </w:t>
            </w:r>
          </w:p>
          <w:bookmarkEnd w:id="45"/>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акимат</w:t>
            </w:r>
          </w:p>
          <w:bookmarkEnd w:id="46"/>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схемы развития и застройки поселка Октябрьский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IV квартал</w:t>
            </w:r>
          </w:p>
          <w:bookmarkEnd w:id="47"/>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акимат</w:t>
            </w:r>
          </w:p>
          <w:bookmarkEnd w:id="48"/>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земельных участков субъектам МСБ для открытия и расширения бизнеса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электронных торгов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xml:space="preserve">
IV квартал </w:t>
            </w:r>
          </w:p>
          <w:bookmarkEnd w:id="4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акимат</w:t>
            </w:r>
          </w:p>
          <w:bookmarkEnd w:id="5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xml:space="preserve">
IV квартал </w:t>
            </w:r>
          </w:p>
          <w:bookmarkEnd w:id="5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xml:space="preserve">
IV квартал </w:t>
            </w:r>
          </w:p>
          <w:bookmarkEnd w:id="5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xml:space="preserve">
IV квартал </w:t>
            </w:r>
          </w:p>
          <w:bookmarkEnd w:id="53"/>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xml:space="preserve">
IV квартал </w:t>
            </w:r>
          </w:p>
          <w:bookmarkEnd w:id="54"/>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Реальный сектор экономики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Промышленность и инвестиции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карбида кремния мощностью 34 тысячи тонн (с созданием 240 рабочих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xml:space="preserve">
IV квартал </w:t>
            </w:r>
          </w:p>
          <w:bookmarkEnd w:id="55"/>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акимат</w:t>
            </w:r>
          </w:p>
          <w:bookmarkEnd w:id="56"/>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комплекса по производству спирта, ликеро-водочной продукции и переработке послеспиртовой барды в городе (с созданием 60 рабочих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IV квартал</w:t>
            </w:r>
          </w:p>
          <w:bookmarkEnd w:id="57"/>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акимат</w:t>
            </w:r>
          </w:p>
          <w:bookmarkEnd w:id="58"/>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спортивно-развлекательного парка "Алакай" (с созданием 21 рабочего места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IV квартал</w:t>
            </w:r>
          </w:p>
          <w:bookmarkEnd w:id="5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акимат</w:t>
            </w:r>
          </w:p>
          <w:bookmarkEnd w:id="6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IV квартал</w:t>
            </w:r>
          </w:p>
          <w:bookmarkEnd w:id="6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супермаркета в 7-м микрорайоне (с созданием 20-ти рабочих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IV квартал</w:t>
            </w:r>
          </w:p>
          <w:bookmarkEnd w:id="62"/>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акимат</w:t>
            </w:r>
          </w:p>
          <w:bookmarkEnd w:id="63"/>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Занятость населения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Обеспечение занятости населения, стимулирование экономической активности, содействие в создании новых производств и рабочих мест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 (ежегодно не менее 10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xml:space="preserve">
IV квартал </w:t>
            </w:r>
          </w:p>
          <w:bookmarkEnd w:id="6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акимат</w:t>
            </w:r>
          </w:p>
          <w:bookmarkEnd w:id="65"/>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xml:space="preserve">
IV квартал </w:t>
            </w:r>
          </w:p>
          <w:bookmarkEnd w:id="66"/>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xml:space="preserve">
IV квартал </w:t>
            </w:r>
          </w:p>
          <w:bookmarkEnd w:id="67"/>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xml:space="preserve">
IV квартал </w:t>
            </w:r>
          </w:p>
          <w:bookmarkEnd w:id="68"/>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xml:space="preserve">
IV квартал </w:t>
            </w:r>
          </w:p>
          <w:bookmarkEnd w:id="69"/>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субсидирование заработной платы (не менее 15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xml:space="preserve">
IV квартал </w:t>
            </w:r>
          </w:p>
          <w:bookmarkEnd w:id="7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акимат</w:t>
            </w:r>
          </w:p>
          <w:bookmarkEnd w:id="71"/>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xml:space="preserve">
IV квартал </w:t>
            </w:r>
          </w:p>
          <w:bookmarkEnd w:id="72"/>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xml:space="preserve">
IV квартал </w:t>
            </w:r>
          </w:p>
          <w:bookmarkEnd w:id="73"/>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xml:space="preserve">
IV квартал </w:t>
            </w:r>
          </w:p>
          <w:bookmarkEnd w:id="74"/>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xml:space="preserve">
IV квартал </w:t>
            </w:r>
          </w:p>
          <w:bookmarkEnd w:id="75"/>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до 400 МРП (не менее 6 грантов)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xml:space="preserve">
IV квартал </w:t>
            </w:r>
          </w:p>
          <w:bookmarkEnd w:id="7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акимат</w:t>
            </w:r>
          </w:p>
          <w:bookmarkEnd w:id="77"/>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xml:space="preserve">
IV квартал </w:t>
            </w:r>
          </w:p>
          <w:bookmarkEnd w:id="7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xml:space="preserve">
IV квартал </w:t>
            </w:r>
          </w:p>
          <w:bookmarkEnd w:id="79"/>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xml:space="preserve">
IV квартал </w:t>
            </w:r>
          </w:p>
          <w:bookmarkEnd w:id="80"/>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xml:space="preserve">
IV квартал </w:t>
            </w:r>
          </w:p>
          <w:bookmarkEnd w:id="81"/>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первого рабочего места (ежегодно не менее 13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xml:space="preserve">
IV квартал </w:t>
            </w:r>
          </w:p>
          <w:bookmarkEnd w:id="8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акимат</w:t>
            </w:r>
          </w:p>
          <w:bookmarkEnd w:id="83"/>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xml:space="preserve">
IV квартал </w:t>
            </w:r>
          </w:p>
          <w:bookmarkEnd w:id="8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xml:space="preserve">
IV квартал </w:t>
            </w:r>
          </w:p>
          <w:bookmarkEnd w:id="8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xml:space="preserve">
IV квартал </w:t>
            </w:r>
          </w:p>
          <w:bookmarkEnd w:id="8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xml:space="preserve">
IV квартал </w:t>
            </w:r>
          </w:p>
          <w:bookmarkEnd w:id="8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в рамках проекта "Серебряный возраст" (не менее 6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МТСЗН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xml:space="preserve">
IV квартал </w:t>
            </w:r>
          </w:p>
          <w:bookmarkEnd w:id="88"/>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акимат</w:t>
            </w:r>
          </w:p>
          <w:bookmarkEnd w:id="89"/>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xml:space="preserve">
IV квартал </w:t>
            </w:r>
          </w:p>
          <w:bookmarkEnd w:id="9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1"/>
          <w:p>
            <w:pPr>
              <w:spacing w:after="20"/>
              <w:ind w:left="20"/>
              <w:jc w:val="both"/>
            </w:pPr>
            <w:r>
              <w:rPr>
                <w:rFonts w:ascii="Times New Roman"/>
                <w:b w:val="false"/>
                <w:i w:val="false"/>
                <w:color w:val="000000"/>
                <w:sz w:val="20"/>
              </w:rPr>
              <w:t xml:space="preserve">
IV квартал </w:t>
            </w:r>
          </w:p>
          <w:bookmarkEnd w:id="9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IV квартал</w:t>
            </w:r>
          </w:p>
          <w:bookmarkEnd w:id="92"/>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IV квартал</w:t>
            </w:r>
          </w:p>
          <w:bookmarkEnd w:id="93"/>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рабочих мест для безработных граждан (не менее 50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xml:space="preserve">
IV квартал </w:t>
            </w:r>
          </w:p>
          <w:bookmarkEnd w:id="9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акимат</w:t>
            </w:r>
          </w:p>
          <w:bookmarkEnd w:id="95"/>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xml:space="preserve">
IV квартал </w:t>
            </w:r>
          </w:p>
          <w:bookmarkEnd w:id="96"/>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7"/>
          <w:p>
            <w:pPr>
              <w:spacing w:after="20"/>
              <w:ind w:left="20"/>
              <w:jc w:val="both"/>
            </w:pPr>
            <w:r>
              <w:rPr>
                <w:rFonts w:ascii="Times New Roman"/>
                <w:b w:val="false"/>
                <w:i w:val="false"/>
                <w:color w:val="000000"/>
                <w:sz w:val="20"/>
              </w:rPr>
              <w:t xml:space="preserve">
IV квартал </w:t>
            </w:r>
          </w:p>
          <w:bookmarkEnd w:id="97"/>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xml:space="preserve">
IV квартал </w:t>
            </w:r>
          </w:p>
          <w:bookmarkEnd w:id="98"/>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xml:space="preserve">
IV квартал </w:t>
            </w:r>
          </w:p>
          <w:bookmarkEnd w:id="99"/>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в рамках проекта "Контракт поколений" (не менее 2 человек) согласно поданным заявкам от работодателей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xml:space="preserve">
IV квартал </w:t>
            </w:r>
          </w:p>
          <w:bookmarkEnd w:id="10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1"/>
          <w:p>
            <w:pPr>
              <w:spacing w:after="20"/>
              <w:ind w:left="20"/>
              <w:jc w:val="both"/>
            </w:pPr>
            <w:r>
              <w:rPr>
                <w:rFonts w:ascii="Times New Roman"/>
                <w:b w:val="false"/>
                <w:i w:val="false"/>
                <w:color w:val="000000"/>
                <w:sz w:val="20"/>
              </w:rPr>
              <w:t>
акимат</w:t>
            </w:r>
          </w:p>
          <w:bookmarkEnd w:id="101"/>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2"/>
          <w:p>
            <w:pPr>
              <w:spacing w:after="20"/>
              <w:ind w:left="20"/>
              <w:jc w:val="both"/>
            </w:pPr>
            <w:r>
              <w:rPr>
                <w:rFonts w:ascii="Times New Roman"/>
                <w:b w:val="false"/>
                <w:i w:val="false"/>
                <w:color w:val="000000"/>
                <w:sz w:val="20"/>
              </w:rPr>
              <w:t xml:space="preserve">
IV квартал </w:t>
            </w:r>
          </w:p>
          <w:bookmarkEnd w:id="102"/>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3"/>
          <w:p>
            <w:pPr>
              <w:spacing w:after="20"/>
              <w:ind w:left="20"/>
              <w:jc w:val="both"/>
            </w:pPr>
            <w:r>
              <w:rPr>
                <w:rFonts w:ascii="Times New Roman"/>
                <w:b w:val="false"/>
                <w:i w:val="false"/>
                <w:color w:val="000000"/>
                <w:sz w:val="20"/>
              </w:rPr>
              <w:t xml:space="preserve">
IV квартал </w:t>
            </w:r>
          </w:p>
          <w:bookmarkEnd w:id="103"/>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4"/>
          <w:p>
            <w:pPr>
              <w:spacing w:after="20"/>
              <w:ind w:left="20"/>
              <w:jc w:val="both"/>
            </w:pPr>
            <w:r>
              <w:rPr>
                <w:rFonts w:ascii="Times New Roman"/>
                <w:b w:val="false"/>
                <w:i w:val="false"/>
                <w:color w:val="000000"/>
                <w:sz w:val="20"/>
              </w:rPr>
              <w:t xml:space="preserve">
IV квартал </w:t>
            </w:r>
          </w:p>
          <w:bookmarkEnd w:id="104"/>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5"/>
          <w:p>
            <w:pPr>
              <w:spacing w:after="20"/>
              <w:ind w:left="20"/>
              <w:jc w:val="both"/>
            </w:pPr>
            <w:r>
              <w:rPr>
                <w:rFonts w:ascii="Times New Roman"/>
                <w:b w:val="false"/>
                <w:i w:val="false"/>
                <w:color w:val="000000"/>
                <w:sz w:val="20"/>
              </w:rPr>
              <w:t xml:space="preserve">
IV квартал </w:t>
            </w:r>
          </w:p>
          <w:bookmarkEnd w:id="105"/>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Комфортный и безопасный для проживания регион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Сфера образования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кровли детского сада "Мурагер"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xml:space="preserve">
акт приемки объекта в </w:t>
            </w:r>
          </w:p>
          <w:bookmarkEnd w:id="106"/>
          <w:p>
            <w:pPr>
              <w:spacing w:after="20"/>
              <w:ind w:left="20"/>
              <w:jc w:val="both"/>
            </w:pPr>
            <w:r>
              <w:rPr>
                <w:rFonts w:ascii="Times New Roman"/>
                <w:b w:val="false"/>
                <w:i w:val="false"/>
                <w:color w:val="000000"/>
                <w:sz w:val="20"/>
              </w:rPr>
              <w:t>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xml:space="preserve">
IV квартал </w:t>
            </w:r>
          </w:p>
          <w:bookmarkEnd w:id="107"/>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акимат</w:t>
            </w:r>
          </w:p>
          <w:bookmarkEnd w:id="108"/>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кровли детского сада "Ивушка"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9"/>
          <w:p>
            <w:pPr>
              <w:spacing w:after="20"/>
              <w:ind w:left="20"/>
              <w:jc w:val="both"/>
            </w:pPr>
            <w:r>
              <w:rPr>
                <w:rFonts w:ascii="Times New Roman"/>
                <w:b w:val="false"/>
                <w:i w:val="false"/>
                <w:color w:val="000000"/>
                <w:sz w:val="20"/>
              </w:rPr>
              <w:t xml:space="preserve">
IV квартал </w:t>
            </w:r>
          </w:p>
          <w:bookmarkEnd w:id="109"/>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акимат</w:t>
            </w:r>
          </w:p>
          <w:bookmarkEnd w:id="11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Дворца школьников (500 мест)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1"/>
          <w:p>
            <w:pPr>
              <w:spacing w:after="20"/>
              <w:ind w:left="20"/>
              <w:jc w:val="both"/>
            </w:pPr>
            <w:r>
              <w:rPr>
                <w:rFonts w:ascii="Times New Roman"/>
                <w:b w:val="false"/>
                <w:i w:val="false"/>
                <w:color w:val="000000"/>
                <w:sz w:val="20"/>
              </w:rPr>
              <w:t xml:space="preserve">
IV квартал </w:t>
            </w:r>
          </w:p>
          <w:bookmarkEnd w:id="111"/>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2"/>
          <w:p>
            <w:pPr>
              <w:spacing w:after="20"/>
              <w:ind w:left="20"/>
              <w:jc w:val="both"/>
            </w:pPr>
            <w:r>
              <w:rPr>
                <w:rFonts w:ascii="Times New Roman"/>
                <w:b w:val="false"/>
                <w:i w:val="false"/>
                <w:color w:val="000000"/>
                <w:sz w:val="20"/>
              </w:rPr>
              <w:t>
акимат</w:t>
            </w:r>
          </w:p>
          <w:bookmarkEnd w:id="112"/>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3"/>
          <w:p>
            <w:pPr>
              <w:spacing w:after="20"/>
              <w:ind w:left="20"/>
              <w:jc w:val="both"/>
            </w:pPr>
            <w:r>
              <w:rPr>
                <w:rFonts w:ascii="Times New Roman"/>
                <w:b w:val="false"/>
                <w:i w:val="false"/>
                <w:color w:val="000000"/>
                <w:sz w:val="20"/>
              </w:rPr>
              <w:t xml:space="preserve">
IV квартал </w:t>
            </w:r>
          </w:p>
          <w:bookmarkEnd w:id="113"/>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xml:space="preserve">
IV квартал </w:t>
            </w:r>
          </w:p>
          <w:bookmarkEnd w:id="114"/>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Сфера здравоохранения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r>
              <w:rPr>
                <w:rFonts w:ascii="Times New Roman"/>
                <w:b w:val="false"/>
                <w:i w:val="false"/>
                <w:color w:val="000000"/>
                <w:sz w:val="20"/>
              </w:rPr>
              <w:t xml:space="preserve">
Принятие дополнительных комплексных мер по привлечению квалифицированных медицинских кадров: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подъҰмных (единовременных денежных выплат) от 1,5 миллиона тенге до 3,5 миллиона тенге каждому привлеченному врачу;</w:t>
            </w:r>
          </w:p>
          <w:p>
            <w:pPr>
              <w:spacing w:after="20"/>
              <w:ind w:left="20"/>
              <w:jc w:val="both"/>
            </w:pPr>
            <w:r>
              <w:rPr>
                <w:rFonts w:ascii="Times New Roman"/>
                <w:b w:val="false"/>
                <w:i w:val="false"/>
                <w:color w:val="000000"/>
                <w:sz w:val="20"/>
              </w:rPr>
              <w:t>
2) выделение арендного жилья для привлеченных специалистов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IV квартал</w:t>
            </w:r>
          </w:p>
          <w:bookmarkEnd w:id="11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акимат</w:t>
            </w:r>
          </w:p>
          <w:bookmarkEnd w:id="117"/>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IV квартал</w:t>
            </w:r>
          </w:p>
          <w:bookmarkEnd w:id="11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IV квартал</w:t>
            </w:r>
          </w:p>
          <w:bookmarkEnd w:id="119"/>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IV квартал</w:t>
            </w:r>
          </w:p>
          <w:bookmarkEnd w:id="120"/>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IV квартал</w:t>
            </w:r>
          </w:p>
          <w:bookmarkEnd w:id="121"/>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КГП "Лисаковская городская больница" Управления здравоохранения акимата Костанайской области (медицинское оборудование, тренажеры и так далее)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IV квартал</w:t>
            </w:r>
          </w:p>
          <w:bookmarkEnd w:id="12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акимат</w:t>
            </w:r>
          </w:p>
          <w:bookmarkEnd w:id="123"/>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IV квартал</w:t>
            </w:r>
          </w:p>
          <w:bookmarkEnd w:id="12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IV квартал</w:t>
            </w:r>
          </w:p>
          <w:bookmarkEnd w:id="12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IV квартал</w:t>
            </w:r>
          </w:p>
          <w:bookmarkEnd w:id="12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IV квартал</w:t>
            </w:r>
          </w:p>
          <w:bookmarkEnd w:id="12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Сфера культуры и развития массового спорта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ГККП "Городской центр культуры и спорта акимата города Лисаковска"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xml:space="preserve">
IV квартал </w:t>
            </w:r>
          </w:p>
          <w:bookmarkEnd w:id="128"/>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акимат</w:t>
            </w:r>
          </w:p>
          <w:bookmarkEnd w:id="129"/>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строительство инженерных сетей к физкультурно-оздоровительному комплексу, расположенному по адресу: улица Мәңгілік Ел (благоустройство 14717 гектаров – озеленение и укладка брусчатки, канализационные сети – 80 метров, водопроводные сети – 80 метров, электрические сети – 230 метров, газ – 820 метров)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xml:space="preserve">
IV квартал </w:t>
            </w:r>
          </w:p>
          <w:bookmarkEnd w:id="13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акимат</w:t>
            </w:r>
          </w:p>
          <w:bookmarkEnd w:id="131"/>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xml:space="preserve">
IV квартал </w:t>
            </w:r>
          </w:p>
          <w:bookmarkEnd w:id="132"/>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расположенного по адресу: улица Мәңгілік Ел (площадь 4500 квадратных метров, пропускная способность 1552 человека/день)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xml:space="preserve">
IV квартал </w:t>
            </w:r>
          </w:p>
          <w:bookmarkEnd w:id="133"/>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акимат</w:t>
            </w:r>
          </w:p>
          <w:bookmarkEnd w:id="134"/>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xml:space="preserve">
IV квартал </w:t>
            </w:r>
          </w:p>
          <w:bookmarkEnd w:id="135"/>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спортивного ядра (беговая дорожка, футбольное, баскетбольное и волейбольное поля, трибуны) в 6-ом микрорайоне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xml:space="preserve">
IV квартал </w:t>
            </w:r>
          </w:p>
          <w:bookmarkEnd w:id="136"/>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акимат</w:t>
            </w:r>
          </w:p>
          <w:bookmarkEnd w:id="137"/>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пропаганде здорового образа жизни, развитие массовых и национальных видов спорта (турниры по различным видам спорта и прочие спортивно-массовые мероприятия)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годы,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Реализация государственного социального заказа, направленного на реализацию государственной молодҰжной политики, в том числе: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поддержка творческих инициатив молодежи;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проведение проектов, направленных на повышение религиозной грамотности и укрепление межэтнического и межконфессионального согласия среди молодежи города Лисаковска;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укрепление и развитие казахстанской идентичности и единства, истории страны, казахских деятелей и юбилейных дат; </w:t>
            </w:r>
          </w:p>
          <w:p>
            <w:pPr>
              <w:spacing w:after="20"/>
              <w:ind w:left="20"/>
              <w:jc w:val="both"/>
            </w:pPr>
            <w:r>
              <w:rPr>
                <w:rFonts w:ascii="Times New Roman"/>
                <w:b w:val="false"/>
                <w:i w:val="false"/>
                <w:color w:val="000000"/>
                <w:sz w:val="20"/>
              </w:rPr>
              <w:t>
развитие позитивных ценностных ориентиров в брачно-семейных отношениях и повышение чувства ответственности среди молодого населения.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xml:space="preserve">
IV квартал </w:t>
            </w:r>
          </w:p>
          <w:bookmarkEnd w:id="13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акимат</w:t>
            </w:r>
          </w:p>
          <w:bookmarkEnd w:id="140"/>
          <w:p>
            <w:pPr>
              <w:spacing w:after="20"/>
              <w:ind w:left="20"/>
              <w:jc w:val="both"/>
            </w:pPr>
            <w:r>
              <w:rPr>
                <w:rFonts w:ascii="Times New Roman"/>
                <w:b w:val="false"/>
                <w:i w:val="false"/>
                <w:color w:val="000000"/>
                <w:sz w:val="20"/>
              </w:rPr>
              <w:t>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xml:space="preserve">
IV квартал </w:t>
            </w:r>
          </w:p>
          <w:bookmarkEnd w:id="14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xml:space="preserve">
IV квартал </w:t>
            </w:r>
          </w:p>
          <w:bookmarkEnd w:id="14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xml:space="preserve">
IV квартал </w:t>
            </w:r>
          </w:p>
          <w:bookmarkEnd w:id="143"/>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xml:space="preserve">
IV квартал </w:t>
            </w:r>
          </w:p>
          <w:bookmarkEnd w:id="144"/>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Теплоснабжение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теплосети от теплоцентра до УТ 21 (от точки А (район железной дороги до УТ-19)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xml:space="preserve">
IV квартал </w:t>
            </w:r>
          </w:p>
          <w:bookmarkEnd w:id="145"/>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xml:space="preserve">
акимат Костанайской области, </w:t>
            </w:r>
          </w:p>
          <w:bookmarkEnd w:id="146"/>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xml:space="preserve">
IV квартал </w:t>
            </w:r>
          </w:p>
          <w:bookmarkEnd w:id="147"/>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газопотребляющей энергетической установки для покрытия собственных нужд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xml:space="preserve">
IV квартал </w:t>
            </w:r>
          </w:p>
          <w:bookmarkEnd w:id="148"/>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xml:space="preserve">
акимат Костанайской области, </w:t>
            </w:r>
          </w:p>
          <w:bookmarkEnd w:id="149"/>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тепловых сетей от ТК-9 (ТК-район хлебозавода) до ТК-9 (школа-интернат)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xml:space="preserve">
IV квартал </w:t>
            </w:r>
          </w:p>
          <w:bookmarkEnd w:id="15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водогрейного котла ПТВМ-100 №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xml:space="preserve">
IV квартал </w:t>
            </w:r>
          </w:p>
          <w:bookmarkEnd w:id="151"/>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водогрейного котла ПТВМ-100 № 3 ГКП ПХО "Лисаковскгоркуммунэнерго"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xml:space="preserve">
IV квартал </w:t>
            </w:r>
          </w:p>
          <w:bookmarkEnd w:id="152"/>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xml:space="preserve">
акимат Костанайской области, </w:t>
            </w:r>
          </w:p>
          <w:bookmarkEnd w:id="153"/>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xml:space="preserve">
IV квартал </w:t>
            </w:r>
          </w:p>
          <w:bookmarkEnd w:id="154"/>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магистральной тепловой сети от УТ-21 до УТ-28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xml:space="preserve">
акт приемки объекта в </w:t>
            </w:r>
          </w:p>
          <w:bookmarkEnd w:id="155"/>
          <w:p>
            <w:pPr>
              <w:spacing w:after="20"/>
              <w:ind w:left="20"/>
              <w:jc w:val="both"/>
            </w:pPr>
            <w:r>
              <w:rPr>
                <w:rFonts w:ascii="Times New Roman"/>
                <w:b w:val="false"/>
                <w:i w:val="false"/>
                <w:color w:val="000000"/>
                <w:sz w:val="20"/>
              </w:rPr>
              <w:t>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xml:space="preserve">
IV квартал </w:t>
            </w:r>
          </w:p>
          <w:bookmarkEnd w:id="15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акимат Костанайской области,</w:t>
            </w:r>
          </w:p>
          <w:bookmarkEnd w:id="157"/>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xml:space="preserve">
IV квартал </w:t>
            </w:r>
          </w:p>
          <w:bookmarkEnd w:id="15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магистральной тепловой сети от УТ-28 до УТ-35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xml:space="preserve">
IV квартал </w:t>
            </w:r>
          </w:p>
          <w:bookmarkEnd w:id="159"/>
          <w:p>
            <w:pPr>
              <w:spacing w:after="20"/>
              <w:ind w:left="20"/>
              <w:jc w:val="both"/>
            </w:pPr>
            <w:r>
              <w:rPr>
                <w:rFonts w:ascii="Times New Roman"/>
                <w:b w:val="false"/>
                <w:i w:val="false"/>
                <w:color w:val="000000"/>
                <w:sz w:val="20"/>
              </w:rPr>
              <w:t>
2024года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xml:space="preserve">
акимат Костанайской области, </w:t>
            </w:r>
          </w:p>
          <w:bookmarkEnd w:id="160"/>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xml:space="preserve">
IV квартал </w:t>
            </w:r>
          </w:p>
          <w:bookmarkEnd w:id="16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Водоснабжение и водоотведение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водопроводной сети от насосной 2-го подъема до города Лисаковска (по улице Мәңгілік Ел – Горняков от ВК-11л до точки 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xml:space="preserve">
IV квартал </w:t>
            </w:r>
          </w:p>
          <w:bookmarkEnd w:id="16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xml:space="preserve">
акимат Костанайской области, </w:t>
            </w:r>
          </w:p>
          <w:bookmarkEnd w:id="163"/>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IV квартал</w:t>
            </w:r>
          </w:p>
          <w:bookmarkEnd w:id="16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145,2</w:t>
            </w:r>
          </w:p>
          <w:bookmarkEnd w:id="16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канализации бытовой улицы Тобольская (КК 98 до КК 116)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IV квартал</w:t>
            </w:r>
          </w:p>
          <w:bookmarkEnd w:id="16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xml:space="preserve">
акимат Костанайской области, </w:t>
            </w:r>
          </w:p>
          <w:bookmarkEnd w:id="167"/>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хозяйственно-питьевого водопровода поселка Октябрьский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xml:space="preserve">
IV квартал </w:t>
            </w:r>
          </w:p>
          <w:bookmarkEnd w:id="168"/>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xml:space="preserve">
акимат Костанайской области, </w:t>
            </w:r>
          </w:p>
          <w:bookmarkEnd w:id="169"/>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xml:space="preserve">
IV квартал </w:t>
            </w:r>
          </w:p>
          <w:bookmarkEnd w:id="17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водопроводной сети от насосной 1-го подъема до насосной 2-го подъема (2-я нитка)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xml:space="preserve">
IV квартал </w:t>
            </w:r>
          </w:p>
          <w:bookmarkEnd w:id="171"/>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xml:space="preserve">
акимат Костанайской области, </w:t>
            </w:r>
          </w:p>
          <w:bookmarkEnd w:id="172"/>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xml:space="preserve">
IV квартал </w:t>
            </w:r>
          </w:p>
          <w:bookmarkEnd w:id="173"/>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хозяйственно-питьевого водопровода (от точки 1 до точки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xml:space="preserve">
IV квартал </w:t>
            </w:r>
          </w:p>
          <w:bookmarkEnd w:id="17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xml:space="preserve">
акимат Костанайской области, </w:t>
            </w:r>
          </w:p>
          <w:bookmarkEnd w:id="175"/>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xml:space="preserve">
IV квартал </w:t>
            </w:r>
          </w:p>
          <w:bookmarkEnd w:id="176"/>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трубопровода сточных вод КО-2 (коллектор очищенных стоков)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xml:space="preserve">
IV квартал </w:t>
            </w:r>
          </w:p>
          <w:bookmarkEnd w:id="177"/>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xml:space="preserve">
акимат Костанайской области, </w:t>
            </w:r>
          </w:p>
          <w:bookmarkEnd w:id="178"/>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xml:space="preserve">
IV квартал </w:t>
            </w:r>
          </w:p>
          <w:bookmarkEnd w:id="179"/>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станции биологической очистки сточной воды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xml:space="preserve">
IV квартал </w:t>
            </w:r>
          </w:p>
          <w:bookmarkEnd w:id="18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xml:space="preserve">
акимат Костанайской области, </w:t>
            </w:r>
          </w:p>
          <w:bookmarkEnd w:id="181"/>
          <w:p>
            <w:pPr>
              <w:spacing w:after="20"/>
              <w:ind w:left="20"/>
              <w:jc w:val="both"/>
            </w:pPr>
            <w:r>
              <w:rPr>
                <w:rFonts w:ascii="Times New Roman"/>
                <w:b w:val="false"/>
                <w:i w:val="false"/>
                <w:color w:val="000000"/>
                <w:sz w:val="20"/>
              </w:rPr>
              <w:t>
МИИР, Казцентр ЖКХ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xml:space="preserve">
IV квартал </w:t>
            </w:r>
          </w:p>
          <w:bookmarkEnd w:id="18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xml:space="preserve">
IV квартал </w:t>
            </w:r>
          </w:p>
          <w:bookmarkEnd w:id="183"/>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Дороги и благоустройство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дорог поселка Октябрьский (в целях обеспечения безопасности дорожного движения планируется укладка не менее </w:t>
            </w:r>
          </w:p>
          <w:p>
            <w:pPr>
              <w:spacing w:after="20"/>
              <w:ind w:left="20"/>
              <w:jc w:val="both"/>
            </w:pPr>
            <w:r>
              <w:rPr>
                <w:rFonts w:ascii="Times New Roman"/>
                <w:b w:val="false"/>
                <w:i w:val="false"/>
                <w:color w:val="000000"/>
                <w:sz w:val="20"/>
              </w:rPr>
              <w:t>0,75 километра асфальтового покрытия ежегодно)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xml:space="preserve">
IV квартал </w:t>
            </w:r>
          </w:p>
          <w:bookmarkEnd w:id="184"/>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xml:space="preserve">
IV квартал </w:t>
            </w:r>
          </w:p>
          <w:bookmarkEnd w:id="185"/>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xml:space="preserve">
IV квартал </w:t>
            </w:r>
          </w:p>
          <w:bookmarkEnd w:id="186"/>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xml:space="preserve">
IV квартал </w:t>
            </w:r>
          </w:p>
          <w:bookmarkEnd w:id="187"/>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xml:space="preserve">
IV квартал </w:t>
            </w:r>
          </w:p>
          <w:bookmarkEnd w:id="188"/>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 города Лисаковска (в целях обеспечения безопасности дорожного движения планируются средний ремонт, укладка не менее 1 километра асфальтового покрытия ежегодно)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xml:space="preserve">
IV квартал </w:t>
            </w:r>
          </w:p>
          <w:bookmarkEnd w:id="18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xml:space="preserve">
IV квартал </w:t>
            </w:r>
          </w:p>
          <w:bookmarkEnd w:id="19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xml:space="preserve">
IV квартал </w:t>
            </w:r>
          </w:p>
          <w:bookmarkEnd w:id="19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xml:space="preserve">
IV квартал </w:t>
            </w:r>
          </w:p>
          <w:bookmarkEnd w:id="192"/>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xml:space="preserve">
IV квартал </w:t>
            </w:r>
          </w:p>
          <w:bookmarkEnd w:id="193"/>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Жилищное строительство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части здания под арендные жилые помещения по адресу: микрорайон Больничный комплекс, здание 4А (этажность здания – 4 этажа; площадь застройки – 285,7 квадратных метра; общая площадь жилого здания – 982,11 квадратных метра; общая площадь квартир – 685 квадратных метров; строительный объем здания – 3802 кубических метра; количество квартир – 12; в том числе: однокомнатных квартир – 8; трехкомнатных квартир –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xml:space="preserve">
IV квартал </w:t>
            </w:r>
          </w:p>
          <w:bookmarkEnd w:id="194"/>
          <w:p>
            <w:pPr>
              <w:spacing w:after="20"/>
              <w:ind w:left="20"/>
              <w:jc w:val="both"/>
            </w:pPr>
            <w:r>
              <w:rPr>
                <w:rFonts w:ascii="Times New Roman"/>
                <w:b w:val="false"/>
                <w:i w:val="false"/>
                <w:color w:val="000000"/>
                <w:sz w:val="20"/>
              </w:rPr>
              <w:t>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части административного здания под жилые помещения по адресу: микрорайон 1, здание 10 (2 этажа, общая площадь – 994,1 квадратных метра, количество квартир –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xml:space="preserve">
IV квартал </w:t>
            </w:r>
          </w:p>
          <w:bookmarkEnd w:id="195"/>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инженерных сетей в 19-м микрорайоне (позволит обеспечить инженерно-коммуникационной инфраструктурой 80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xml:space="preserve">
IV квартал </w:t>
            </w:r>
          </w:p>
          <w:bookmarkEnd w:id="196"/>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акимат Костанайской области,</w:t>
            </w:r>
          </w:p>
          <w:bookmarkEnd w:id="197"/>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IV квартал</w:t>
            </w:r>
          </w:p>
          <w:bookmarkEnd w:id="198"/>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газопровода в 19-м микрорайоне (позволит обеспечить инженерно-коммуникационной инфраструктурой 80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xml:space="preserve">
IV квартал </w:t>
            </w:r>
          </w:p>
          <w:bookmarkEnd w:id="19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xml:space="preserve">
акимат Костанайской области, </w:t>
            </w:r>
          </w:p>
          <w:bookmarkEnd w:id="200"/>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инженерных сетей в 15-м микрорайоне (протяженностью канализационных сетей 3500 метров, водопроводных сетей 3500 метров, электрических сетей 3500 метров позволит обеспечить инженерно-коммуникационной инфраструктурой 74 земельных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xml:space="preserve">
IV квартал </w:t>
            </w:r>
          </w:p>
          <w:bookmarkEnd w:id="201"/>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газопровода в 15-м микрорайоне протяженностью 3500 метров (предусматривается строительство подводящего газопровода среднего давления и разводящих сетей низкого давления для отопления, горячего водоснабжения и приготовления пищи, 74 земельных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IV квартал 2024 года</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Электроснабжение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Реконструкция воздушной линии</w:t>
            </w:r>
          </w:p>
          <w:bookmarkEnd w:id="203"/>
          <w:p>
            <w:pPr>
              <w:spacing w:after="20"/>
              <w:ind w:left="20"/>
              <w:jc w:val="both"/>
            </w:pPr>
            <w:r>
              <w:rPr>
                <w:rFonts w:ascii="Times New Roman"/>
                <w:b w:val="false"/>
                <w:i w:val="false"/>
                <w:color w:val="000000"/>
                <w:sz w:val="20"/>
              </w:rPr>
              <w:t xml:space="preserve">
10 кВ от ПС-11 до РП-36 (от ПС </w:t>
            </w:r>
          </w:p>
          <w:p>
            <w:pPr>
              <w:spacing w:after="20"/>
              <w:ind w:left="20"/>
              <w:jc w:val="both"/>
            </w:pPr>
            <w:r>
              <w:rPr>
                <w:rFonts w:ascii="Times New Roman"/>
                <w:b w:val="false"/>
                <w:i w:val="false"/>
                <w:color w:val="000000"/>
                <w:sz w:val="20"/>
              </w:rPr>
              <w:t>11 ячейка № 11.0,6, 11.14 до РП ПСЦ; от ПС-11 до РП-36)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акт приемки</w:t>
            </w:r>
          </w:p>
          <w:bookmarkEnd w:id="204"/>
          <w:p>
            <w:pPr>
              <w:spacing w:after="20"/>
              <w:ind w:left="20"/>
              <w:jc w:val="both"/>
            </w:pPr>
            <w:r>
              <w:rPr>
                <w:rFonts w:ascii="Times New Roman"/>
                <w:b w:val="false"/>
                <w:i w:val="false"/>
                <w:color w:val="000000"/>
                <w:sz w:val="20"/>
              </w:rPr>
              <w:t>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IV квартал</w:t>
            </w:r>
          </w:p>
          <w:bookmarkEnd w:id="205"/>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акимат</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Костанайской области, </w:t>
            </w:r>
          </w:p>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воздушных линий ВЛ-0,4 кВ в поселке Октябрьский (с заменой на самонесущий изолированный провод)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xml:space="preserve">
IV квартал </w:t>
            </w:r>
          </w:p>
          <w:bookmarkEnd w:id="207"/>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xml:space="preserve">
акимат Костанайской области, </w:t>
            </w:r>
          </w:p>
          <w:bookmarkEnd w:id="208"/>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ВЛ-6 кВ Ф 15 от ГПП (от ГПП "Промплощадка" фидер 35 до ТП-5 посҰлка Октябрьский)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xml:space="preserve">
IV квартал </w:t>
            </w:r>
          </w:p>
          <w:bookmarkEnd w:id="209"/>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2-х кабельных линий 10 кВ от РП 36 до ТП-17, ТП-18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xml:space="preserve">
IV квартал </w:t>
            </w:r>
          </w:p>
          <w:bookmarkEnd w:id="210"/>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xml:space="preserve">
IV квартал </w:t>
            </w:r>
          </w:p>
          <w:bookmarkEnd w:id="211"/>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воздушной линии </w:t>
            </w:r>
          </w:p>
          <w:p>
            <w:pPr>
              <w:spacing w:after="20"/>
              <w:ind w:left="20"/>
              <w:jc w:val="both"/>
            </w:pPr>
            <w:r>
              <w:rPr>
                <w:rFonts w:ascii="Times New Roman"/>
                <w:b w:val="false"/>
                <w:i w:val="false"/>
                <w:color w:val="000000"/>
                <w:sz w:val="20"/>
              </w:rPr>
              <w:t xml:space="preserve">6 кВ от ПС-19 ячейка 19-09 до ТП-Н-1П ячейка Т1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xml:space="preserve">
IV квартал </w:t>
            </w:r>
          </w:p>
          <w:bookmarkEnd w:id="212"/>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xml:space="preserve">
IV квартал </w:t>
            </w:r>
          </w:p>
          <w:bookmarkEnd w:id="213"/>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кабельных линий 10 кВ 1-го микрорайона от ПС4 ячейка 409, ячейка 421 до ТП-"ГОВД" ячейка 4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xml:space="preserve">
IV квартал </w:t>
            </w:r>
          </w:p>
          <w:bookmarkEnd w:id="214"/>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xml:space="preserve">
акимат Костанайской области, </w:t>
            </w:r>
          </w:p>
          <w:bookmarkEnd w:id="215"/>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xml:space="preserve">
IV квартал </w:t>
            </w:r>
          </w:p>
          <w:bookmarkEnd w:id="216"/>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ТП города по замене масляных трансформаторов на сухие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xml:space="preserve">
IV квартал </w:t>
            </w:r>
          </w:p>
          <w:bookmarkEnd w:id="217"/>
          <w:p>
            <w:pPr>
              <w:spacing w:after="20"/>
              <w:ind w:left="20"/>
              <w:jc w:val="both"/>
            </w:pPr>
            <w:r>
              <w:rPr>
                <w:rFonts w:ascii="Times New Roman"/>
                <w:b w:val="false"/>
                <w:i w:val="false"/>
                <w:color w:val="000000"/>
                <w:sz w:val="20"/>
              </w:rPr>
              <w:t>
2024года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xml:space="preserve">
акимат Костанайской области, </w:t>
            </w:r>
          </w:p>
          <w:bookmarkEnd w:id="218"/>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xml:space="preserve">
IV квартал </w:t>
            </w:r>
          </w:p>
          <w:bookmarkEnd w:id="219"/>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закрытого распределительного устройства 10(6) кВ на ПС-11, ПС-4, ПС-20, ПС-19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xml:space="preserve">
IV квартал </w:t>
            </w:r>
          </w:p>
          <w:bookmarkEnd w:id="220"/>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xml:space="preserve">
акимат Костанайской области, </w:t>
            </w:r>
          </w:p>
          <w:bookmarkEnd w:id="221"/>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xml:space="preserve">
IV квартал </w:t>
            </w:r>
          </w:p>
          <w:bookmarkEnd w:id="22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Безопасность и правопорядок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территории покрытия камерами видеонаблюдения (обустройство дворов многоквартирных домов камерами видеонаблюдения, интегрированными с центрами оперативных управлений и дежурными частями полиции, установка 20 камер ежегодно)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xml:space="preserve">
IV квартал </w:t>
            </w:r>
          </w:p>
          <w:bookmarkEnd w:id="223"/>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xml:space="preserve">
IV квартал </w:t>
            </w:r>
          </w:p>
          <w:bookmarkEnd w:id="22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xml:space="preserve">
IV квартал </w:t>
            </w:r>
          </w:p>
          <w:bookmarkEnd w:id="22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xml:space="preserve">
IV квартал </w:t>
            </w:r>
          </w:p>
          <w:bookmarkEnd w:id="22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xml:space="preserve">
IV квартал </w:t>
            </w:r>
          </w:p>
          <w:bookmarkEnd w:id="22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убежищ организациями, отнесенными к категории по гражданской обороне, продолжающими работу в военное время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xml:space="preserve">
IV квартал </w:t>
            </w:r>
          </w:p>
          <w:bookmarkEnd w:id="228"/>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организации, отнесенные к категории по гражданской обороне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городского запасного пункта управления акима города (на базе противорадиационного укрытия)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xml:space="preserve">
IV квартал </w:t>
            </w:r>
          </w:p>
          <w:bookmarkEnd w:id="229"/>
          <w:p>
            <w:pPr>
              <w:spacing w:after="20"/>
              <w:ind w:left="20"/>
              <w:jc w:val="both"/>
            </w:pPr>
            <w:r>
              <w:rPr>
                <w:rFonts w:ascii="Times New Roman"/>
                <w:b w:val="false"/>
                <w:i w:val="false"/>
                <w:color w:val="000000"/>
                <w:sz w:val="20"/>
              </w:rPr>
              <w:t>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городского пульта управления системой оповещения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IV квартал</w:t>
            </w:r>
          </w:p>
          <w:bookmarkEnd w:id="230"/>
          <w:p>
            <w:pPr>
              <w:spacing w:after="20"/>
              <w:ind w:left="20"/>
              <w:jc w:val="both"/>
            </w:pPr>
            <w:r>
              <w:rPr>
                <w:rFonts w:ascii="Times New Roman"/>
                <w:b w:val="false"/>
                <w:i w:val="false"/>
                <w:color w:val="000000"/>
                <w:sz w:val="20"/>
              </w:rPr>
              <w:t>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сиренно-речевых устройств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xml:space="preserve">
IV квартал </w:t>
            </w:r>
          </w:p>
          <w:bookmarkEnd w:id="231"/>
          <w:p>
            <w:pPr>
              <w:spacing w:after="20"/>
              <w:ind w:left="20"/>
              <w:jc w:val="both"/>
            </w:pPr>
            <w:r>
              <w:rPr>
                <w:rFonts w:ascii="Times New Roman"/>
                <w:b w:val="false"/>
                <w:i w:val="false"/>
                <w:color w:val="000000"/>
                <w:sz w:val="20"/>
              </w:rPr>
              <w:t>
2024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xml:space="preserve">
IV квартал </w:t>
            </w:r>
          </w:p>
          <w:bookmarkEnd w:id="232"/>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Экология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Озеленение и благоустройство территории города Лисаковска (высадка многолетних и однолетних растений, содержание клумб, стрижка кустарника (живой изгороди)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xml:space="preserve">
IV квартал </w:t>
            </w:r>
          </w:p>
          <w:bookmarkEnd w:id="233"/>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xml:space="preserve">
IV квартал </w:t>
            </w:r>
          </w:p>
          <w:bookmarkEnd w:id="234"/>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xml:space="preserve">
IV квартал </w:t>
            </w:r>
          </w:p>
          <w:bookmarkEnd w:id="235"/>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xml:space="preserve">
IV квартал </w:t>
            </w:r>
          </w:p>
          <w:bookmarkEnd w:id="236"/>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xml:space="preserve">
IV квартал </w:t>
            </w:r>
          </w:p>
          <w:bookmarkEnd w:id="237"/>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4,5</w:t>
            </w:r>
          </w:p>
          <w:bookmarkEnd w:id="23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деревьев города Лисаковска и поселка Октябрьский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xml:space="preserve">
IV квартал </w:t>
            </w:r>
          </w:p>
          <w:bookmarkEnd w:id="239"/>
          <w:p>
            <w:pPr>
              <w:spacing w:after="20"/>
              <w:ind w:left="20"/>
              <w:jc w:val="both"/>
            </w:pPr>
            <w:r>
              <w:rPr>
                <w:rFonts w:ascii="Times New Roman"/>
                <w:b w:val="false"/>
                <w:i w:val="false"/>
                <w:color w:val="000000"/>
                <w:sz w:val="20"/>
              </w:rPr>
              <w:t>
2023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xml:space="preserve">
IV квартал </w:t>
            </w:r>
          </w:p>
          <w:bookmarkEnd w:id="240"/>
          <w:p>
            <w:pPr>
              <w:spacing w:after="20"/>
              <w:ind w:left="20"/>
              <w:jc w:val="both"/>
            </w:pPr>
            <w:r>
              <w:rPr>
                <w:rFonts w:ascii="Times New Roman"/>
                <w:b w:val="false"/>
                <w:i w:val="false"/>
                <w:color w:val="000000"/>
                <w:sz w:val="20"/>
              </w:rPr>
              <w:t>
2024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xml:space="preserve">
IV квартал </w:t>
            </w:r>
          </w:p>
          <w:bookmarkEnd w:id="241"/>
          <w:p>
            <w:pPr>
              <w:spacing w:after="20"/>
              <w:ind w:left="20"/>
              <w:jc w:val="both"/>
            </w:pPr>
            <w:r>
              <w:rPr>
                <w:rFonts w:ascii="Times New Roman"/>
                <w:b w:val="false"/>
                <w:i w:val="false"/>
                <w:color w:val="000000"/>
                <w:sz w:val="20"/>
              </w:rPr>
              <w:t>
2025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xml:space="preserve">
IV квартал </w:t>
            </w:r>
          </w:p>
          <w:bookmarkEnd w:id="242"/>
          <w:p>
            <w:pPr>
              <w:spacing w:after="20"/>
              <w:ind w:left="20"/>
              <w:jc w:val="both"/>
            </w:pPr>
            <w:r>
              <w:rPr>
                <w:rFonts w:ascii="Times New Roman"/>
                <w:b w:val="false"/>
                <w:i w:val="false"/>
                <w:color w:val="000000"/>
                <w:sz w:val="20"/>
              </w:rPr>
              <w:t>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xml:space="preserve">
IV квартал </w:t>
            </w:r>
          </w:p>
          <w:bookmarkEnd w:id="243"/>
          <w:p>
            <w:pPr>
              <w:spacing w:after="20"/>
              <w:ind w:left="20"/>
              <w:jc w:val="both"/>
            </w:pPr>
            <w:r>
              <w:rPr>
                <w:rFonts w:ascii="Times New Roman"/>
                <w:b w:val="false"/>
                <w:i w:val="false"/>
                <w:color w:val="000000"/>
                <w:sz w:val="20"/>
              </w:rPr>
              <w:t>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255" w:id="244"/>
    <w:p>
      <w:pPr>
        <w:spacing w:after="0"/>
        <w:ind w:left="0"/>
        <w:jc w:val="both"/>
      </w:pPr>
      <w:r>
        <w:rPr>
          <w:rFonts w:ascii="Times New Roman"/>
          <w:b w:val="false"/>
          <w:i w:val="false"/>
          <w:color w:val="000000"/>
          <w:sz w:val="28"/>
        </w:rPr>
        <w:t>
      *Объем расходов на соответствующий плановый период по мероприятиям, финансируемым за счет средств местного бюджета, будет меняться при формировании и уточнении бюджета, а также показатели бюджета будут корректироваться по мере выделения трансфертов из вышестоящих бюджетов в соответствии с действующим бюджетным законодательством.</w:t>
      </w:r>
    </w:p>
    <w:bookmarkEnd w:id="244"/>
    <w:bookmarkStart w:name="z256" w:id="245"/>
    <w:p>
      <w:pPr>
        <w:spacing w:after="0"/>
        <w:ind w:left="0"/>
        <w:jc w:val="left"/>
      </w:pPr>
      <w:r>
        <w:rPr>
          <w:rFonts w:ascii="Times New Roman"/>
          <w:b/>
          <w:i w:val="false"/>
          <w:color w:val="000000"/>
        </w:rPr>
        <w:t xml:space="preserve"> Объем финансирования по поддержанным проектам</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45467,6</w:t>
            </w:r>
          </w:p>
        </w:tc>
      </w:tr>
    </w:tbl>
    <w:bookmarkStart w:name="z257" w:id="246"/>
    <w:p>
      <w:pPr>
        <w:spacing w:after="0"/>
        <w:ind w:left="0"/>
        <w:jc w:val="both"/>
      </w:pPr>
      <w:r>
        <w:rPr>
          <w:rFonts w:ascii="Times New Roman"/>
          <w:b w:val="false"/>
          <w:i w:val="false"/>
          <w:color w:val="000000"/>
          <w:sz w:val="28"/>
        </w:rPr>
        <w:t>
      расшифровка аббревиатур:</w:t>
      </w:r>
    </w:p>
    <w:bookmarkEnd w:id="246"/>
    <w:bookmarkStart w:name="z258" w:id="247"/>
    <w:p>
      <w:pPr>
        <w:spacing w:after="0"/>
        <w:ind w:left="0"/>
        <w:jc w:val="both"/>
      </w:pPr>
      <w:r>
        <w:rPr>
          <w:rFonts w:ascii="Times New Roman"/>
          <w:b w:val="false"/>
          <w:i w:val="false"/>
          <w:color w:val="000000"/>
          <w:sz w:val="28"/>
        </w:rPr>
        <w:t>
      МРП – месячный расчетный показатель</w:t>
      </w:r>
    </w:p>
    <w:bookmarkEnd w:id="247"/>
    <w:bookmarkStart w:name="z259" w:id="248"/>
    <w:p>
      <w:pPr>
        <w:spacing w:after="0"/>
        <w:ind w:left="0"/>
        <w:jc w:val="both"/>
      </w:pPr>
      <w:r>
        <w:rPr>
          <w:rFonts w:ascii="Times New Roman"/>
          <w:b w:val="false"/>
          <w:i w:val="false"/>
          <w:color w:val="000000"/>
          <w:sz w:val="28"/>
        </w:rPr>
        <w:t>
      АО – акционерное общество</w:t>
      </w:r>
    </w:p>
    <w:bookmarkEnd w:id="248"/>
    <w:bookmarkStart w:name="z260" w:id="249"/>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249"/>
    <w:bookmarkStart w:name="z261" w:id="250"/>
    <w:p>
      <w:pPr>
        <w:spacing w:after="0"/>
        <w:ind w:left="0"/>
        <w:jc w:val="both"/>
      </w:pPr>
      <w:r>
        <w:rPr>
          <w:rFonts w:ascii="Times New Roman"/>
          <w:b w:val="false"/>
          <w:i w:val="false"/>
          <w:color w:val="000000"/>
          <w:sz w:val="28"/>
        </w:rPr>
        <w:t>
      ДИ – другие источники</w:t>
      </w:r>
    </w:p>
    <w:bookmarkEnd w:id="250"/>
    <w:bookmarkStart w:name="z262" w:id="251"/>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251"/>
    <w:bookmarkStart w:name="z263" w:id="252"/>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252"/>
    <w:bookmarkStart w:name="z264" w:id="253"/>
    <w:p>
      <w:pPr>
        <w:spacing w:after="0"/>
        <w:ind w:left="0"/>
        <w:jc w:val="both"/>
      </w:pPr>
      <w:r>
        <w:rPr>
          <w:rFonts w:ascii="Times New Roman"/>
          <w:b w:val="false"/>
          <w:i w:val="false"/>
          <w:color w:val="000000"/>
          <w:sz w:val="28"/>
        </w:rPr>
        <w:t>
      ПТВМ – пиковый теплофикационный водогрейный мазутный котел</w:t>
      </w:r>
    </w:p>
    <w:bookmarkEnd w:id="253"/>
    <w:bookmarkStart w:name="z265" w:id="254"/>
    <w:p>
      <w:pPr>
        <w:spacing w:after="0"/>
        <w:ind w:left="0"/>
        <w:jc w:val="both"/>
      </w:pPr>
      <w:r>
        <w:rPr>
          <w:rFonts w:ascii="Times New Roman"/>
          <w:b w:val="false"/>
          <w:i w:val="false"/>
          <w:color w:val="000000"/>
          <w:sz w:val="28"/>
        </w:rPr>
        <w:t>
      МБ – местный бюджет</w:t>
      </w:r>
    </w:p>
    <w:bookmarkEnd w:id="254"/>
    <w:bookmarkStart w:name="z266" w:id="255"/>
    <w:p>
      <w:pPr>
        <w:spacing w:after="0"/>
        <w:ind w:left="0"/>
        <w:jc w:val="both"/>
      </w:pPr>
      <w:r>
        <w:rPr>
          <w:rFonts w:ascii="Times New Roman"/>
          <w:b w:val="false"/>
          <w:i w:val="false"/>
          <w:color w:val="000000"/>
          <w:sz w:val="28"/>
        </w:rPr>
        <w:t>
      ТК – тепловая камера</w:t>
      </w:r>
    </w:p>
    <w:bookmarkEnd w:id="255"/>
    <w:bookmarkStart w:name="z267" w:id="256"/>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256"/>
    <w:bookmarkStart w:name="z268" w:id="257"/>
    <w:p>
      <w:pPr>
        <w:spacing w:after="0"/>
        <w:ind w:left="0"/>
        <w:jc w:val="both"/>
      </w:pPr>
      <w:r>
        <w:rPr>
          <w:rFonts w:ascii="Times New Roman"/>
          <w:b w:val="false"/>
          <w:i w:val="false"/>
          <w:color w:val="000000"/>
          <w:sz w:val="28"/>
        </w:rPr>
        <w:t>
      КК – канализационные колодцы</w:t>
      </w:r>
    </w:p>
    <w:bookmarkEnd w:id="257"/>
    <w:bookmarkStart w:name="z269" w:id="258"/>
    <w:p>
      <w:pPr>
        <w:spacing w:after="0"/>
        <w:ind w:left="0"/>
        <w:jc w:val="both"/>
      </w:pPr>
      <w:r>
        <w:rPr>
          <w:rFonts w:ascii="Times New Roman"/>
          <w:b w:val="false"/>
          <w:i w:val="false"/>
          <w:color w:val="000000"/>
          <w:sz w:val="28"/>
        </w:rPr>
        <w:t xml:space="preserve">
      УТ – узел тепловой </w:t>
      </w:r>
    </w:p>
    <w:bookmarkEnd w:id="258"/>
    <w:bookmarkStart w:name="z270" w:id="259"/>
    <w:p>
      <w:pPr>
        <w:spacing w:after="0"/>
        <w:ind w:left="0"/>
        <w:jc w:val="both"/>
      </w:pPr>
      <w:r>
        <w:rPr>
          <w:rFonts w:ascii="Times New Roman"/>
          <w:b w:val="false"/>
          <w:i w:val="false"/>
          <w:color w:val="000000"/>
          <w:sz w:val="28"/>
        </w:rPr>
        <w:t>
      ПС – подстанция</w:t>
      </w:r>
    </w:p>
    <w:bookmarkEnd w:id="259"/>
    <w:bookmarkStart w:name="z271" w:id="260"/>
    <w:p>
      <w:pPr>
        <w:spacing w:after="0"/>
        <w:ind w:left="0"/>
        <w:jc w:val="both"/>
      </w:pPr>
      <w:r>
        <w:rPr>
          <w:rFonts w:ascii="Times New Roman"/>
          <w:b w:val="false"/>
          <w:i w:val="false"/>
          <w:color w:val="000000"/>
          <w:sz w:val="28"/>
        </w:rPr>
        <w:t>
      ГККП – государственное казенное коммунальное предприятие</w:t>
      </w:r>
    </w:p>
    <w:bookmarkEnd w:id="260"/>
    <w:bookmarkStart w:name="z272" w:id="261"/>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261"/>
    <w:bookmarkStart w:name="z273" w:id="262"/>
    <w:p>
      <w:pPr>
        <w:spacing w:after="0"/>
        <w:ind w:left="0"/>
        <w:jc w:val="both"/>
      </w:pPr>
      <w:r>
        <w:rPr>
          <w:rFonts w:ascii="Times New Roman"/>
          <w:b w:val="false"/>
          <w:i w:val="false"/>
          <w:color w:val="000000"/>
          <w:sz w:val="28"/>
        </w:rPr>
        <w:t>
      МП – Министерство просвещения Республики Казахстан</w:t>
      </w:r>
    </w:p>
    <w:bookmarkEnd w:id="262"/>
    <w:bookmarkStart w:name="z274" w:id="263"/>
    <w:p>
      <w:pPr>
        <w:spacing w:after="0"/>
        <w:ind w:left="0"/>
        <w:jc w:val="both"/>
      </w:pPr>
      <w:r>
        <w:rPr>
          <w:rFonts w:ascii="Times New Roman"/>
          <w:b w:val="false"/>
          <w:i w:val="false"/>
          <w:color w:val="000000"/>
          <w:sz w:val="28"/>
        </w:rPr>
        <w:t>
      ГКП ПХО – государственное коммунальное предприятие производственно-хозяйственного объединения</w:t>
      </w:r>
    </w:p>
    <w:bookmarkEnd w:id="263"/>
    <w:bookmarkStart w:name="z275" w:id="264"/>
    <w:p>
      <w:pPr>
        <w:spacing w:after="0"/>
        <w:ind w:left="0"/>
        <w:jc w:val="both"/>
      </w:pPr>
      <w:r>
        <w:rPr>
          <w:rFonts w:ascii="Times New Roman"/>
          <w:b w:val="false"/>
          <w:i w:val="false"/>
          <w:color w:val="000000"/>
          <w:sz w:val="28"/>
        </w:rPr>
        <w:t>
      РБ – республиканский бюджет</w:t>
      </w:r>
    </w:p>
    <w:bookmarkEnd w:id="264"/>
    <w:bookmarkStart w:name="z276" w:id="265"/>
    <w:p>
      <w:pPr>
        <w:spacing w:after="0"/>
        <w:ind w:left="0"/>
        <w:jc w:val="both"/>
      </w:pPr>
      <w:r>
        <w:rPr>
          <w:rFonts w:ascii="Times New Roman"/>
          <w:b w:val="false"/>
          <w:i w:val="false"/>
          <w:color w:val="000000"/>
          <w:sz w:val="28"/>
        </w:rPr>
        <w:t>
      РП – распределительный пункт</w:t>
      </w:r>
    </w:p>
    <w:bookmarkEnd w:id="265"/>
    <w:bookmarkStart w:name="z277" w:id="266"/>
    <w:p>
      <w:pPr>
        <w:spacing w:after="0"/>
        <w:ind w:left="0"/>
        <w:jc w:val="both"/>
      </w:pPr>
      <w:r>
        <w:rPr>
          <w:rFonts w:ascii="Times New Roman"/>
          <w:b w:val="false"/>
          <w:i w:val="false"/>
          <w:color w:val="000000"/>
          <w:sz w:val="28"/>
        </w:rPr>
        <w:t>
      ТП – тупиковая подстанция</w:t>
      </w:r>
    </w:p>
    <w:bookmarkEnd w:id="266"/>
    <w:bookmarkStart w:name="z278" w:id="267"/>
    <w:p>
      <w:pPr>
        <w:spacing w:after="0"/>
        <w:ind w:left="0"/>
        <w:jc w:val="both"/>
      </w:pPr>
      <w:r>
        <w:rPr>
          <w:rFonts w:ascii="Times New Roman"/>
          <w:b w:val="false"/>
          <w:i w:val="false"/>
          <w:color w:val="000000"/>
          <w:sz w:val="28"/>
        </w:rPr>
        <w:t>
      Казцентр ЖКХ – акционерное общество "Казахстанский центр модернизации и развития жилищно-коммунального хозяйства"</w:t>
      </w:r>
    </w:p>
    <w:bookmarkEnd w:id="267"/>
    <w:bookmarkStart w:name="z279" w:id="268"/>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68"/>
    <w:bookmarkStart w:name="z280" w:id="269"/>
    <w:p>
      <w:pPr>
        <w:spacing w:after="0"/>
        <w:ind w:left="0"/>
        <w:jc w:val="both"/>
      </w:pPr>
      <w:r>
        <w:rPr>
          <w:rFonts w:ascii="Times New Roman"/>
          <w:b w:val="false"/>
          <w:i w:val="false"/>
          <w:color w:val="000000"/>
          <w:sz w:val="28"/>
        </w:rPr>
        <w:t>
      МСБ – малый и средний бизнес</w:t>
      </w:r>
    </w:p>
    <w:bookmarkEnd w:id="269"/>
    <w:bookmarkStart w:name="z281" w:id="270"/>
    <w:p>
      <w:pPr>
        <w:spacing w:after="0"/>
        <w:ind w:left="0"/>
        <w:jc w:val="both"/>
      </w:pPr>
      <w:r>
        <w:rPr>
          <w:rFonts w:ascii="Times New Roman"/>
          <w:b w:val="false"/>
          <w:i w:val="false"/>
          <w:color w:val="000000"/>
          <w:sz w:val="28"/>
        </w:rPr>
        <w:t>
      МЭ – Министерство энергетики Республики Казахстан</w:t>
      </w:r>
    </w:p>
    <w:bookmarkEnd w:id="270"/>
    <w:bookmarkStart w:name="z282" w:id="271"/>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71"/>
    <w:bookmarkStart w:name="z283" w:id="272"/>
    <w:p>
      <w:pPr>
        <w:spacing w:after="0"/>
        <w:ind w:left="0"/>
        <w:jc w:val="both"/>
      </w:pPr>
      <w:r>
        <w:rPr>
          <w:rFonts w:ascii="Times New Roman"/>
          <w:b w:val="false"/>
          <w:i w:val="false"/>
          <w:color w:val="000000"/>
          <w:sz w:val="28"/>
        </w:rPr>
        <w:t>
      ___________________________________</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