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436d" w14:textId="a2c4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июля 2009 года № 1167 "Об утверждении Правил оформления, представления и предварительной оценки материалов участников конкурса на соискание премии Президента Республики Казахстан "Алтын сапа" и Правил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2023 года № 663.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2009 года № 1167 "Об утверждении Правил оформления, представления и предварительной оценки материалов участников конкурса на соискание премии Президента Республики Казахстан "Алтын сапа" и Правил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представления и предварительной оценки материалов участников конкурса на соискание премии Президента Республики Казахстан "Алтын сапа",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материалов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 соискание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"Алтын сапа"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таблица оценки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лица/индивидуального предпринимателя)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Критерии и составляющие критериев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оценка в баллах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Самооценка в баллах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в баллах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группа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группа организатора конкурса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выезда на предприятия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характеризующие целеполагание (1.1-2.4)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Цель, видение и стратегия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Определение цели и видения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Определение и понимание потребностей заинтересованных сторон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Понимание экосистемы, собственных возможностей и основных вызовов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Разработка стратегии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Разработка и внедрение системы менеджмента и управления результативностью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Организационная культура и лидерство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Управление культурой и создание ценностей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Создание условий для реализации изменений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Внедрение творчества и инноваций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Объединение людей и вовлечение их в процесс достижения цели, видения и стратегии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характеризующие действия (3.1-5.5)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Вовлечение заинтересованных сторон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Потребители: построение устойчивых взаимоотношений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___(10...40)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 Люди: подбор, вовлечение, развитие и удержание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___(10...40)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 Заинтересованные стороны в бизнесе и органах власти: надежная и постоянная поддержка организации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___(10...40)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 Общество: содействие развитию, благополучию и процветанию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___(10...40)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Партнеры и поставщики: выстраивание взаимовыгодных отношений и обеспечение их поддержки для создания устойчивой ценности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___(10...40)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Создание устойчивой ценности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Разработка ценностей и методы их создания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Коммуникации и продвижение ценностей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 Создание ценностей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 Выявление и использование лучших практик в организации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Управление результативностью и трансформацией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Управление результативностью и рисками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Трансформация и создание организации будущего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Управление инновациями и технологиями замкнутого цикла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Управление данными, информацией и знаниями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Управление активами и ресурсами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характеризующие результаты (6-7)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Результаты восприятия заинтересованных сторон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Стратегические и операционные результаты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Выводы:____________________________________________________________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Предложения:_______________________________________________________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"___" ______________г. _________________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председателя экспертной группы)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*Организации следует самой установить весомость составляющих до начала оценивания. Каждая составляющая может иметь весомость от 10 до 40 баллов. Весомость устанавливается с округлением до 5 баллов. Общая сумма составляющих по критерию должна составлять 100 баллов.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