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436d" w14:textId="a2c4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1167 "Об утверждении Правил оформления, представления и предварительной оценки материалов участников конкурса на соискание премии Президента Республики Казахстан "Алтын сапа" и Правил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представления и предварительной оценки материалов участников конкурса на соискание премии Президента Республики Казахстан "Алтын сапа",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материалов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соискание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"Алтын сапа"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лица/индивидуального предпринимателя)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и составляющие критериев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оценка в баллах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Самооценка в баллах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в баллах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группа организатора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выезда на предприятия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целеполагание (1.1-2.4)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Цель, видение и стратегия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Определение цели и видения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Определение и понимание потребностей заинтересованных сторон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Понимание экосистемы, собственных возможностей и основных вызовов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Разработка стратегии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Разработка и внедрение системы менеджмента и управления результативностью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Организационная культура и лидерство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Управление культурой и создание ценностей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Создание условий для реализации изменений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Внедрение творчества и инноваций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Объединение людей и вовлечение их в процесс достижения цели, видения и стратегии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действия (3.1-5.5)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Вовлечение заинтересованных сторон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Потребители: построение устойчивых взаимоотношений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Люди: подбор, вовлечение, развитие и удержание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Заинтересованные стороны в бизнесе и органах власти: надежная и постоянная поддержка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 Общество: содействие развитию, благополучию и процветанию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Партнеры и поставщики: выстраивание взаимовыгодных отношений и обеспечение их поддержки для создания устойчивой ценности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___(10...40)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устойчивой ценности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Разработка ценностей и методы их создания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Коммуникации и продвижение ценностей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 Создание ценностей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 Выявление и использование лучших практик в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результативностью и трансформацией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Управление результативностью и рисками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Трансформация и создание организации будущего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Управление инновациями и технологиями замкнутого цикла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Управление данными, информацией и знаниями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Управление активами 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Критерии, характеризующие результаты (6-7)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Результаты восприятия заинтересованных сторон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Стратегические и операционные результаты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Выводы:____________________________________________________________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Предложения:_______________________________________________________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______________г. _________________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председателя экспертной группы)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*Организации следует самой установить весомость составляющих до начала оценивания. Каждая составляющая может иметь весомость от 10 до 40 баллов. Весомость устанавливается с округлением до 5 баллов. Общая сумма составляющих по критерию должна составлять 100 баллов.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