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e3ad" w14:textId="4b4e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566.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недропользователям, указанным в части третьей настоящего пункта, включенным в перечень градообразующих юридических лиц, условие, указанное в подпункте 2) пункта 14 настоящих Правил, не применяется.".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