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b5bc" w14:textId="290b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июля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2023 года № 400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1 июля 2023 года произвести повышение размеров социальных выплат из Государственного фонда социального страхования по случаям утраты трудоспособности и потери кормильца, назначенных до 1 июля 2023 года, на 14,5 процента от размера получаемых социальных выплат.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2023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