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6f0" w14:textId="93a1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2023 года № 393.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696-3 Кодекса Республики Казахстан "О налогах и других обязательных платежах в бюджет"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деятельности для целей применения специального налогового режима розничного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05.02.2025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кресел-колясок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менее 2000 кв.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более 2000 кв. м (2000 кв. 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встроенными, пристроенными нежилыми помещениями в жилых домах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выставочным залом, конференц-залами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коммерческих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и ухода за пациентами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лицам, страдающим психическими расстройствами (заболеваниями), задержкой умственного развития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пожилым гражданам и лицам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без обеспечения проживания пожилым гражданам и лицам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