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2158" w14:textId="54f2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2023 года № 186.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26-1), 26-2), 26-3) и 26-4)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осуществление анализа эффективности применения налоговых льгот;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согласование правил уплаты, перечисления единого платежа и распределения его в виде индивидуального подоходного налога и социальных платежей (за исключением обязательных профессиональных пенсионных взносов), а также их возврата;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согласование перечня произведений искусства, ввозимых негосударственными музеями, импорт которых освобождается от налога на добавленную стоимость;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согласование перечня бытовых приборов и (или) приборов бытовой электроники, а также их компонентов, реализация которых освобождается от налога на добавленную стоимость;";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186-1)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"186-1) разработка и утверждение методики осуществления анализа эффективности государственных мер поддержки субъектов частного предпринимательства и населения с предпринимательской инициативой;".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